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Lines="50"/>
        <w:jc w:val="center"/>
        <w:rPr>
          <w:rFonts w:ascii="方正小标宋简体" w:eastAsia="方正小标宋简体"/>
          <w:sz w:val="44"/>
          <w:szCs w:val="44"/>
        </w:rPr>
      </w:pPr>
    </w:p>
    <w:p>
      <w:pPr>
        <w:spacing w:beforeLines="50"/>
        <w:jc w:val="center"/>
        <w:rPr>
          <w:rFonts w:ascii="方正小标宋简体" w:eastAsia="方正小标宋简体"/>
          <w:sz w:val="44"/>
          <w:szCs w:val="44"/>
        </w:rPr>
      </w:pPr>
      <w:bookmarkStart w:id="8" w:name="_GoBack"/>
      <w:bookmarkEnd w:id="8"/>
    </w:p>
    <w:p>
      <w:pPr>
        <w:spacing w:beforeLines="50"/>
        <w:jc w:val="center"/>
        <w:rPr>
          <w:rFonts w:ascii="方正小标宋简体" w:eastAsia="方正小标宋简体"/>
          <w:sz w:val="44"/>
          <w:szCs w:val="44"/>
        </w:rPr>
      </w:pPr>
    </w:p>
    <w:p>
      <w:pPr>
        <w:spacing w:beforeLines="50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喀什地区农机技术推广站</w:t>
      </w:r>
      <w:r>
        <w:rPr>
          <w:rFonts w:hint="eastAsia" w:ascii="方正小标宋简体" w:eastAsia="方正小标宋简体"/>
          <w:sz w:val="44"/>
          <w:szCs w:val="44"/>
          <w:lang w:eastAsia="zh-CN"/>
        </w:rPr>
        <w:t>花</w:t>
      </w:r>
      <w:r>
        <w:rPr>
          <w:rFonts w:hint="eastAsia" w:ascii="方正小标宋简体" w:eastAsia="方正小标宋简体"/>
          <w:sz w:val="44"/>
          <w:szCs w:val="44"/>
        </w:rPr>
        <w:t>残膜秸秆回收项目支出绩效评价报告</w:t>
      </w:r>
    </w:p>
    <w:p>
      <w:pPr>
        <w:spacing w:beforeLines="50"/>
        <w:jc w:val="center"/>
        <w:rPr>
          <w:rFonts w:ascii="方正小标宋简体" w:eastAsia="方正小标宋简体"/>
          <w:sz w:val="52"/>
          <w:szCs w:val="52"/>
        </w:rPr>
      </w:pPr>
    </w:p>
    <w:p>
      <w:pPr>
        <w:spacing w:beforeLines="50"/>
        <w:rPr>
          <w:rFonts w:ascii="方正小标宋简体" w:eastAsia="方正小标宋简体"/>
          <w:sz w:val="52"/>
          <w:szCs w:val="52"/>
        </w:rPr>
      </w:pPr>
    </w:p>
    <w:p>
      <w:pPr>
        <w:autoSpaceDE w:val="0"/>
        <w:autoSpaceDN w:val="0"/>
        <w:spacing w:line="540" w:lineRule="exact"/>
        <w:ind w:firstLine="712" w:firstLineChars="200"/>
        <w:rPr>
          <w:rFonts w:ascii="仿宋_GB2312" w:hAnsi="仿宋" w:eastAsia="仿宋_GB2312" w:cs="Times New Roman"/>
          <w:spacing w:val="-2"/>
          <w:sz w:val="36"/>
          <w:szCs w:val="36"/>
        </w:rPr>
      </w:pPr>
      <w:r>
        <w:rPr>
          <w:rFonts w:hint="eastAsia" w:ascii="仿宋_GB2312" w:hAnsi="仿宋" w:eastAsia="仿宋_GB2312" w:cs="Times New Roman"/>
          <w:spacing w:val="-2"/>
          <w:sz w:val="36"/>
          <w:szCs w:val="36"/>
        </w:rPr>
        <w:t>项目名称：</w:t>
      </w:r>
      <w:r>
        <w:rPr>
          <w:rFonts w:hint="eastAsia" w:ascii="仿宋_GB2312" w:hAnsi="仿宋" w:eastAsia="仿宋_GB2312" w:cs="Times New Roman"/>
          <w:spacing w:val="-2"/>
          <w:sz w:val="36"/>
          <w:szCs w:val="36"/>
          <w:lang w:eastAsia="zh-CN"/>
        </w:rPr>
        <w:t>花</w:t>
      </w:r>
      <w:r>
        <w:rPr>
          <w:rFonts w:hint="eastAsia" w:ascii="仿宋_GB2312" w:hAnsi="仿宋" w:eastAsia="仿宋_GB2312" w:cs="Times New Roman"/>
          <w:spacing w:val="-2"/>
          <w:sz w:val="36"/>
          <w:szCs w:val="36"/>
        </w:rPr>
        <w:t>秸秆残膜回收项目</w:t>
      </w:r>
    </w:p>
    <w:p>
      <w:pPr>
        <w:autoSpaceDE w:val="0"/>
        <w:autoSpaceDN w:val="0"/>
        <w:spacing w:line="540" w:lineRule="exact"/>
        <w:ind w:firstLine="712" w:firstLineChars="200"/>
        <w:rPr>
          <w:rFonts w:ascii="仿宋_GB2312" w:hAnsi="仿宋" w:eastAsia="仿宋_GB2312" w:cs="Times New Roman"/>
          <w:spacing w:val="-2"/>
          <w:sz w:val="36"/>
          <w:szCs w:val="36"/>
        </w:rPr>
      </w:pPr>
      <w:r>
        <w:rPr>
          <w:rFonts w:hint="eastAsia" w:ascii="仿宋_GB2312" w:hAnsi="仿宋" w:eastAsia="仿宋_GB2312" w:cs="Times New Roman"/>
          <w:spacing w:val="-2"/>
          <w:sz w:val="36"/>
          <w:szCs w:val="36"/>
        </w:rPr>
        <w:t>实施单位：喀什地区农机技术推广站</w:t>
      </w:r>
    </w:p>
    <w:p>
      <w:pPr>
        <w:autoSpaceDE w:val="0"/>
        <w:autoSpaceDN w:val="0"/>
        <w:spacing w:line="540" w:lineRule="exact"/>
        <w:ind w:firstLine="712" w:firstLineChars="200"/>
        <w:rPr>
          <w:rFonts w:ascii="仿宋_GB2312" w:hAnsi="仿宋" w:eastAsia="仿宋_GB2312" w:cs="Times New Roman"/>
          <w:spacing w:val="-2"/>
          <w:sz w:val="36"/>
          <w:szCs w:val="36"/>
        </w:rPr>
      </w:pPr>
      <w:r>
        <w:rPr>
          <w:rFonts w:hint="eastAsia" w:ascii="仿宋_GB2312" w:hAnsi="仿宋" w:eastAsia="仿宋_GB2312" w:cs="Times New Roman"/>
          <w:spacing w:val="-2"/>
          <w:sz w:val="36"/>
          <w:szCs w:val="36"/>
        </w:rPr>
        <w:t>评价部门：喀什地区农机技术推广站</w:t>
      </w:r>
    </w:p>
    <w:p>
      <w:pPr>
        <w:autoSpaceDE w:val="0"/>
        <w:autoSpaceDN w:val="0"/>
        <w:spacing w:line="540" w:lineRule="exact"/>
        <w:ind w:firstLine="712" w:firstLineChars="200"/>
        <w:rPr>
          <w:rFonts w:ascii="仿宋_GB2312" w:hAnsi="仿宋" w:eastAsia="仿宋_GB2312" w:cs="Times New Roman"/>
          <w:spacing w:val="-2"/>
          <w:sz w:val="36"/>
          <w:szCs w:val="36"/>
        </w:rPr>
      </w:pPr>
    </w:p>
    <w:p>
      <w:pPr>
        <w:autoSpaceDE w:val="0"/>
        <w:autoSpaceDN w:val="0"/>
        <w:spacing w:line="540" w:lineRule="exact"/>
        <w:ind w:firstLine="712" w:firstLineChars="200"/>
        <w:rPr>
          <w:rFonts w:ascii="仿宋_GB2312" w:hAnsi="仿宋" w:eastAsia="仿宋_GB2312" w:cs="Times New Roman"/>
          <w:spacing w:val="-2"/>
          <w:sz w:val="36"/>
          <w:szCs w:val="36"/>
        </w:rPr>
      </w:pPr>
    </w:p>
    <w:p>
      <w:pPr>
        <w:autoSpaceDE w:val="0"/>
        <w:autoSpaceDN w:val="0"/>
        <w:spacing w:line="540" w:lineRule="exact"/>
        <w:ind w:firstLine="712" w:firstLineChars="200"/>
        <w:rPr>
          <w:rFonts w:ascii="仿宋_GB2312" w:hAnsi="仿宋" w:eastAsia="仿宋_GB2312" w:cs="Times New Roman"/>
          <w:spacing w:val="-2"/>
          <w:sz w:val="36"/>
          <w:szCs w:val="36"/>
        </w:rPr>
      </w:pPr>
    </w:p>
    <w:p>
      <w:pPr>
        <w:autoSpaceDE w:val="0"/>
        <w:autoSpaceDN w:val="0"/>
        <w:spacing w:line="540" w:lineRule="exact"/>
        <w:ind w:firstLine="2136" w:firstLineChars="600"/>
        <w:rPr>
          <w:rFonts w:ascii="仿宋_GB2312" w:hAnsi="仿宋" w:eastAsia="仿宋_GB2312" w:cs="Times New Roman"/>
          <w:spacing w:val="-2"/>
          <w:sz w:val="36"/>
          <w:szCs w:val="36"/>
        </w:rPr>
      </w:pPr>
    </w:p>
    <w:p>
      <w:pPr>
        <w:autoSpaceDE w:val="0"/>
        <w:autoSpaceDN w:val="0"/>
        <w:spacing w:line="540" w:lineRule="exact"/>
        <w:ind w:firstLine="2136" w:firstLineChars="600"/>
        <w:rPr>
          <w:rFonts w:ascii="仿宋_GB2312" w:hAnsi="仿宋" w:eastAsia="仿宋_GB2312" w:cs="Times New Roman"/>
          <w:spacing w:val="-2"/>
          <w:sz w:val="36"/>
          <w:szCs w:val="36"/>
        </w:rPr>
      </w:pPr>
    </w:p>
    <w:p>
      <w:pPr>
        <w:autoSpaceDE w:val="0"/>
        <w:autoSpaceDN w:val="0"/>
        <w:spacing w:line="540" w:lineRule="exact"/>
        <w:ind w:firstLine="2848" w:firstLineChars="800"/>
        <w:rPr>
          <w:rFonts w:ascii="仿宋_GB2312" w:hAnsi="仿宋" w:eastAsia="仿宋_GB2312" w:cs="Times New Roman"/>
          <w:spacing w:val="-2"/>
          <w:sz w:val="36"/>
          <w:szCs w:val="36"/>
        </w:rPr>
      </w:pPr>
      <w:r>
        <w:rPr>
          <w:rFonts w:hint="eastAsia" w:ascii="仿宋_GB2312" w:hAnsi="仿宋" w:eastAsia="仿宋_GB2312" w:cs="Times New Roman"/>
          <w:spacing w:val="-2"/>
          <w:sz w:val="36"/>
          <w:szCs w:val="36"/>
        </w:rPr>
        <w:t>二零二零年四月</w:t>
      </w:r>
    </w:p>
    <w:p>
      <w:pPr>
        <w:pStyle w:val="22"/>
        <w:numPr>
          <w:ilvl w:val="0"/>
          <w:numId w:val="2"/>
        </w:numPr>
        <w:ind w:firstLineChars="0"/>
      </w:pPr>
      <w:r>
        <w:rPr>
          <w:rFonts w:hint="eastAsia"/>
        </w:rPr>
        <w:t>基本情况</w:t>
      </w:r>
    </w:p>
    <w:p>
      <w:pPr>
        <w:pStyle w:val="24"/>
        <w:ind w:left="0" w:firstLine="643" w:firstLineChars="200"/>
      </w:pPr>
      <w:bookmarkStart w:id="0" w:name="_Toc26401549"/>
      <w:r>
        <w:rPr>
          <w:rFonts w:hint="eastAsia"/>
        </w:rPr>
        <w:t>项目概况</w:t>
      </w:r>
      <w:bookmarkEnd w:id="0"/>
    </w:p>
    <w:p>
      <w:pPr>
        <w:pStyle w:val="18"/>
        <w:numPr>
          <w:ilvl w:val="0"/>
          <w:numId w:val="3"/>
        </w:numPr>
        <w:spacing w:beforeLines="50" w:line="600" w:lineRule="exact"/>
        <w:ind w:firstLineChars="0"/>
        <w:rPr>
          <w:rFonts w:ascii="仿宋_GB2312" w:hAnsi="仿宋" w:eastAsia="仿宋_GB2312" w:cs="宋体"/>
          <w:sz w:val="32"/>
          <w:szCs w:val="32"/>
        </w:rPr>
      </w:pPr>
      <w:r>
        <w:rPr>
          <w:rFonts w:hint="eastAsia" w:ascii="仿宋_GB2312" w:hAnsi="仿宋" w:eastAsia="仿宋_GB2312" w:cs="宋体"/>
          <w:sz w:val="32"/>
          <w:szCs w:val="32"/>
        </w:rPr>
        <w:t>项目背景及立项依据</w:t>
      </w:r>
    </w:p>
    <w:p>
      <w:pPr>
        <w:spacing w:beforeLines="50" w:line="600" w:lineRule="exact"/>
        <w:ind w:firstLine="645"/>
        <w:rPr>
          <w:rFonts w:ascii="仿宋_GB2312" w:hAnsi="仿宋" w:eastAsia="仿宋_GB2312" w:cs="宋体"/>
          <w:sz w:val="32"/>
          <w:szCs w:val="32"/>
        </w:rPr>
      </w:pPr>
      <w:r>
        <w:rPr>
          <w:rFonts w:hint="eastAsia" w:ascii="仿宋_GB2312" w:hAnsi="仿宋" w:eastAsia="仿宋_GB2312" w:cs="宋体"/>
          <w:sz w:val="32"/>
          <w:szCs w:val="32"/>
        </w:rPr>
        <w:t>本项目根据</w:t>
      </w:r>
      <w:r>
        <w:rPr>
          <w:rFonts w:ascii="仿宋_GB2312" w:hAnsi="仿宋" w:eastAsia="仿宋_GB2312" w:cs="宋体"/>
          <w:sz w:val="32"/>
          <w:szCs w:val="32"/>
        </w:rPr>
        <w:t>喀地财预</w:t>
      </w:r>
      <w:r>
        <w:rPr>
          <w:rFonts w:hint="eastAsia" w:ascii="仿宋_GB2312" w:hAnsi="仿宋" w:eastAsia="仿宋_GB2312" w:cs="宋体"/>
          <w:sz w:val="32"/>
          <w:szCs w:val="32"/>
        </w:rPr>
        <w:t>【2019】1号文件精神立项，旨在通过研发</w:t>
      </w:r>
      <w:r>
        <w:rPr>
          <w:rFonts w:hint="eastAsia" w:ascii="仿宋_GB2312" w:hAnsi="仿宋" w:eastAsia="仿宋_GB2312" w:cs="宋体"/>
          <w:sz w:val="32"/>
          <w:szCs w:val="32"/>
          <w:lang w:eastAsia="zh-CN"/>
        </w:rPr>
        <w:t>花</w:t>
      </w:r>
      <w:r>
        <w:rPr>
          <w:rFonts w:hint="eastAsia" w:ascii="仿宋_GB2312" w:hAnsi="仿宋" w:eastAsia="仿宋_GB2312" w:cs="宋体"/>
          <w:sz w:val="32"/>
          <w:szCs w:val="32"/>
        </w:rPr>
        <w:t>秸秆粉碎还田残膜回收联合作业机，可完成</w:t>
      </w:r>
      <w:r>
        <w:rPr>
          <w:rFonts w:hint="eastAsia" w:ascii="仿宋_GB2312" w:hAnsi="仿宋" w:eastAsia="仿宋_GB2312" w:cs="宋体"/>
          <w:sz w:val="32"/>
          <w:szCs w:val="32"/>
          <w:lang w:eastAsia="zh-CN"/>
        </w:rPr>
        <w:t>花</w:t>
      </w:r>
      <w:r>
        <w:rPr>
          <w:rFonts w:hint="eastAsia" w:ascii="仿宋_GB2312" w:hAnsi="仿宋" w:eastAsia="仿宋_GB2312" w:cs="宋体"/>
          <w:sz w:val="32"/>
          <w:szCs w:val="32"/>
        </w:rPr>
        <w:t>秸秆粉碎还田、残膜回收、整地、装箱作业，实现实现废旧地膜再生、节约资源，促进农业可持续发展。</w:t>
      </w:r>
    </w:p>
    <w:p>
      <w:pPr>
        <w:pStyle w:val="18"/>
        <w:numPr>
          <w:ilvl w:val="0"/>
          <w:numId w:val="3"/>
        </w:numPr>
        <w:spacing w:beforeLines="50" w:line="600" w:lineRule="exact"/>
        <w:ind w:firstLineChars="0"/>
        <w:rPr>
          <w:rFonts w:ascii="仿宋_GB2312" w:hAnsi="仿宋" w:eastAsia="仿宋_GB2312" w:cs="宋体"/>
          <w:sz w:val="32"/>
          <w:szCs w:val="32"/>
        </w:rPr>
      </w:pPr>
      <w:r>
        <w:rPr>
          <w:rFonts w:hint="eastAsia" w:ascii="仿宋_GB2312" w:hAnsi="仿宋" w:eastAsia="仿宋_GB2312" w:cs="宋体"/>
          <w:sz w:val="32"/>
          <w:szCs w:val="32"/>
        </w:rPr>
        <w:t>项目主要内容及实施情况</w:t>
      </w:r>
    </w:p>
    <w:p>
      <w:pPr>
        <w:spacing w:beforeLines="50" w:line="600" w:lineRule="exact"/>
        <w:ind w:firstLine="640" w:firstLineChars="200"/>
        <w:rPr>
          <w:rFonts w:ascii="仿宋_GB2312" w:hAnsi="仿宋" w:eastAsia="仿宋_GB2312" w:cs="宋体"/>
          <w:sz w:val="32"/>
          <w:szCs w:val="32"/>
        </w:rPr>
      </w:pPr>
      <w:r>
        <w:rPr>
          <w:rFonts w:hint="eastAsia" w:ascii="仿宋_GB2312" w:hAnsi="仿宋" w:eastAsia="仿宋_GB2312" w:cs="宋体"/>
          <w:sz w:val="32"/>
          <w:szCs w:val="32"/>
        </w:rPr>
        <w:t>项目实施前</w:t>
      </w:r>
      <w:r>
        <w:rPr>
          <w:rFonts w:hint="eastAsia" w:ascii="仿宋" w:hAnsi="仿宋" w:eastAsia="仿宋" w:cs="仿宋"/>
          <w:color w:val="000000" w:themeColor="text1"/>
          <w:spacing w:val="-4"/>
          <w:sz w:val="32"/>
          <w:szCs w:val="32"/>
        </w:rPr>
        <w:t>通过文件研读、实地调研、数据分析等方式，</w:t>
      </w:r>
      <w:r>
        <w:rPr>
          <w:rFonts w:hint="eastAsia" w:ascii="仿宋_GB2312" w:hAnsi="仿宋" w:eastAsia="仿宋_GB2312" w:cs="宋体"/>
          <w:sz w:val="32"/>
          <w:szCs w:val="32"/>
        </w:rPr>
        <w:t>进行充分调研，制定了《喀什地区农机技术推广站</w:t>
      </w:r>
      <w:r>
        <w:rPr>
          <w:rFonts w:hint="eastAsia" w:ascii="仿宋_GB2312" w:hAnsi="仿宋" w:eastAsia="仿宋_GB2312" w:cs="宋体"/>
          <w:sz w:val="32"/>
          <w:szCs w:val="32"/>
          <w:lang w:eastAsia="zh-CN"/>
        </w:rPr>
        <w:t>花</w:t>
      </w:r>
      <w:r>
        <w:rPr>
          <w:rFonts w:hint="eastAsia" w:ascii="仿宋_GB2312" w:hAnsi="仿宋" w:eastAsia="仿宋_GB2312" w:cs="宋体"/>
          <w:sz w:val="32"/>
          <w:szCs w:val="32"/>
        </w:rPr>
        <w:t>残膜秸秆回收项目实施方案》，项目实施过程中严格按照实施方案进行实施并及时进行监督管理，项目实施后进行及时验收及后期维护。</w:t>
      </w:r>
    </w:p>
    <w:p>
      <w:pPr>
        <w:tabs>
          <w:tab w:val="left" w:pos="7770"/>
        </w:tabs>
        <w:spacing w:beforeLines="50" w:line="600" w:lineRule="exact"/>
        <w:ind w:firstLine="645"/>
        <w:rPr>
          <w:rFonts w:ascii="仿宋_GB2312" w:hAnsi="仿宋" w:eastAsia="仿宋_GB2312" w:cs="宋体"/>
          <w:sz w:val="32"/>
          <w:szCs w:val="32"/>
        </w:rPr>
      </w:pPr>
      <w:r>
        <w:rPr>
          <w:rFonts w:hint="eastAsia" w:ascii="仿宋_GB2312" w:hAnsi="仿宋" w:eastAsia="仿宋_GB2312" w:cs="宋体"/>
          <w:sz w:val="32"/>
          <w:szCs w:val="32"/>
        </w:rPr>
        <w:t>3.项目负责人为阿力木江·木沙，主要职责为负责该项目具体实施工作。</w:t>
      </w:r>
    </w:p>
    <w:p>
      <w:pPr>
        <w:pStyle w:val="24"/>
        <w:ind w:left="0" w:firstLine="643" w:firstLineChars="200"/>
      </w:pPr>
      <w:bookmarkStart w:id="1" w:name="_Toc26401550"/>
      <w:r>
        <w:rPr>
          <w:rFonts w:hint="eastAsia"/>
        </w:rPr>
        <w:t>资金</w:t>
      </w:r>
      <w:bookmarkEnd w:id="1"/>
      <w:r>
        <w:rPr>
          <w:rFonts w:hint="eastAsia"/>
        </w:rPr>
        <w:t>投入和使用情况</w:t>
      </w:r>
    </w:p>
    <w:p>
      <w:pPr>
        <w:spacing w:beforeLines="50" w:line="600" w:lineRule="exact"/>
        <w:ind w:firstLine="645"/>
        <w:rPr>
          <w:rFonts w:ascii="仿宋_GB2312" w:hAnsi="仿宋" w:eastAsia="仿宋_GB2312" w:cs="宋体"/>
          <w:color w:val="FF0000"/>
          <w:sz w:val="32"/>
          <w:szCs w:val="32"/>
        </w:rPr>
      </w:pPr>
      <w:r>
        <w:rPr>
          <w:rFonts w:hint="eastAsia" w:ascii="仿宋_GB2312" w:hAnsi="仿宋" w:eastAsia="仿宋_GB2312" w:cs="宋体"/>
          <w:sz w:val="32"/>
          <w:szCs w:val="32"/>
        </w:rPr>
        <w:t>本项目总投资11.12元，资金来源为本级部门预算资金11.12元。</w:t>
      </w:r>
    </w:p>
    <w:p>
      <w:pPr>
        <w:spacing w:beforeLines="50" w:line="600" w:lineRule="exact"/>
        <w:ind w:firstLine="645"/>
        <w:rPr>
          <w:rFonts w:ascii="仿宋_GB2312" w:hAnsi="仿宋" w:eastAsia="仿宋_GB2312" w:cs="宋体"/>
          <w:sz w:val="32"/>
          <w:szCs w:val="32"/>
        </w:rPr>
      </w:pPr>
      <w:r>
        <w:rPr>
          <w:rFonts w:hint="eastAsia" w:ascii="仿宋_GB2312" w:hAnsi="仿宋" w:eastAsia="仿宋_GB2312" w:cs="宋体"/>
          <w:sz w:val="32"/>
          <w:szCs w:val="32"/>
          <w:lang w:eastAsia="zh-CN"/>
        </w:rPr>
        <w:t>花</w:t>
      </w:r>
      <w:r>
        <w:rPr>
          <w:rFonts w:hint="eastAsia" w:ascii="仿宋_GB2312" w:hAnsi="仿宋" w:eastAsia="仿宋_GB2312" w:cs="宋体"/>
          <w:sz w:val="32"/>
          <w:szCs w:val="32"/>
        </w:rPr>
        <w:t>残膜秸秆回收项目资金的使用范围：研发</w:t>
      </w:r>
      <w:r>
        <w:rPr>
          <w:rFonts w:hint="eastAsia" w:ascii="仿宋_GB2312" w:hAnsi="仿宋" w:eastAsia="仿宋_GB2312" w:cs="宋体"/>
          <w:sz w:val="32"/>
          <w:szCs w:val="32"/>
          <w:lang w:eastAsia="zh-CN"/>
        </w:rPr>
        <w:t>花</w:t>
      </w:r>
      <w:r>
        <w:rPr>
          <w:rFonts w:hint="eastAsia" w:ascii="仿宋_GB2312" w:hAnsi="仿宋" w:eastAsia="仿宋_GB2312" w:cs="宋体"/>
          <w:sz w:val="32"/>
          <w:szCs w:val="32"/>
        </w:rPr>
        <w:t>秸秆还田残膜回收联合作业机的研发成本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" w:eastAsia="仿宋_GB2312" w:cs="宋体"/>
          <w:sz w:val="32"/>
          <w:szCs w:val="32"/>
        </w:rPr>
        <w:t>喀什地区农机技术推广站制定了</w:t>
      </w:r>
      <w:r>
        <w:rPr>
          <w:rFonts w:hint="eastAsia" w:ascii="仿宋" w:hAnsi="仿宋" w:eastAsia="仿宋"/>
          <w:bCs/>
          <w:color w:val="000000" w:themeColor="text1"/>
          <w:spacing w:val="-4"/>
          <w:sz w:val="32"/>
          <w:szCs w:val="32"/>
        </w:rPr>
        <w:t>喀什地区农机技术推广站财务管理制度，按照制度和地区财政资金管理制度支付资金；资金的支付有完整的审批程序和手续符合制度要求；不存在截留、挤占、挪用、虚列支出等情况。</w:t>
      </w:r>
    </w:p>
    <w:p>
      <w:pPr>
        <w:pStyle w:val="24"/>
        <w:ind w:left="0" w:firstLine="643" w:firstLineChars="200"/>
      </w:pPr>
      <w:bookmarkStart w:id="2" w:name="_Toc26401551"/>
      <w:r>
        <w:rPr>
          <w:rFonts w:hint="eastAsia"/>
        </w:rPr>
        <w:t>绩效目标</w:t>
      </w:r>
      <w:bookmarkEnd w:id="2"/>
    </w:p>
    <w:p>
      <w:pPr>
        <w:spacing w:beforeLines="50" w:line="600" w:lineRule="exact"/>
        <w:ind w:firstLine="640" w:firstLineChars="200"/>
        <w:rPr>
          <w:rFonts w:ascii="仿宋_GB2312" w:hAnsi="仿宋" w:eastAsia="仿宋_GB2312" w:cs="宋体"/>
          <w:sz w:val="32"/>
          <w:szCs w:val="32"/>
        </w:rPr>
      </w:pPr>
      <w:r>
        <w:rPr>
          <w:rFonts w:hint="eastAsia" w:ascii="仿宋_GB2312" w:hAnsi="仿宋" w:eastAsia="仿宋_GB2312" w:cs="宋体"/>
          <w:sz w:val="32"/>
          <w:szCs w:val="32"/>
        </w:rPr>
        <w:t>总体目标为：与本地实际研发能力较强的农机企业合作，研制</w:t>
      </w:r>
      <w:r>
        <w:rPr>
          <w:rFonts w:hint="eastAsia" w:ascii="仿宋_GB2312" w:hAnsi="仿宋" w:eastAsia="仿宋_GB2312" w:cs="宋体"/>
          <w:sz w:val="32"/>
          <w:szCs w:val="32"/>
          <w:lang w:eastAsia="zh-CN"/>
        </w:rPr>
        <w:t>花</w:t>
      </w:r>
      <w:r>
        <w:rPr>
          <w:rFonts w:hint="eastAsia" w:ascii="仿宋_GB2312" w:hAnsi="仿宋" w:eastAsia="仿宋_GB2312" w:cs="宋体"/>
          <w:sz w:val="32"/>
          <w:szCs w:val="32"/>
        </w:rPr>
        <w:t>秸秆粉碎还田残膜回收联合作业机，一次可完成</w:t>
      </w:r>
      <w:r>
        <w:rPr>
          <w:rFonts w:hint="eastAsia" w:ascii="仿宋_GB2312" w:hAnsi="仿宋" w:eastAsia="仿宋_GB2312" w:cs="宋体"/>
          <w:sz w:val="32"/>
          <w:szCs w:val="32"/>
          <w:lang w:eastAsia="zh-CN"/>
        </w:rPr>
        <w:t>花</w:t>
      </w:r>
      <w:r>
        <w:rPr>
          <w:rFonts w:hint="eastAsia" w:ascii="仿宋_GB2312" w:hAnsi="仿宋" w:eastAsia="仿宋_GB2312" w:cs="宋体"/>
          <w:sz w:val="32"/>
          <w:szCs w:val="32"/>
        </w:rPr>
        <w:t>秸秆粉碎还田、残膜回收、整地、装箱作业。产品技术性能达到使用可靠、安全，申请国家专利，申报技术鉴定。</w:t>
      </w:r>
    </w:p>
    <w:p>
      <w:pPr>
        <w:spacing w:beforeLines="50" w:line="600" w:lineRule="exact"/>
        <w:rPr>
          <w:rFonts w:ascii="仿宋_GB2312" w:hAnsi="仿宋" w:eastAsia="仿宋_GB2312" w:cs="宋体"/>
          <w:color w:val="FF0000"/>
          <w:sz w:val="32"/>
          <w:szCs w:val="32"/>
        </w:rPr>
      </w:pPr>
      <w:r>
        <w:rPr>
          <w:rFonts w:hint="eastAsia" w:ascii="仿宋_GB2312" w:hAnsi="仿宋" w:eastAsia="仿宋_GB2312" w:cs="宋体"/>
          <w:sz w:val="32"/>
          <w:szCs w:val="32"/>
        </w:rPr>
        <w:t xml:space="preserve"> </w:t>
      </w:r>
      <w:r>
        <w:rPr>
          <w:rFonts w:ascii="仿宋_GB2312" w:hAnsi="仿宋" w:eastAsia="仿宋_GB2312" w:cs="宋体"/>
          <w:sz w:val="32"/>
          <w:szCs w:val="32"/>
        </w:rPr>
        <w:t xml:space="preserve">   </w:t>
      </w:r>
      <w:r>
        <w:rPr>
          <w:rFonts w:hint="eastAsia" w:ascii="仿宋" w:hAnsi="仿宋" w:eastAsia="仿宋" w:cs="仿宋"/>
          <w:color w:val="000000" w:themeColor="text1"/>
          <w:kern w:val="0"/>
          <w:sz w:val="30"/>
          <w:szCs w:val="30"/>
        </w:rPr>
        <w:t>本项目共设置一级指标</w:t>
      </w:r>
      <w:r>
        <w:rPr>
          <w:rFonts w:ascii="仿宋" w:hAnsi="仿宋" w:eastAsia="仿宋" w:cs="仿宋"/>
          <w:color w:val="000000" w:themeColor="text1"/>
          <w:kern w:val="0"/>
          <w:sz w:val="30"/>
          <w:szCs w:val="30"/>
        </w:rPr>
        <w:t>3</w:t>
      </w:r>
      <w:r>
        <w:rPr>
          <w:rFonts w:hint="eastAsia" w:ascii="仿宋" w:hAnsi="仿宋" w:eastAsia="仿宋" w:cs="仿宋"/>
          <w:color w:val="000000" w:themeColor="text1"/>
          <w:kern w:val="0"/>
          <w:sz w:val="30"/>
          <w:szCs w:val="30"/>
        </w:rPr>
        <w:t>个，二级指标8个，三级指标9个，</w:t>
      </w:r>
      <w:r>
        <w:rPr>
          <w:rFonts w:hint="eastAsia" w:ascii="仿宋_GB2312" w:hAnsi="仿宋" w:eastAsia="仿宋_GB2312" w:cs="宋体"/>
          <w:sz w:val="32"/>
          <w:szCs w:val="32"/>
        </w:rPr>
        <w:t>绩效目标申报表详见附件1。</w:t>
      </w:r>
    </w:p>
    <w:p>
      <w:pPr>
        <w:pStyle w:val="22"/>
        <w:numPr>
          <w:ilvl w:val="0"/>
          <w:numId w:val="2"/>
        </w:numPr>
        <w:ind w:firstLineChars="0"/>
      </w:pPr>
      <w:bookmarkStart w:id="3" w:name="_Toc26401552"/>
      <w:r>
        <w:rPr>
          <w:rFonts w:hint="eastAsia"/>
        </w:rPr>
        <w:t>评价工作简述</w:t>
      </w:r>
      <w:bookmarkEnd w:id="3"/>
    </w:p>
    <w:p>
      <w:pPr>
        <w:pStyle w:val="24"/>
        <w:numPr>
          <w:ilvl w:val="0"/>
          <w:numId w:val="4"/>
        </w:numPr>
        <w:ind w:left="0" w:firstLine="643" w:firstLineChars="200"/>
      </w:pPr>
      <w:bookmarkStart w:id="4" w:name="_Toc26401553"/>
      <w:r>
        <w:rPr>
          <w:rFonts w:hint="eastAsia"/>
        </w:rPr>
        <w:t>评价目的</w:t>
      </w:r>
      <w:bookmarkEnd w:id="4"/>
    </w:p>
    <w:p>
      <w:pPr>
        <w:widowControl/>
        <w:snapToGrid w:val="0"/>
        <w:spacing w:line="560" w:lineRule="atLeast"/>
        <w:ind w:firstLine="640"/>
        <w:rPr>
          <w:rFonts w:ascii="仿宋_GB2312" w:hAnsi="仿宋" w:eastAsia="仿宋_GB2312"/>
          <w:spacing w:val="-4"/>
          <w:kern w:val="0"/>
          <w:sz w:val="32"/>
          <w:szCs w:val="32"/>
        </w:rPr>
      </w:pPr>
      <w:r>
        <w:rPr>
          <w:rFonts w:hint="eastAsia" w:ascii="仿宋_GB2312" w:hAnsi="仿宋" w:eastAsia="仿宋_GB2312" w:cs="宋体"/>
          <w:sz w:val="32"/>
          <w:szCs w:val="32"/>
        </w:rPr>
        <w:t>本次绩效评价遵循财政部《项目</w:t>
      </w:r>
      <w:r>
        <w:rPr>
          <w:rFonts w:ascii="仿宋_GB2312" w:hAnsi="仿宋" w:eastAsia="仿宋_GB2312" w:cs="宋体"/>
          <w:sz w:val="32"/>
          <w:szCs w:val="32"/>
        </w:rPr>
        <w:t>支出绩效评价管理办法》（财预〔2020〕10号）和自治区财政厅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auto" w:fill="FFFFFF"/>
        </w:rPr>
        <w:t>《自治区财政支出绩效评价管理暂行办法》（新财预〔</w:t>
      </w:r>
      <w:r>
        <w:rPr>
          <w:rFonts w:ascii="仿宋_GB2312" w:hAnsi="仿宋_GB2312" w:eastAsia="仿宋_GB2312" w:cs="仿宋_GB2312"/>
          <w:kern w:val="0"/>
          <w:sz w:val="32"/>
          <w:szCs w:val="32"/>
          <w:shd w:val="clear" w:color="auto" w:fill="FFFFFF"/>
        </w:rPr>
        <w:t>2018〕189号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auto" w:fill="FFFFFF"/>
        </w:rPr>
        <w:t>）</w:t>
      </w:r>
      <w:r>
        <w:rPr>
          <w:rFonts w:ascii="仿宋_GB2312" w:hAnsi="仿宋" w:eastAsia="仿宋_GB2312" w:cs="宋体"/>
          <w:sz w:val="32"/>
          <w:szCs w:val="32"/>
        </w:rPr>
        <w:t>等相关政策文件与规定，</w:t>
      </w:r>
      <w:r>
        <w:rPr>
          <w:rFonts w:hint="eastAsia" w:ascii="仿宋_GB2312" w:hAnsi="仿宋" w:eastAsia="仿宋_GB2312" w:cs="宋体"/>
          <w:sz w:val="32"/>
          <w:szCs w:val="32"/>
        </w:rPr>
        <w:t>旨在评价</w:t>
      </w:r>
      <w:r>
        <w:rPr>
          <w:rFonts w:hint="eastAsia" w:ascii="仿宋_GB2312" w:hAnsi="仿宋" w:eastAsia="仿宋_GB2312" w:cs="宋体"/>
          <w:sz w:val="32"/>
          <w:szCs w:val="32"/>
          <w:lang w:eastAsia="zh-CN"/>
        </w:rPr>
        <w:t>花</w:t>
      </w:r>
      <w:r>
        <w:rPr>
          <w:rFonts w:hint="eastAsia" w:ascii="仿宋_GB2312" w:hAnsi="仿宋" w:eastAsia="仿宋_GB2312" w:cs="宋体"/>
          <w:sz w:val="32"/>
          <w:szCs w:val="32"/>
        </w:rPr>
        <w:t>残膜秸秆回收项目实施前期、过程及效果，评价财政预算资金使用的效率及效益。</w:t>
      </w:r>
      <w:r>
        <w:rPr>
          <w:rFonts w:hint="eastAsia" w:ascii="仿宋_GB2312" w:hAnsi="仿宋" w:eastAsia="仿宋_GB2312"/>
          <w:spacing w:val="-4"/>
          <w:kern w:val="0"/>
          <w:sz w:val="32"/>
          <w:szCs w:val="32"/>
        </w:rPr>
        <w:t>本次评价通过文件研读、实地调研、数据分析等方式，全面了解我单位项目资金的使用效率和效果，项目管理过程规范，完成了预期绩效目标。同时，通过开展自我评价来总结经验和教训，为喀什地区农机技术推广站今后更好实施项目工作提供参考建议。</w:t>
      </w:r>
    </w:p>
    <w:p>
      <w:pPr>
        <w:pStyle w:val="24"/>
        <w:numPr>
          <w:ilvl w:val="0"/>
          <w:numId w:val="4"/>
        </w:numPr>
        <w:ind w:left="0" w:firstLine="643" w:firstLineChars="200"/>
      </w:pPr>
      <w:r>
        <w:rPr>
          <w:rFonts w:hint="eastAsia"/>
        </w:rPr>
        <w:t>本次绩效评价的对象及范围</w:t>
      </w:r>
      <w:bookmarkStart w:id="5" w:name="_Toc26401554"/>
    </w:p>
    <w:p>
      <w:pPr>
        <w:spacing w:beforeLines="50" w:line="600" w:lineRule="exact"/>
        <w:ind w:firstLine="640" w:firstLineChars="200"/>
        <w:rPr>
          <w:rFonts w:ascii="仿宋_GB2312" w:hAnsi="仿宋" w:eastAsia="仿宋_GB2312" w:cs="宋体"/>
          <w:sz w:val="32"/>
          <w:szCs w:val="32"/>
        </w:rPr>
      </w:pPr>
      <w:r>
        <w:rPr>
          <w:rFonts w:ascii="仿宋_GB2312" w:hAnsi="仿宋" w:eastAsia="仿宋_GB2312" w:cs="宋体"/>
          <w:sz w:val="32"/>
          <w:szCs w:val="32"/>
        </w:rPr>
        <w:t>本次评价对象为</w:t>
      </w:r>
      <w:r>
        <w:rPr>
          <w:rFonts w:hint="eastAsia" w:ascii="仿宋_GB2312" w:hAnsi="仿宋" w:eastAsia="仿宋_GB2312" w:cs="宋体"/>
          <w:sz w:val="32"/>
          <w:szCs w:val="32"/>
          <w:lang w:eastAsia="zh-CN"/>
        </w:rPr>
        <w:t>花</w:t>
      </w:r>
      <w:r>
        <w:rPr>
          <w:rFonts w:hint="eastAsia" w:ascii="仿宋_GB2312" w:hAnsi="仿宋" w:eastAsia="仿宋_GB2312" w:cs="宋体"/>
          <w:sz w:val="32"/>
          <w:szCs w:val="32"/>
        </w:rPr>
        <w:t>残膜秸秆回收项目</w:t>
      </w:r>
      <w:r>
        <w:rPr>
          <w:rFonts w:ascii="仿宋_GB2312" w:hAnsi="仿宋" w:eastAsia="仿宋_GB2312" w:cs="宋体"/>
          <w:sz w:val="32"/>
          <w:szCs w:val="32"/>
        </w:rPr>
        <w:t>资金，评价范围包括专项资</w:t>
      </w:r>
      <w:r>
        <w:rPr>
          <w:rFonts w:hint="eastAsia" w:ascii="仿宋_GB2312" w:hAnsi="仿宋" w:eastAsia="仿宋_GB2312" w:cs="宋体"/>
          <w:sz w:val="32"/>
          <w:szCs w:val="32"/>
        </w:rPr>
        <w:t>金的安排、组织及使用效益。</w:t>
      </w:r>
    </w:p>
    <w:p>
      <w:pPr>
        <w:pStyle w:val="24"/>
        <w:numPr>
          <w:ilvl w:val="0"/>
          <w:numId w:val="4"/>
        </w:numPr>
        <w:ind w:left="0" w:firstLine="643" w:firstLineChars="200"/>
      </w:pPr>
      <w:r>
        <w:rPr>
          <w:rFonts w:hint="eastAsia"/>
        </w:rPr>
        <w:t>绩效评价原则</w:t>
      </w:r>
      <w:bookmarkEnd w:id="5"/>
    </w:p>
    <w:p>
      <w:pPr>
        <w:spacing w:beforeLines="50" w:line="600" w:lineRule="exact"/>
        <w:ind w:firstLine="640" w:firstLineChars="200"/>
        <w:rPr>
          <w:rFonts w:ascii="仿宋_GB2312" w:hAnsi="仿宋" w:eastAsia="仿宋_GB2312" w:cs="宋体"/>
          <w:sz w:val="32"/>
          <w:szCs w:val="32"/>
        </w:rPr>
      </w:pPr>
      <w:r>
        <w:rPr>
          <w:rFonts w:hint="eastAsia" w:ascii="仿宋_GB2312" w:hAnsi="仿宋" w:eastAsia="仿宋_GB2312" w:cs="宋体"/>
          <w:sz w:val="32"/>
          <w:szCs w:val="32"/>
        </w:rPr>
        <w:t>本次绩效评价遵循的原则包括：</w:t>
      </w:r>
    </w:p>
    <w:p>
      <w:pPr>
        <w:pStyle w:val="24"/>
        <w:keepNext w:val="0"/>
        <w:keepLines w:val="0"/>
        <w:numPr>
          <w:ilvl w:val="1"/>
          <w:numId w:val="5"/>
        </w:numPr>
        <w:ind w:left="0" w:firstLine="640" w:firstLineChars="200"/>
        <w:rPr>
          <w:rFonts w:hAnsi="仿宋" w:cs="宋体"/>
          <w:b w:val="0"/>
        </w:rPr>
      </w:pPr>
      <w:r>
        <w:rPr>
          <w:rFonts w:hint="eastAsia" w:hAnsi="仿宋" w:cs="宋体"/>
          <w:b w:val="0"/>
        </w:rPr>
        <w:t>科学公正。绩效评价应当运用科学合理的方法，按照规范的程序，对项目绩效进行客观、公正的反映。</w:t>
      </w:r>
    </w:p>
    <w:p>
      <w:pPr>
        <w:pStyle w:val="24"/>
        <w:keepNext w:val="0"/>
        <w:keepLines w:val="0"/>
        <w:numPr>
          <w:ilvl w:val="1"/>
          <w:numId w:val="5"/>
        </w:numPr>
        <w:ind w:left="0" w:firstLine="640" w:firstLineChars="200"/>
        <w:rPr>
          <w:rFonts w:hAnsi="仿宋" w:cs="宋体"/>
          <w:b w:val="0"/>
        </w:rPr>
      </w:pPr>
      <w:r>
        <w:rPr>
          <w:rFonts w:hint="eastAsia" w:hAnsi="仿宋" w:cs="宋体"/>
          <w:b w:val="0"/>
        </w:rPr>
        <w:t>统筹兼顾。单位自评、部门评价和财政评价应职责明确，各有侧重，相互衔接。单位自评应由项目单位自主实施，即“谁支出、谁自评”。部门评价和财政评价应在单位自评的基础上开展，必要时可委托第三方机构实施。</w:t>
      </w:r>
    </w:p>
    <w:p>
      <w:pPr>
        <w:pStyle w:val="24"/>
        <w:keepNext w:val="0"/>
        <w:keepLines w:val="0"/>
        <w:numPr>
          <w:ilvl w:val="1"/>
          <w:numId w:val="5"/>
        </w:numPr>
        <w:ind w:left="0" w:firstLine="640" w:firstLineChars="200"/>
        <w:rPr>
          <w:rFonts w:hAnsi="仿宋" w:cs="宋体"/>
          <w:b w:val="0"/>
        </w:rPr>
      </w:pPr>
      <w:r>
        <w:rPr>
          <w:rFonts w:hint="eastAsia" w:hAnsi="仿宋" w:cs="宋体"/>
          <w:b w:val="0"/>
        </w:rPr>
        <w:t>激励约束。绩效评价结果应与预算安排、政策调整、改进管理实质性挂钩，体现奖优罚劣和激励相容导向，有效要安排、低效要压减、无效要问责。</w:t>
      </w:r>
    </w:p>
    <w:p>
      <w:pPr>
        <w:pStyle w:val="24"/>
        <w:keepNext w:val="0"/>
        <w:keepLines w:val="0"/>
        <w:numPr>
          <w:ilvl w:val="1"/>
          <w:numId w:val="5"/>
        </w:numPr>
        <w:ind w:left="0" w:firstLine="640" w:firstLineChars="200"/>
        <w:rPr>
          <w:b w:val="0"/>
        </w:rPr>
      </w:pPr>
      <w:r>
        <w:rPr>
          <w:rFonts w:hint="eastAsia" w:hAnsi="仿宋" w:cs="宋体"/>
          <w:b w:val="0"/>
        </w:rPr>
        <w:t>公开透明。绩效评价结果应依法依规公开，并自觉接受社会监督。</w:t>
      </w:r>
      <w:r>
        <w:rPr>
          <w:rFonts w:hint="eastAsia"/>
          <w:b w:val="0"/>
        </w:rPr>
        <w:t>绩效评价体系</w:t>
      </w:r>
    </w:p>
    <w:p>
      <w:pPr>
        <w:pStyle w:val="24"/>
        <w:numPr>
          <w:ilvl w:val="0"/>
          <w:numId w:val="4"/>
        </w:numPr>
        <w:ind w:left="0" w:firstLine="643" w:firstLineChars="200"/>
      </w:pPr>
      <w:r>
        <w:rPr>
          <w:rFonts w:hint="eastAsia"/>
        </w:rPr>
        <w:t>本项目绩效评价体系</w:t>
      </w:r>
    </w:p>
    <w:p>
      <w:pPr>
        <w:pStyle w:val="24"/>
        <w:numPr>
          <w:ilvl w:val="0"/>
          <w:numId w:val="0"/>
        </w:numPr>
        <w:ind w:firstLine="640" w:firstLineChars="200"/>
        <w:rPr>
          <w:b w:val="0"/>
        </w:rPr>
      </w:pPr>
      <w:r>
        <w:rPr>
          <w:rFonts w:hint="eastAsia"/>
          <w:b w:val="0"/>
        </w:rPr>
        <w:t>本项目绩效评价体系为根据财预</w:t>
      </w:r>
      <w:r>
        <w:rPr>
          <w:rFonts w:hint="eastAsia" w:ascii="仿宋" w:hAnsi="仿宋" w:eastAsia="仿宋"/>
          <w:b w:val="0"/>
        </w:rPr>
        <w:t>﹝</w:t>
      </w:r>
      <w:r>
        <w:rPr>
          <w:rFonts w:hint="eastAsia"/>
          <w:b w:val="0"/>
        </w:rPr>
        <w:t>2</w:t>
      </w:r>
      <w:r>
        <w:rPr>
          <w:b w:val="0"/>
        </w:rPr>
        <w:t>020</w:t>
      </w:r>
      <w:r>
        <w:rPr>
          <w:rFonts w:hint="eastAsia" w:ascii="仿宋" w:hAnsi="仿宋" w:eastAsia="仿宋"/>
          <w:b w:val="0"/>
        </w:rPr>
        <w:t>﹞</w:t>
      </w:r>
      <w:r>
        <w:rPr>
          <w:rFonts w:hint="eastAsia"/>
          <w:b w:val="0"/>
        </w:rPr>
        <w:t>1</w:t>
      </w:r>
      <w:r>
        <w:rPr>
          <w:b w:val="0"/>
        </w:rPr>
        <w:t>0</w:t>
      </w:r>
      <w:r>
        <w:rPr>
          <w:rFonts w:hint="eastAsia"/>
          <w:b w:val="0"/>
        </w:rPr>
        <w:t>号共性指标及个性化指标设置，详见附件2。</w:t>
      </w:r>
    </w:p>
    <w:p>
      <w:pPr>
        <w:pStyle w:val="24"/>
        <w:keepNext w:val="0"/>
        <w:keepLines w:val="0"/>
        <w:numPr>
          <w:ilvl w:val="0"/>
          <w:numId w:val="4"/>
        </w:numPr>
        <w:ind w:left="0" w:firstLine="643" w:firstLineChars="200"/>
      </w:pPr>
      <w:bookmarkStart w:id="6" w:name="_Toc26401555"/>
      <w:r>
        <w:rPr>
          <w:rFonts w:hint="eastAsia"/>
        </w:rPr>
        <w:t>绩效评价方法</w:t>
      </w:r>
      <w:bookmarkEnd w:id="6"/>
    </w:p>
    <w:p>
      <w:pPr>
        <w:spacing w:beforeLines="50" w:line="600" w:lineRule="exact"/>
        <w:ind w:firstLine="645"/>
        <w:rPr>
          <w:rFonts w:ascii="仿宋_GB2312" w:hAnsi="仿宋" w:eastAsia="仿宋_GB2312" w:cs="宋体"/>
          <w:sz w:val="32"/>
          <w:szCs w:val="32"/>
        </w:rPr>
      </w:pPr>
      <w:r>
        <w:rPr>
          <w:rFonts w:hint="eastAsia" w:ascii="仿宋_GB2312" w:hAnsi="仿宋" w:eastAsia="仿宋_GB2312" w:cs="宋体"/>
          <w:sz w:val="32"/>
          <w:szCs w:val="32"/>
        </w:rPr>
        <w:t>本次绩效评价方法的选用简便有效的原则采用成本效益分析法、比较法、因素分析法、最低成本法、专家评议法、问卷调查法。</w:t>
      </w:r>
    </w:p>
    <w:p>
      <w:pPr>
        <w:pStyle w:val="24"/>
        <w:keepNext w:val="0"/>
        <w:keepLines w:val="0"/>
        <w:numPr>
          <w:ilvl w:val="0"/>
          <w:numId w:val="4"/>
        </w:numPr>
        <w:ind w:left="0" w:firstLine="643" w:firstLineChars="200"/>
      </w:pPr>
      <w:r>
        <w:rPr>
          <w:rFonts w:hint="eastAsia"/>
        </w:rPr>
        <w:t>评价标准</w:t>
      </w:r>
    </w:p>
    <w:p>
      <w:pPr>
        <w:pStyle w:val="24"/>
        <w:keepNext w:val="0"/>
        <w:keepLines w:val="0"/>
        <w:numPr>
          <w:ilvl w:val="0"/>
          <w:numId w:val="0"/>
        </w:numPr>
      </w:pPr>
      <w:r>
        <w:rPr>
          <w:rFonts w:hint="eastAsia"/>
        </w:rPr>
        <w:t xml:space="preserve"> </w:t>
      </w:r>
      <w:r>
        <w:t xml:space="preserve">   </w:t>
      </w:r>
      <w:r>
        <w:rPr>
          <w:rFonts w:hint="eastAsia"/>
        </w:rPr>
        <w:t>项目评价标准采用</w:t>
      </w:r>
      <w:r>
        <w:rPr>
          <w:rFonts w:hint="eastAsia"/>
          <w:bCs w:val="0"/>
        </w:rPr>
        <w:t>计划标准。</w:t>
      </w:r>
    </w:p>
    <w:p>
      <w:pPr>
        <w:pStyle w:val="24"/>
        <w:keepNext w:val="0"/>
        <w:keepLines w:val="0"/>
        <w:numPr>
          <w:ilvl w:val="0"/>
          <w:numId w:val="4"/>
        </w:numPr>
        <w:ind w:left="0" w:firstLine="643" w:firstLineChars="200"/>
      </w:pPr>
      <w:r>
        <w:rPr>
          <w:rFonts w:hint="eastAsia"/>
        </w:rPr>
        <w:t>绩效评价工作过程</w:t>
      </w:r>
    </w:p>
    <w:p>
      <w:pPr>
        <w:pStyle w:val="24"/>
        <w:keepNext w:val="0"/>
        <w:keepLines w:val="0"/>
        <w:numPr>
          <w:ilvl w:val="0"/>
          <w:numId w:val="0"/>
        </w:numPr>
        <w:ind w:firstLine="640" w:firstLineChars="200"/>
        <w:outlineLvl w:val="9"/>
        <w:rPr>
          <w:b w:val="0"/>
          <w:bCs w:val="0"/>
        </w:rPr>
      </w:pPr>
      <w:r>
        <w:rPr>
          <w:rFonts w:hint="eastAsia"/>
          <w:b w:val="0"/>
          <w:bCs w:val="0"/>
        </w:rPr>
        <w:t>本次评价成立了评价</w:t>
      </w:r>
      <w:r>
        <w:rPr>
          <w:rFonts w:hint="eastAsia"/>
          <w:b w:val="0"/>
          <w:bCs w:val="0"/>
          <w:lang w:eastAsia="zh-CN"/>
        </w:rPr>
        <w:t>小组</w:t>
      </w:r>
      <w:r>
        <w:rPr>
          <w:rFonts w:hint="eastAsia"/>
          <w:b w:val="0"/>
          <w:bCs w:val="0"/>
        </w:rPr>
        <w:t>，成员如下：</w:t>
      </w:r>
    </w:p>
    <w:tbl>
      <w:tblPr>
        <w:tblStyle w:val="13"/>
        <w:tblW w:w="8296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65"/>
        <w:gridCol w:w="2765"/>
        <w:gridCol w:w="27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65" w:type="dxa"/>
            <w:vAlign w:val="center"/>
          </w:tcPr>
          <w:p>
            <w:pPr>
              <w:pStyle w:val="24"/>
              <w:keepNext w:val="0"/>
              <w:keepLines w:val="0"/>
              <w:numPr>
                <w:ilvl w:val="0"/>
                <w:numId w:val="0"/>
              </w:numPr>
              <w:spacing w:line="240" w:lineRule="atLeast"/>
              <w:jc w:val="center"/>
              <w:rPr>
                <w:b w:val="0"/>
                <w:bCs w:val="0"/>
              </w:rPr>
            </w:pPr>
            <w:r>
              <w:rPr>
                <w:rFonts w:hint="eastAsia"/>
                <w:b w:val="0"/>
                <w:bCs w:val="0"/>
              </w:rPr>
              <w:t>评价人</w:t>
            </w:r>
          </w:p>
        </w:tc>
        <w:tc>
          <w:tcPr>
            <w:tcW w:w="2765" w:type="dxa"/>
            <w:vAlign w:val="center"/>
          </w:tcPr>
          <w:p>
            <w:pPr>
              <w:pStyle w:val="24"/>
              <w:keepNext w:val="0"/>
              <w:keepLines w:val="0"/>
              <w:numPr>
                <w:ilvl w:val="0"/>
                <w:numId w:val="0"/>
              </w:numPr>
              <w:spacing w:line="240" w:lineRule="atLeast"/>
              <w:jc w:val="center"/>
              <w:rPr>
                <w:b w:val="0"/>
                <w:bCs w:val="0"/>
              </w:rPr>
            </w:pPr>
            <w:r>
              <w:rPr>
                <w:rFonts w:hint="eastAsia"/>
                <w:b w:val="0"/>
                <w:bCs w:val="0"/>
              </w:rPr>
              <w:t>职责</w:t>
            </w:r>
          </w:p>
        </w:tc>
        <w:tc>
          <w:tcPr>
            <w:tcW w:w="2766" w:type="dxa"/>
            <w:vAlign w:val="center"/>
          </w:tcPr>
          <w:p>
            <w:pPr>
              <w:pStyle w:val="24"/>
              <w:keepNext w:val="0"/>
              <w:keepLines w:val="0"/>
              <w:numPr>
                <w:ilvl w:val="0"/>
                <w:numId w:val="0"/>
              </w:numPr>
              <w:spacing w:line="240" w:lineRule="atLeast"/>
              <w:jc w:val="center"/>
              <w:rPr>
                <w:b w:val="0"/>
                <w:bCs w:val="0"/>
              </w:rPr>
            </w:pPr>
            <w:r>
              <w:rPr>
                <w:rFonts w:hint="eastAsia"/>
                <w:b w:val="0"/>
                <w:bCs w:val="0"/>
              </w:rPr>
              <w:t>职称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65" w:type="dxa"/>
            <w:vAlign w:val="center"/>
          </w:tcPr>
          <w:p>
            <w:pPr>
              <w:pStyle w:val="24"/>
              <w:keepNext w:val="0"/>
              <w:keepLines w:val="0"/>
              <w:numPr>
                <w:ilvl w:val="0"/>
                <w:numId w:val="0"/>
              </w:numPr>
              <w:spacing w:line="240" w:lineRule="atLeast"/>
              <w:jc w:val="center"/>
              <w:rPr>
                <w:b w:val="0"/>
                <w:bCs w:val="0"/>
              </w:rPr>
            </w:pPr>
            <w:r>
              <w:rPr>
                <w:rFonts w:hint="eastAsia"/>
                <w:b w:val="0"/>
                <w:bCs w:val="0"/>
              </w:rPr>
              <w:t>骆海理</w:t>
            </w:r>
          </w:p>
        </w:tc>
        <w:tc>
          <w:tcPr>
            <w:tcW w:w="2765" w:type="dxa"/>
            <w:vAlign w:val="center"/>
          </w:tcPr>
          <w:p>
            <w:pPr>
              <w:pStyle w:val="24"/>
              <w:keepNext w:val="0"/>
              <w:keepLines w:val="0"/>
              <w:numPr>
                <w:ilvl w:val="0"/>
                <w:numId w:val="0"/>
              </w:numPr>
              <w:spacing w:line="240" w:lineRule="atLeast"/>
              <w:jc w:val="center"/>
              <w:rPr>
                <w:b w:val="0"/>
                <w:bCs w:val="0"/>
              </w:rPr>
            </w:pPr>
            <w:r>
              <w:rPr>
                <w:rFonts w:hint="eastAsia"/>
                <w:b w:val="0"/>
                <w:bCs w:val="0"/>
              </w:rPr>
              <w:t>评价组组长</w:t>
            </w:r>
          </w:p>
        </w:tc>
        <w:tc>
          <w:tcPr>
            <w:tcW w:w="2766" w:type="dxa"/>
            <w:vAlign w:val="center"/>
          </w:tcPr>
          <w:p>
            <w:pPr>
              <w:pStyle w:val="24"/>
              <w:keepNext w:val="0"/>
              <w:keepLines w:val="0"/>
              <w:numPr>
                <w:ilvl w:val="0"/>
                <w:numId w:val="0"/>
              </w:numPr>
              <w:spacing w:line="240" w:lineRule="atLeast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书记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65" w:type="dxa"/>
            <w:vAlign w:val="center"/>
          </w:tcPr>
          <w:p>
            <w:pPr>
              <w:pStyle w:val="24"/>
              <w:keepNext w:val="0"/>
              <w:keepLines w:val="0"/>
              <w:numPr>
                <w:ilvl w:val="0"/>
                <w:numId w:val="0"/>
              </w:numPr>
              <w:spacing w:line="240" w:lineRule="atLeast"/>
              <w:jc w:val="center"/>
              <w:rPr>
                <w:b w:val="0"/>
                <w:bCs w:val="0"/>
              </w:rPr>
            </w:pPr>
            <w:r>
              <w:rPr>
                <w:rFonts w:hint="eastAsia"/>
                <w:b w:val="0"/>
                <w:bCs w:val="0"/>
              </w:rPr>
              <w:t>阿力木江·木沙</w:t>
            </w:r>
          </w:p>
        </w:tc>
        <w:tc>
          <w:tcPr>
            <w:tcW w:w="2765" w:type="dxa"/>
            <w:vAlign w:val="center"/>
          </w:tcPr>
          <w:p>
            <w:pPr>
              <w:pStyle w:val="24"/>
              <w:keepNext w:val="0"/>
              <w:keepLines w:val="0"/>
              <w:numPr>
                <w:ilvl w:val="0"/>
                <w:numId w:val="0"/>
              </w:numPr>
              <w:spacing w:line="240" w:lineRule="atLeast"/>
              <w:jc w:val="center"/>
              <w:rPr>
                <w:b w:val="0"/>
                <w:bCs w:val="0"/>
              </w:rPr>
            </w:pPr>
            <w:r>
              <w:rPr>
                <w:rFonts w:hint="eastAsia"/>
                <w:b w:val="0"/>
                <w:bCs w:val="0"/>
              </w:rPr>
              <w:t>评价组成员</w:t>
            </w:r>
          </w:p>
        </w:tc>
        <w:tc>
          <w:tcPr>
            <w:tcW w:w="2766" w:type="dxa"/>
            <w:vAlign w:val="center"/>
          </w:tcPr>
          <w:p>
            <w:pPr>
              <w:pStyle w:val="24"/>
              <w:keepNext w:val="0"/>
              <w:keepLines w:val="0"/>
              <w:numPr>
                <w:ilvl w:val="0"/>
                <w:numId w:val="0"/>
              </w:numPr>
              <w:spacing w:line="240" w:lineRule="atLeast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站长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65" w:type="dxa"/>
            <w:vAlign w:val="center"/>
          </w:tcPr>
          <w:p>
            <w:pPr>
              <w:pStyle w:val="24"/>
              <w:keepNext w:val="0"/>
              <w:keepLines w:val="0"/>
              <w:numPr>
                <w:ilvl w:val="0"/>
                <w:numId w:val="0"/>
              </w:numPr>
              <w:spacing w:line="240" w:lineRule="atLeast"/>
              <w:jc w:val="center"/>
              <w:rPr>
                <w:b w:val="0"/>
                <w:bCs w:val="0"/>
              </w:rPr>
            </w:pPr>
            <w:r>
              <w:rPr>
                <w:rFonts w:hint="eastAsia"/>
                <w:b w:val="0"/>
                <w:bCs w:val="0"/>
              </w:rPr>
              <w:t>艾斯卡尔·吾守</w:t>
            </w:r>
          </w:p>
        </w:tc>
        <w:tc>
          <w:tcPr>
            <w:tcW w:w="2765" w:type="dxa"/>
            <w:vAlign w:val="center"/>
          </w:tcPr>
          <w:p>
            <w:pPr>
              <w:pStyle w:val="24"/>
              <w:keepNext w:val="0"/>
              <w:keepLines w:val="0"/>
              <w:numPr>
                <w:ilvl w:val="0"/>
                <w:numId w:val="0"/>
              </w:numPr>
              <w:spacing w:line="240" w:lineRule="atLeast"/>
              <w:jc w:val="center"/>
              <w:rPr>
                <w:b w:val="0"/>
                <w:bCs w:val="0"/>
              </w:rPr>
            </w:pPr>
            <w:r>
              <w:rPr>
                <w:rFonts w:hint="eastAsia"/>
                <w:b w:val="0"/>
                <w:bCs w:val="0"/>
              </w:rPr>
              <w:t>评价组成员</w:t>
            </w:r>
          </w:p>
        </w:tc>
        <w:tc>
          <w:tcPr>
            <w:tcW w:w="2766" w:type="dxa"/>
            <w:vAlign w:val="center"/>
          </w:tcPr>
          <w:p>
            <w:pPr>
              <w:pStyle w:val="24"/>
              <w:keepNext w:val="0"/>
              <w:keepLines w:val="0"/>
              <w:numPr>
                <w:ilvl w:val="0"/>
                <w:numId w:val="0"/>
              </w:numPr>
              <w:spacing w:line="240" w:lineRule="atLeast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科员</w:t>
            </w:r>
          </w:p>
        </w:tc>
      </w:tr>
    </w:tbl>
    <w:p>
      <w:pPr>
        <w:pStyle w:val="24"/>
        <w:keepNext w:val="0"/>
        <w:keepLines w:val="0"/>
        <w:numPr>
          <w:ilvl w:val="0"/>
          <w:numId w:val="0"/>
        </w:numPr>
        <w:ind w:firstLine="640" w:firstLineChars="200"/>
        <w:outlineLvl w:val="9"/>
        <w:rPr>
          <w:b w:val="0"/>
          <w:bCs w:val="0"/>
        </w:rPr>
      </w:pPr>
      <w:r>
        <w:rPr>
          <w:rFonts w:hint="eastAsia"/>
          <w:b w:val="0"/>
          <w:bCs w:val="0"/>
        </w:rPr>
        <w:t>本次评价设计了评价方案、评价指标体系，通过资料分析、调研、访谈满意度调查等方式形成评价结论，在与项目单位沟通后确定评价意见，并出具评价报告。　</w:t>
      </w:r>
    </w:p>
    <w:p>
      <w:pPr>
        <w:pStyle w:val="22"/>
        <w:numPr>
          <w:ilvl w:val="0"/>
          <w:numId w:val="6"/>
        </w:numPr>
        <w:ind w:firstLineChars="0"/>
        <w:rPr>
          <w:color w:val="FF0000"/>
        </w:rPr>
      </w:pPr>
      <w:bookmarkStart w:id="7" w:name="_Toc26401558"/>
      <w:r>
        <w:rPr>
          <w:rFonts w:hint="eastAsia" w:ascii="黑体" w:hAnsi="黑体"/>
        </w:rPr>
        <w:t>综合评价情况及评价结论</w:t>
      </w:r>
    </w:p>
    <w:p>
      <w:pPr>
        <w:pStyle w:val="22"/>
        <w:ind w:firstLine="640"/>
        <w:rPr>
          <w:rFonts w:ascii="仿宋_GB2312" w:eastAsia="仿宋_GB2312" w:hAnsiTheme="majorHAnsi"/>
          <w:b w:val="0"/>
          <w:bCs w:val="0"/>
          <w:kern w:val="2"/>
        </w:rPr>
      </w:pPr>
      <w:r>
        <w:rPr>
          <w:rFonts w:hint="eastAsia" w:ascii="仿宋_GB2312" w:eastAsia="仿宋_GB2312" w:hAnsiTheme="majorHAnsi"/>
          <w:b w:val="0"/>
          <w:bCs w:val="0"/>
          <w:kern w:val="2"/>
        </w:rPr>
        <w:t>经评价组通过实地调研、资料分析等方式，采用成本效益分析法、最低成本法等对项目的决策、管理、绩效进行的综合评价分析，项目得分为98分，评价结果为优，详见附件6。</w:t>
      </w:r>
    </w:p>
    <w:p>
      <w:pPr>
        <w:pStyle w:val="22"/>
        <w:numPr>
          <w:ilvl w:val="0"/>
          <w:numId w:val="6"/>
        </w:numPr>
        <w:ind w:firstLineChars="0"/>
      </w:pPr>
      <w:r>
        <w:rPr>
          <w:rFonts w:hint="eastAsia"/>
        </w:rPr>
        <w:t>绩效评价指标分析</w:t>
      </w:r>
      <w:bookmarkEnd w:id="7"/>
    </w:p>
    <w:p>
      <w:pPr>
        <w:pStyle w:val="18"/>
        <w:numPr>
          <w:ilvl w:val="0"/>
          <w:numId w:val="7"/>
        </w:numPr>
        <w:spacing w:beforeLines="50" w:line="600" w:lineRule="exact"/>
        <w:ind w:left="0" w:firstLine="643"/>
        <w:rPr>
          <w:rFonts w:ascii="仿宋_GB2312" w:hAnsi="仿宋" w:eastAsia="仿宋_GB2312" w:cs="宋体"/>
          <w:b/>
          <w:bCs/>
          <w:sz w:val="32"/>
          <w:szCs w:val="32"/>
        </w:rPr>
      </w:pPr>
      <w:r>
        <w:rPr>
          <w:rFonts w:hint="eastAsia" w:ascii="仿宋_GB2312" w:hAnsi="仿宋" w:eastAsia="仿宋_GB2312" w:cs="宋体"/>
          <w:b/>
          <w:bCs/>
          <w:sz w:val="32"/>
          <w:szCs w:val="32"/>
        </w:rPr>
        <w:t>项目的决策情况</w:t>
      </w:r>
    </w:p>
    <w:p>
      <w:pPr>
        <w:pStyle w:val="27"/>
        <w:ind w:firstLineChars="0"/>
        <w:rPr>
          <w:rFonts w:ascii="仿宋_GB2312" w:hAnsi="仿宋" w:cs="宋体"/>
          <w:sz w:val="32"/>
          <w:szCs w:val="32"/>
        </w:rPr>
      </w:pPr>
      <w:r>
        <w:rPr>
          <w:rFonts w:hint="eastAsia" w:ascii="仿宋_GB2312" w:hAnsi="仿宋" w:cs="宋体"/>
          <w:sz w:val="32"/>
          <w:szCs w:val="32"/>
        </w:rPr>
        <w:t>本项目的立项符合相关法规政策及部门职责，依据充分；项目按照规定的程序申请设立；审批文件、材料符合相关要求。</w:t>
      </w:r>
    </w:p>
    <w:p>
      <w:pPr>
        <w:pStyle w:val="27"/>
        <w:ind w:firstLineChars="0"/>
        <w:rPr>
          <w:rFonts w:ascii="仿宋_GB2312" w:hAnsi="仿宋" w:cs="宋体"/>
          <w:sz w:val="32"/>
          <w:szCs w:val="32"/>
        </w:rPr>
      </w:pPr>
      <w:r>
        <w:rPr>
          <w:rFonts w:hint="eastAsia" w:ascii="仿宋_GB2312" w:hAnsi="仿宋" w:cs="宋体"/>
          <w:sz w:val="32"/>
          <w:szCs w:val="32"/>
        </w:rPr>
        <w:t>项目根据相关文件要求设置了绩效目标，项目绩效目标基本合理，与实际工作内容相关；项目预期产出效益和效果符合正常的业绩水平；与预算确定的项目投资额或资金量相匹配。将项目绩效目标细化分解为具体的绩效指标；通过清晰、可衡量的指标值予以体现；与项目目标任务数或计划数相对应。</w:t>
      </w:r>
    </w:p>
    <w:p>
      <w:pPr>
        <w:spacing w:beforeLines="50" w:line="600" w:lineRule="exact"/>
        <w:ind w:firstLine="640" w:firstLineChars="200"/>
        <w:rPr>
          <w:rFonts w:ascii="仿宋_GB2312" w:hAnsi="仿宋" w:eastAsia="仿宋_GB2312" w:cs="宋体"/>
          <w:sz w:val="32"/>
          <w:szCs w:val="32"/>
        </w:rPr>
      </w:pPr>
      <w:r>
        <w:rPr>
          <w:rFonts w:hint="eastAsia" w:ascii="仿宋_GB2312" w:hAnsi="仿宋" w:eastAsia="仿宋_GB2312" w:cs="宋体"/>
          <w:sz w:val="32"/>
          <w:szCs w:val="32"/>
        </w:rPr>
        <w:t>项目在资金投入方面，预算编制经过科学论证、有明确标准，资金额度与年度目标相适应，用以反映和考核项目预算编制的科学性、合理性情况。项目预算资金分配有测算依据，与补助单位或地方实际相适应。</w:t>
      </w:r>
    </w:p>
    <w:p>
      <w:pPr>
        <w:pStyle w:val="18"/>
        <w:numPr>
          <w:ilvl w:val="0"/>
          <w:numId w:val="7"/>
        </w:numPr>
        <w:spacing w:beforeLines="50" w:line="600" w:lineRule="exact"/>
        <w:ind w:left="0" w:firstLine="643"/>
        <w:rPr>
          <w:rFonts w:ascii="仿宋_GB2312" w:hAnsi="仿宋" w:eastAsia="仿宋_GB2312" w:cs="宋体"/>
          <w:b/>
          <w:bCs/>
          <w:sz w:val="32"/>
          <w:szCs w:val="32"/>
        </w:rPr>
      </w:pPr>
      <w:r>
        <w:rPr>
          <w:rFonts w:hint="eastAsia" w:ascii="仿宋_GB2312" w:hAnsi="仿宋" w:eastAsia="仿宋_GB2312" w:cs="宋体"/>
          <w:b/>
          <w:bCs/>
          <w:sz w:val="32"/>
          <w:szCs w:val="32"/>
        </w:rPr>
        <w:t>项目的过程情况</w:t>
      </w:r>
    </w:p>
    <w:p>
      <w:pPr>
        <w:spacing w:line="500" w:lineRule="exact"/>
        <w:ind w:firstLine="640" w:firstLineChars="200"/>
        <w:rPr>
          <w:rFonts w:ascii="仿宋_GB2312" w:hAnsi="仿宋" w:eastAsia="仿宋_GB2312" w:cs="宋体"/>
          <w:sz w:val="32"/>
          <w:szCs w:val="32"/>
        </w:rPr>
      </w:pPr>
      <w:r>
        <w:rPr>
          <w:rFonts w:hint="eastAsia" w:ascii="仿宋_GB2312" w:hAnsi="仿宋" w:eastAsia="仿宋_GB2312" w:cs="宋体"/>
          <w:sz w:val="32"/>
          <w:szCs w:val="32"/>
        </w:rPr>
        <w:t>在资金管理方面，项目资金到位足额及时，及时支付，资金使用符合国家法规和财务管理制度；资金拨付有完整的审批程序和手续，符合项目预算批复或合同规定的用途；不存在截留、挤占、挪用、虚列支出等情况。</w:t>
      </w:r>
    </w:p>
    <w:p>
      <w:pPr>
        <w:spacing w:line="500" w:lineRule="exact"/>
        <w:ind w:firstLine="640" w:firstLineChars="200"/>
        <w:rPr>
          <w:rFonts w:ascii="仿宋_GB2312" w:hAnsi="仿宋" w:eastAsia="仿宋_GB2312" w:cs="宋体"/>
          <w:sz w:val="32"/>
          <w:szCs w:val="32"/>
        </w:rPr>
      </w:pPr>
      <w:r>
        <w:rPr>
          <w:rFonts w:hint="eastAsia" w:ascii="仿宋_GB2312" w:hAnsi="仿宋" w:eastAsia="仿宋_GB2312" w:cs="宋体"/>
          <w:sz w:val="32"/>
          <w:szCs w:val="32"/>
        </w:rPr>
        <w:t>在项目组织实施方面，项目单位已制定或具有相应的财务和业务管理制度，财务和业务管理制度合法、合规、完整。项目实施遵守相关法律法规和相关管理规定。</w:t>
      </w:r>
    </w:p>
    <w:p>
      <w:pPr>
        <w:pStyle w:val="18"/>
        <w:numPr>
          <w:ilvl w:val="0"/>
          <w:numId w:val="7"/>
        </w:numPr>
        <w:spacing w:beforeLines="50" w:line="600" w:lineRule="exact"/>
        <w:ind w:left="0" w:firstLine="643"/>
        <w:rPr>
          <w:rFonts w:ascii="仿宋_GB2312" w:hAnsi="仿宋" w:eastAsia="仿宋_GB2312" w:cs="宋体"/>
          <w:b/>
          <w:bCs/>
          <w:sz w:val="32"/>
          <w:szCs w:val="32"/>
        </w:rPr>
      </w:pPr>
      <w:r>
        <w:rPr>
          <w:rFonts w:hint="eastAsia" w:ascii="仿宋_GB2312" w:hAnsi="仿宋" w:eastAsia="仿宋_GB2312" w:cs="宋体"/>
          <w:b/>
          <w:bCs/>
          <w:sz w:val="32"/>
          <w:szCs w:val="32"/>
        </w:rPr>
        <w:t>项目产出情况</w:t>
      </w:r>
    </w:p>
    <w:p>
      <w:pPr>
        <w:spacing w:beforeLines="50" w:line="600" w:lineRule="exact"/>
        <w:ind w:firstLine="660"/>
        <w:rPr>
          <w:rFonts w:ascii="仿宋_GB2312" w:eastAsia="仿宋_GB2312"/>
          <w:color w:val="FF0000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项目产出数量为</w:t>
      </w:r>
      <w:r>
        <w:rPr>
          <w:rFonts w:hint="eastAsia" w:ascii="仿宋" w:hAnsi="仿宋" w:eastAsia="仿宋"/>
          <w:color w:val="000000" w:themeColor="text1"/>
          <w:sz w:val="32"/>
          <w:szCs w:val="32"/>
          <w:lang w:eastAsia="zh-CN"/>
        </w:rPr>
        <w:t>花</w:t>
      </w:r>
      <w:r>
        <w:rPr>
          <w:rFonts w:hint="eastAsia" w:ascii="仿宋" w:hAnsi="仿宋" w:eastAsia="仿宋"/>
          <w:color w:val="000000" w:themeColor="text1"/>
          <w:sz w:val="32"/>
          <w:szCs w:val="32"/>
        </w:rPr>
        <w:t>秸秆还田残膜回收联合作业机样机数量（台）</w:t>
      </w:r>
      <w:r>
        <w:rPr>
          <w:rFonts w:hint="eastAsia" w:ascii="仿宋_GB2312" w:eastAsia="仿宋_GB2312"/>
          <w:sz w:val="32"/>
          <w:szCs w:val="32"/>
        </w:rPr>
        <w:t>，预期指标值为1</w:t>
      </w:r>
      <w:r>
        <w:rPr>
          <w:rFonts w:hint="eastAsia" w:ascii="仿宋" w:hAnsi="仿宋" w:eastAsia="仿宋"/>
          <w:color w:val="000000" w:themeColor="text1"/>
          <w:sz w:val="32"/>
          <w:szCs w:val="32"/>
        </w:rPr>
        <w:t>台</w:t>
      </w:r>
      <w:r>
        <w:rPr>
          <w:rFonts w:hint="eastAsia" w:ascii="仿宋_GB2312" w:eastAsia="仿宋_GB2312"/>
          <w:sz w:val="32"/>
          <w:szCs w:val="32"/>
        </w:rPr>
        <w:t>，实际完成值为1</w:t>
      </w:r>
      <w:r>
        <w:rPr>
          <w:rFonts w:hint="eastAsia" w:ascii="仿宋" w:hAnsi="仿宋" w:eastAsia="仿宋"/>
          <w:color w:val="000000" w:themeColor="text1"/>
          <w:sz w:val="32"/>
          <w:szCs w:val="32"/>
        </w:rPr>
        <w:t>台</w:t>
      </w:r>
      <w:r>
        <w:rPr>
          <w:rFonts w:hint="eastAsia" w:ascii="仿宋_GB2312" w:eastAsia="仿宋_GB2312"/>
          <w:sz w:val="32"/>
          <w:szCs w:val="32"/>
        </w:rPr>
        <w:t>，指标达到预期目标；</w:t>
      </w:r>
    </w:p>
    <w:p>
      <w:pPr>
        <w:spacing w:beforeLines="50" w:line="600" w:lineRule="exact"/>
        <w:ind w:firstLine="66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项目产出质量为</w:t>
      </w:r>
      <w:r>
        <w:rPr>
          <w:rFonts w:hint="eastAsia" w:ascii="仿宋" w:hAnsi="仿宋" w:eastAsia="仿宋"/>
          <w:color w:val="000000" w:themeColor="text1"/>
          <w:sz w:val="32"/>
          <w:szCs w:val="32"/>
        </w:rPr>
        <w:t>采取两项作业一次完成，降低农机作业费（≥*%）</w:t>
      </w:r>
      <w:r>
        <w:rPr>
          <w:rFonts w:hint="eastAsia" w:ascii="仿宋_GB2312" w:eastAsia="仿宋_GB2312"/>
          <w:sz w:val="32"/>
          <w:szCs w:val="32"/>
        </w:rPr>
        <w:t>，预期指标值为30%，实际完成值为30%，指标达到预期目标；</w:t>
      </w:r>
    </w:p>
    <w:p>
      <w:pPr>
        <w:spacing w:beforeLines="50" w:line="600" w:lineRule="exact"/>
        <w:ind w:firstLine="660"/>
        <w:rPr>
          <w:rFonts w:ascii="仿宋_GB2312" w:eastAsia="仿宋_GB2312"/>
          <w:sz w:val="32"/>
          <w:szCs w:val="32"/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</w:rPr>
        <w:t>申请国家专利及技术鉴定（≥*%），预期指标是90%，实际完成值是90%，</w:t>
      </w:r>
      <w:r>
        <w:rPr>
          <w:rFonts w:hint="eastAsia" w:ascii="仿宋_GB2312" w:eastAsia="仿宋_GB2312"/>
          <w:sz w:val="32"/>
          <w:szCs w:val="32"/>
        </w:rPr>
        <w:t>指标达到预期目标；</w:t>
      </w:r>
    </w:p>
    <w:p>
      <w:pPr>
        <w:spacing w:beforeLines="50" w:line="600" w:lineRule="exact"/>
        <w:ind w:firstLine="66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项目产出时效为</w:t>
      </w:r>
      <w:r>
        <w:rPr>
          <w:rFonts w:hint="eastAsia" w:ascii="仿宋" w:hAnsi="仿宋" w:eastAsia="仿宋"/>
          <w:color w:val="000000" w:themeColor="text1"/>
          <w:sz w:val="32"/>
          <w:szCs w:val="32"/>
        </w:rPr>
        <w:t>本年度项目研制成功及时率（%）</w:t>
      </w:r>
      <w:r>
        <w:rPr>
          <w:rFonts w:hint="eastAsia" w:ascii="仿宋_GB2312" w:eastAsia="仿宋_GB2312"/>
          <w:sz w:val="32"/>
          <w:szCs w:val="32"/>
        </w:rPr>
        <w:t>，预期指标值为</w:t>
      </w:r>
      <w:r>
        <w:rPr>
          <w:rFonts w:hint="eastAsia" w:ascii="仿宋" w:hAnsi="仿宋" w:eastAsia="仿宋"/>
          <w:color w:val="000000" w:themeColor="text1"/>
          <w:sz w:val="32"/>
          <w:szCs w:val="32"/>
        </w:rPr>
        <w:t>100%</w:t>
      </w:r>
      <w:r>
        <w:rPr>
          <w:rFonts w:hint="eastAsia" w:ascii="仿宋_GB2312" w:eastAsia="仿宋_GB2312"/>
          <w:sz w:val="32"/>
          <w:szCs w:val="32"/>
        </w:rPr>
        <w:t>，实际完成值为</w:t>
      </w:r>
      <w:r>
        <w:rPr>
          <w:rFonts w:hint="eastAsia" w:ascii="仿宋" w:hAnsi="仿宋" w:eastAsia="仿宋"/>
          <w:color w:val="000000" w:themeColor="text1"/>
          <w:sz w:val="32"/>
          <w:szCs w:val="32"/>
        </w:rPr>
        <w:t>100%</w:t>
      </w:r>
      <w:r>
        <w:rPr>
          <w:rFonts w:hint="eastAsia" w:ascii="仿宋_GB2312" w:eastAsia="仿宋_GB2312"/>
          <w:sz w:val="32"/>
          <w:szCs w:val="32"/>
        </w:rPr>
        <w:t>，达到预期目标。</w:t>
      </w:r>
    </w:p>
    <w:p>
      <w:pPr>
        <w:spacing w:beforeLines="50" w:line="600" w:lineRule="exact"/>
        <w:ind w:firstLine="66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项目产出成本指标为</w:t>
      </w:r>
      <w:r>
        <w:rPr>
          <w:rFonts w:hint="eastAsia" w:ascii="仿宋" w:hAnsi="仿宋" w:eastAsia="仿宋"/>
          <w:color w:val="000000" w:themeColor="text1"/>
          <w:sz w:val="32"/>
          <w:szCs w:val="32"/>
        </w:rPr>
        <w:t>研发过程中所需要的成本（≤*万元）</w:t>
      </w:r>
      <w:r>
        <w:rPr>
          <w:rFonts w:hint="eastAsia" w:ascii="仿宋_GB2312" w:eastAsia="仿宋_GB2312"/>
          <w:sz w:val="32"/>
          <w:szCs w:val="32"/>
        </w:rPr>
        <w:t>，预期指标值为11.12</w:t>
      </w:r>
      <w:r>
        <w:rPr>
          <w:rFonts w:hint="eastAsia" w:ascii="仿宋" w:hAnsi="仿宋" w:eastAsia="仿宋"/>
          <w:color w:val="000000" w:themeColor="text1"/>
          <w:sz w:val="32"/>
          <w:szCs w:val="32"/>
        </w:rPr>
        <w:t>万元</w:t>
      </w:r>
      <w:r>
        <w:rPr>
          <w:rFonts w:hint="eastAsia" w:ascii="仿宋_GB2312" w:eastAsia="仿宋_GB2312"/>
          <w:sz w:val="32"/>
          <w:szCs w:val="32"/>
        </w:rPr>
        <w:t>，实际完成值为11.12</w:t>
      </w:r>
      <w:r>
        <w:rPr>
          <w:rFonts w:hint="eastAsia" w:ascii="仿宋" w:hAnsi="仿宋" w:eastAsia="仿宋"/>
          <w:color w:val="000000" w:themeColor="text1"/>
          <w:sz w:val="32"/>
          <w:szCs w:val="32"/>
        </w:rPr>
        <w:t>万元</w:t>
      </w:r>
      <w:r>
        <w:rPr>
          <w:rFonts w:hint="eastAsia" w:ascii="仿宋_GB2312" w:eastAsia="仿宋_GB2312"/>
          <w:sz w:val="32"/>
          <w:szCs w:val="32"/>
        </w:rPr>
        <w:t>，达到预期目标。</w:t>
      </w:r>
    </w:p>
    <w:p>
      <w:pPr>
        <w:pStyle w:val="18"/>
        <w:numPr>
          <w:ilvl w:val="0"/>
          <w:numId w:val="7"/>
        </w:numPr>
        <w:spacing w:beforeLines="50" w:line="600" w:lineRule="exact"/>
        <w:ind w:left="0" w:firstLine="643"/>
        <w:rPr>
          <w:rFonts w:ascii="仿宋_GB2312" w:hAnsi="仿宋" w:eastAsia="仿宋_GB2312" w:cs="宋体"/>
          <w:b/>
          <w:bCs/>
          <w:sz w:val="32"/>
          <w:szCs w:val="32"/>
        </w:rPr>
      </w:pPr>
      <w:r>
        <w:rPr>
          <w:rFonts w:hint="eastAsia" w:ascii="仿宋_GB2312" w:hAnsi="仿宋" w:eastAsia="仿宋_GB2312" w:cs="宋体"/>
          <w:b/>
          <w:bCs/>
          <w:sz w:val="32"/>
          <w:szCs w:val="32"/>
        </w:rPr>
        <w:t>项目效益情况</w:t>
      </w:r>
    </w:p>
    <w:p>
      <w:pPr>
        <w:spacing w:beforeLines="50" w:line="600" w:lineRule="exact"/>
        <w:ind w:firstLine="640" w:firstLineChars="200"/>
        <w:rPr>
          <w:rFonts w:ascii="仿宋_GB2312" w:hAnsi="仿宋" w:eastAsia="仿宋_GB2312" w:cs="宋体"/>
          <w:bCs/>
          <w:sz w:val="32"/>
          <w:szCs w:val="32"/>
        </w:rPr>
      </w:pPr>
      <w:r>
        <w:rPr>
          <w:rFonts w:hint="eastAsia" w:ascii="仿宋_GB2312" w:hAnsi="仿宋" w:eastAsia="仿宋_GB2312" w:cs="宋体"/>
          <w:bCs/>
          <w:sz w:val="32"/>
          <w:szCs w:val="32"/>
        </w:rPr>
        <w:t>项目实施不产生的经济效益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spacing w:beforeLines="50" w:line="600" w:lineRule="exact"/>
        <w:ind w:firstLine="640" w:firstLineChars="200"/>
        <w:rPr>
          <w:rFonts w:ascii="仿宋_GB2312" w:hAnsi="仿宋" w:eastAsia="仿宋_GB2312" w:cs="宋体"/>
          <w:bCs/>
          <w:sz w:val="32"/>
          <w:szCs w:val="32"/>
        </w:rPr>
      </w:pPr>
      <w:r>
        <w:rPr>
          <w:rFonts w:hint="eastAsia" w:ascii="仿宋_GB2312" w:hAnsi="仿宋" w:eastAsia="仿宋_GB2312" w:cs="宋体"/>
          <w:bCs/>
          <w:sz w:val="32"/>
          <w:szCs w:val="32"/>
        </w:rPr>
        <w:t>项目实施产生的社会效益</w:t>
      </w:r>
      <w:r>
        <w:rPr>
          <w:rFonts w:hint="eastAsia" w:ascii="仿宋_GB2312" w:eastAsia="仿宋_GB2312"/>
          <w:sz w:val="32"/>
          <w:szCs w:val="32"/>
        </w:rPr>
        <w:t>指标为</w:t>
      </w:r>
      <w:r>
        <w:rPr>
          <w:rFonts w:hint="eastAsia" w:ascii="仿宋" w:hAnsi="仿宋" w:eastAsia="仿宋" w:cs="仿宋"/>
          <w:color w:val="000000" w:themeColor="text1"/>
          <w:spacing w:val="-4"/>
          <w:sz w:val="30"/>
          <w:szCs w:val="30"/>
        </w:rPr>
        <w:t>实现废旧地膜再生、节约资源，预期指标是可持续，实际完成值是可持续</w:t>
      </w:r>
      <w:r>
        <w:rPr>
          <w:rFonts w:hint="eastAsia" w:ascii="仿宋_GB2312" w:hAnsi="仿宋" w:eastAsia="仿宋_GB2312" w:cs="宋体"/>
          <w:bCs/>
          <w:sz w:val="32"/>
          <w:szCs w:val="32"/>
        </w:rPr>
        <w:t>，达到了预期目标。</w:t>
      </w:r>
    </w:p>
    <w:p>
      <w:pPr>
        <w:spacing w:beforeLines="50" w:line="600" w:lineRule="exact"/>
        <w:ind w:firstLine="640" w:firstLineChars="200"/>
        <w:rPr>
          <w:rFonts w:ascii="仿宋_GB2312" w:hAnsi="仿宋" w:eastAsia="仿宋_GB2312" w:cs="宋体"/>
          <w:bCs/>
          <w:sz w:val="32"/>
          <w:szCs w:val="32"/>
        </w:rPr>
      </w:pPr>
      <w:r>
        <w:rPr>
          <w:rFonts w:hint="eastAsia" w:ascii="仿宋_GB2312" w:hAnsi="仿宋" w:eastAsia="仿宋_GB2312" w:cs="宋体"/>
          <w:bCs/>
          <w:sz w:val="32"/>
          <w:szCs w:val="32"/>
        </w:rPr>
        <w:t>项目实施产生的生态效益</w:t>
      </w:r>
      <w:r>
        <w:rPr>
          <w:rFonts w:hint="eastAsia" w:ascii="仿宋_GB2312" w:eastAsia="仿宋_GB2312"/>
          <w:sz w:val="32"/>
          <w:szCs w:val="32"/>
        </w:rPr>
        <w:t>指标为</w:t>
      </w:r>
      <w:r>
        <w:rPr>
          <w:rFonts w:hint="eastAsia" w:ascii="仿宋" w:hAnsi="仿宋" w:eastAsia="仿宋" w:cs="仿宋"/>
          <w:color w:val="000000" w:themeColor="text1"/>
          <w:spacing w:val="-4"/>
          <w:sz w:val="30"/>
          <w:szCs w:val="30"/>
        </w:rPr>
        <w:t>遏制土壤“白色污染” 保护环境（≥*%），预期指标是80%，实际完成值是80%</w:t>
      </w:r>
      <w:r>
        <w:rPr>
          <w:rFonts w:hint="eastAsia" w:ascii="仿宋_GB2312" w:hAnsi="仿宋" w:eastAsia="仿宋_GB2312" w:cs="宋体"/>
          <w:bCs/>
          <w:sz w:val="32"/>
          <w:szCs w:val="32"/>
        </w:rPr>
        <w:t>，达到了预期目标。</w:t>
      </w:r>
    </w:p>
    <w:p>
      <w:pPr>
        <w:spacing w:beforeLines="50" w:line="600" w:lineRule="exact"/>
        <w:ind w:firstLine="640" w:firstLineChars="200"/>
        <w:rPr>
          <w:rFonts w:ascii="仿宋_GB2312" w:hAnsi="仿宋" w:eastAsia="仿宋_GB2312" w:cs="宋体"/>
          <w:bCs/>
          <w:sz w:val="32"/>
          <w:szCs w:val="32"/>
        </w:rPr>
      </w:pPr>
      <w:r>
        <w:rPr>
          <w:rFonts w:hint="eastAsia" w:ascii="仿宋_GB2312" w:hAnsi="仿宋" w:eastAsia="仿宋_GB2312" w:cs="宋体"/>
          <w:bCs/>
          <w:sz w:val="32"/>
          <w:szCs w:val="32"/>
        </w:rPr>
        <w:t>项目的可持续效益效益</w:t>
      </w:r>
      <w:r>
        <w:rPr>
          <w:rFonts w:hint="eastAsia" w:ascii="仿宋_GB2312" w:eastAsia="仿宋_GB2312"/>
          <w:sz w:val="32"/>
          <w:szCs w:val="32"/>
        </w:rPr>
        <w:t>指标为</w:t>
      </w:r>
      <w:r>
        <w:rPr>
          <w:rFonts w:hint="eastAsia" w:ascii="仿宋" w:hAnsi="仿宋" w:eastAsia="仿宋" w:cs="仿宋"/>
          <w:color w:val="000000" w:themeColor="text1"/>
          <w:spacing w:val="-4"/>
          <w:sz w:val="30"/>
          <w:szCs w:val="30"/>
        </w:rPr>
        <w:t>实现废旧地膜再生、节约资源，预期指标是可持续，实际完成值是可持续</w:t>
      </w:r>
      <w:r>
        <w:rPr>
          <w:rFonts w:hint="eastAsia" w:ascii="仿宋_GB2312" w:hAnsi="仿宋" w:eastAsia="仿宋_GB2312" w:cs="宋体"/>
          <w:bCs/>
          <w:sz w:val="32"/>
          <w:szCs w:val="32"/>
        </w:rPr>
        <w:t>，达到了预期目标</w:t>
      </w:r>
    </w:p>
    <w:p>
      <w:pPr>
        <w:spacing w:beforeLines="50" w:line="600" w:lineRule="exact"/>
        <w:ind w:firstLine="640" w:firstLineChars="200"/>
        <w:rPr>
          <w:rFonts w:ascii="仿宋_GB2312" w:hAnsi="仿宋" w:eastAsia="仿宋_GB2312" w:cs="宋体"/>
          <w:bCs/>
          <w:sz w:val="32"/>
          <w:szCs w:val="32"/>
        </w:rPr>
      </w:pPr>
      <w:r>
        <w:rPr>
          <w:rFonts w:hint="eastAsia" w:ascii="仿宋_GB2312" w:hAnsi="仿宋" w:eastAsia="仿宋_GB2312" w:cs="宋体"/>
          <w:bCs/>
          <w:sz w:val="32"/>
          <w:szCs w:val="32"/>
        </w:rPr>
        <w:t>经问卷调查</w:t>
      </w:r>
      <w:r>
        <w:rPr>
          <w:rFonts w:hint="eastAsia" w:ascii="仿宋_GB2312" w:hAnsi="仿宋" w:eastAsia="仿宋_GB2312" w:cs="宋体"/>
          <w:bCs/>
          <w:color w:val="FF0000"/>
          <w:sz w:val="32"/>
          <w:szCs w:val="32"/>
        </w:rPr>
        <w:t>，</w:t>
      </w:r>
      <w:r>
        <w:rPr>
          <w:rFonts w:hint="eastAsia" w:ascii="仿宋_GB2312" w:hAnsi="仿宋" w:eastAsia="仿宋_GB2312" w:cs="宋体"/>
          <w:bCs/>
          <w:sz w:val="32"/>
          <w:szCs w:val="32"/>
        </w:rPr>
        <w:t>项目收益群众满意度为：80%，达到了预期目标。</w:t>
      </w:r>
    </w:p>
    <w:p>
      <w:pPr>
        <w:pStyle w:val="22"/>
        <w:numPr>
          <w:ilvl w:val="0"/>
          <w:numId w:val="6"/>
        </w:numPr>
        <w:ind w:firstLineChars="0"/>
      </w:pPr>
      <w:r>
        <w:rPr>
          <w:rFonts w:hint="eastAsia" w:ascii="黑体" w:hAnsi="黑体"/>
        </w:rPr>
        <w:t>主要经验及做法、存在的问题及原因分析</w:t>
      </w:r>
    </w:p>
    <w:p>
      <w:pPr>
        <w:pStyle w:val="24"/>
        <w:numPr>
          <w:ilvl w:val="0"/>
          <w:numId w:val="8"/>
        </w:numPr>
        <w:ind w:left="0" w:firstLine="643" w:firstLineChars="200"/>
      </w:pPr>
      <w:r>
        <w:rPr>
          <w:rFonts w:hint="eastAsia"/>
        </w:rPr>
        <w:t>主要经验及做法</w:t>
      </w:r>
    </w:p>
    <w:p>
      <w:pPr>
        <w:pStyle w:val="24"/>
        <w:numPr>
          <w:ilvl w:val="0"/>
          <w:numId w:val="0"/>
        </w:numPr>
        <w:ind w:firstLine="640" w:firstLineChars="200"/>
      </w:pPr>
      <w:r>
        <w:rPr>
          <w:rFonts w:hint="eastAsia"/>
          <w:b w:val="0"/>
        </w:rPr>
        <w:t>本项目实施效果较好的原因主要是管理制度完善、责任落实到位，跟踪考核机制完善且运行有效，在项目执行过程中资金安排有条不紊，严格执行资金安排合理，使用过程严格把关，没有超预算。</w:t>
      </w:r>
    </w:p>
    <w:p>
      <w:pPr>
        <w:pStyle w:val="24"/>
        <w:numPr>
          <w:ilvl w:val="0"/>
          <w:numId w:val="8"/>
        </w:numPr>
        <w:ind w:left="0" w:firstLine="643" w:firstLineChars="200"/>
      </w:pPr>
      <w:r>
        <w:rPr>
          <w:rFonts w:hint="eastAsia"/>
        </w:rPr>
        <w:t>存在的问题及原因分析</w:t>
      </w:r>
    </w:p>
    <w:p>
      <w:pPr>
        <w:widowControl/>
        <w:snapToGrid w:val="0"/>
        <w:spacing w:line="560" w:lineRule="atLeast"/>
        <w:ind w:firstLine="640"/>
        <w:rPr>
          <w:rFonts w:ascii="仿宋_GB2312" w:hAnsi="宋体" w:eastAsia="仿宋_GB2312"/>
          <w:bCs/>
          <w:spacing w:val="11"/>
          <w:sz w:val="32"/>
          <w:szCs w:val="32"/>
        </w:rPr>
      </w:pPr>
      <w:r>
        <w:rPr>
          <w:rFonts w:hint="eastAsia"/>
        </w:rPr>
        <w:t xml:space="preserve"> </w:t>
      </w:r>
      <w:r>
        <w:t xml:space="preserve"> </w:t>
      </w:r>
      <w:r>
        <w:rPr>
          <w:rFonts w:hint="eastAsia" w:ascii="仿宋_GB2312" w:hAnsi="宋体" w:eastAsia="仿宋_GB2312"/>
          <w:spacing w:val="11"/>
          <w:sz w:val="32"/>
          <w:szCs w:val="32"/>
        </w:rPr>
        <w:t>一是对各项指标和指标值要进一步优化、完善，主要在细化、量化上改进，二是自评价工作还存在自我审定的局限性，会影响评价质量，容易造成问题的疏漏，在客观性和公正性上说服力不强，三是缺少带着问题去评价的意识，四是现场评价的工作量少，后续效益评价具体措施和方法较少。</w:t>
      </w:r>
    </w:p>
    <w:p>
      <w:pPr>
        <w:pStyle w:val="22"/>
        <w:numPr>
          <w:ilvl w:val="0"/>
          <w:numId w:val="6"/>
        </w:numPr>
        <w:ind w:firstLineChars="0"/>
        <w:rPr>
          <w:rFonts w:ascii="黑体" w:hAnsi="黑体"/>
        </w:rPr>
      </w:pPr>
      <w:r>
        <w:rPr>
          <w:rFonts w:hint="eastAsia" w:ascii="黑体" w:hAnsi="黑体"/>
        </w:rPr>
        <w:t>有关建议</w:t>
      </w:r>
    </w:p>
    <w:p>
      <w:pPr>
        <w:widowControl/>
        <w:snapToGrid w:val="0"/>
        <w:spacing w:line="560" w:lineRule="atLeast"/>
        <w:ind w:firstLine="840" w:firstLineChars="250"/>
        <w:rPr>
          <w:rFonts w:ascii="仿宋_GB2312" w:hAnsi="宋体" w:eastAsia="仿宋_GB2312"/>
          <w:spacing w:val="8"/>
          <w:sz w:val="32"/>
          <w:szCs w:val="32"/>
        </w:rPr>
      </w:pPr>
      <w:r>
        <w:rPr>
          <w:rFonts w:hint="eastAsia" w:ascii="仿宋_GB2312" w:hAnsi="宋体" w:eastAsia="仿宋_GB2312"/>
          <w:bCs/>
          <w:spacing w:val="8"/>
          <w:sz w:val="32"/>
          <w:szCs w:val="32"/>
        </w:rPr>
        <w:t>一是项目建设的程序进一步规范。</w:t>
      </w:r>
      <w:r>
        <w:rPr>
          <w:rFonts w:hint="eastAsia" w:ascii="仿宋_GB2312" w:hAnsi="宋体" w:eastAsia="仿宋_GB2312"/>
          <w:spacing w:val="8"/>
          <w:sz w:val="32"/>
          <w:szCs w:val="32"/>
        </w:rPr>
        <w:t>项目前期做好可行性研究报告，更加细化实施方案，严格执行资金管理办法和财政资金管理制度，严格按照项目实施方案、招投标管理办法等稳步推进工作，各部门单位根据自己项目的特点进行总结。二是</w:t>
      </w:r>
      <w:r>
        <w:rPr>
          <w:rFonts w:hint="eastAsia" w:ascii="仿宋_GB2312" w:hAnsi="宋体" w:eastAsia="仿宋_GB2312"/>
          <w:bCs/>
          <w:spacing w:val="8"/>
          <w:sz w:val="32"/>
          <w:szCs w:val="32"/>
        </w:rPr>
        <w:t>项目评价资料有待进一步完善。</w:t>
      </w:r>
      <w:r>
        <w:rPr>
          <w:rFonts w:hint="eastAsia" w:ascii="仿宋_GB2312" w:hAnsi="宋体" w:eastAsia="仿宋_GB2312"/>
          <w:spacing w:val="8"/>
          <w:sz w:val="32"/>
          <w:szCs w:val="32"/>
        </w:rPr>
        <w:t>项目启动时同步做好档案的归纳与整理，及时整理、收集、汇总，健全档案资料。三是通过绩效管理，发现实施中存在漏洞。四是评价工作应从项目实施方案源头抓起，评价工作和意识应贯穿项目整个过程。</w:t>
      </w:r>
    </w:p>
    <w:p>
      <w:pPr>
        <w:pStyle w:val="22"/>
        <w:ind w:firstLine="0" w:firstLineChars="0"/>
        <w:rPr>
          <w:rFonts w:ascii="黑体" w:hAnsi="黑体"/>
          <w:b w:val="0"/>
        </w:rPr>
      </w:pPr>
    </w:p>
    <w:p>
      <w:pPr>
        <w:pStyle w:val="22"/>
        <w:numPr>
          <w:ilvl w:val="0"/>
          <w:numId w:val="6"/>
        </w:numPr>
        <w:ind w:firstLineChars="0"/>
        <w:rPr>
          <w:rFonts w:ascii="黑体" w:hAnsi="黑体"/>
        </w:rPr>
      </w:pPr>
      <w:r>
        <w:rPr>
          <w:rFonts w:hint="eastAsia" w:ascii="黑体" w:hAnsi="黑体"/>
        </w:rPr>
        <w:t>其他需要说明的问题</w:t>
      </w:r>
    </w:p>
    <w:p>
      <w:pPr>
        <w:pStyle w:val="18"/>
        <w:spacing w:beforeLines="50" w:line="600" w:lineRule="exact"/>
        <w:ind w:left="1391" w:firstLine="0" w:firstLineChars="0"/>
        <w:rPr>
          <w:rFonts w:ascii="仿宋_GB2312" w:hAnsi="仿宋" w:eastAsia="仿宋_GB2312" w:cs="宋体"/>
          <w:sz w:val="32"/>
          <w:szCs w:val="32"/>
        </w:rPr>
      </w:pPr>
      <w:r>
        <w:rPr>
          <w:rFonts w:hint="eastAsia" w:ascii="仿宋_GB2312" w:hAnsi="仿宋" w:eastAsia="仿宋_GB2312"/>
          <w:spacing w:val="-4"/>
          <w:kern w:val="0"/>
          <w:sz w:val="32"/>
          <w:szCs w:val="32"/>
        </w:rPr>
        <w:t>无其他说明内容。</w:t>
      </w:r>
    </w:p>
    <w:p>
      <w:pPr>
        <w:spacing w:beforeLines="50" w:line="600" w:lineRule="exact"/>
        <w:rPr>
          <w:rFonts w:ascii="仿宋_GB2312" w:hAnsi="仿宋" w:eastAsia="仿宋_GB2312" w:cs="宋体"/>
          <w:sz w:val="32"/>
          <w:szCs w:val="32"/>
        </w:rPr>
      </w:pPr>
    </w:p>
    <w:p>
      <w:pPr>
        <w:spacing w:beforeLines="50" w:line="600" w:lineRule="exact"/>
        <w:ind w:firstLine="640" w:firstLineChars="200"/>
        <w:rPr>
          <w:rFonts w:ascii="仿宋_GB2312" w:hAnsi="仿宋" w:eastAsia="仿宋_GB2312" w:cs="宋体"/>
          <w:sz w:val="32"/>
          <w:szCs w:val="32"/>
        </w:rPr>
      </w:pPr>
      <w:r>
        <w:rPr>
          <w:rFonts w:hint="eastAsia" w:ascii="仿宋_GB2312" w:hAnsi="仿宋" w:eastAsia="仿宋_GB2312" w:cs="宋体"/>
          <w:sz w:val="32"/>
          <w:szCs w:val="32"/>
        </w:rPr>
        <w:t>附件1：喀什地区农机技术推广站</w:t>
      </w:r>
      <w:r>
        <w:rPr>
          <w:rFonts w:hint="eastAsia" w:ascii="仿宋_GB2312" w:hAnsi="仿宋" w:eastAsia="仿宋_GB2312" w:cs="宋体"/>
          <w:sz w:val="32"/>
          <w:szCs w:val="32"/>
          <w:lang w:eastAsia="zh-CN"/>
        </w:rPr>
        <w:t>花</w:t>
      </w:r>
      <w:r>
        <w:rPr>
          <w:rFonts w:hint="eastAsia" w:ascii="仿宋_GB2312" w:hAnsi="仿宋" w:eastAsia="仿宋_GB2312" w:cs="宋体"/>
          <w:sz w:val="32"/>
          <w:szCs w:val="32"/>
        </w:rPr>
        <w:t>残膜秸秆回收项目支出绩效目标申报表</w:t>
      </w:r>
    </w:p>
    <w:p>
      <w:pPr>
        <w:spacing w:beforeLines="50" w:line="600" w:lineRule="exact"/>
        <w:ind w:firstLine="640" w:firstLineChars="200"/>
        <w:rPr>
          <w:rFonts w:ascii="仿宋_GB2312" w:hAnsi="仿宋" w:eastAsia="仿宋_GB2312" w:cs="宋体"/>
          <w:sz w:val="32"/>
          <w:szCs w:val="32"/>
        </w:rPr>
      </w:pPr>
      <w:r>
        <w:rPr>
          <w:rFonts w:hint="eastAsia" w:ascii="仿宋_GB2312" w:hAnsi="仿宋" w:eastAsia="仿宋_GB2312" w:cs="宋体"/>
          <w:sz w:val="32"/>
          <w:szCs w:val="32"/>
        </w:rPr>
        <w:t>附件2：喀什地区农机技术推广站</w:t>
      </w:r>
      <w:r>
        <w:rPr>
          <w:rFonts w:hint="eastAsia" w:ascii="仿宋_GB2312" w:hAnsi="仿宋" w:eastAsia="仿宋_GB2312" w:cs="宋体"/>
          <w:sz w:val="32"/>
          <w:szCs w:val="32"/>
          <w:lang w:eastAsia="zh-CN"/>
        </w:rPr>
        <w:t>花</w:t>
      </w:r>
      <w:r>
        <w:rPr>
          <w:rFonts w:hint="eastAsia" w:ascii="仿宋_GB2312" w:hAnsi="仿宋" w:eastAsia="仿宋_GB2312" w:cs="宋体"/>
          <w:sz w:val="32"/>
          <w:szCs w:val="32"/>
        </w:rPr>
        <w:t>残膜秸秆回收项目支出绩效目标表</w:t>
      </w:r>
    </w:p>
    <w:p>
      <w:pPr>
        <w:spacing w:beforeLines="50" w:line="600" w:lineRule="exact"/>
        <w:ind w:firstLine="640" w:firstLineChars="200"/>
        <w:rPr>
          <w:rFonts w:ascii="仿宋_GB2312" w:hAnsi="仿宋" w:eastAsia="仿宋_GB2312" w:cs="宋体"/>
          <w:sz w:val="32"/>
          <w:szCs w:val="32"/>
        </w:rPr>
      </w:pPr>
      <w:r>
        <w:rPr>
          <w:rFonts w:hint="eastAsia" w:ascii="仿宋_GB2312" w:hAnsi="仿宋" w:eastAsia="仿宋_GB2312" w:cs="宋体"/>
          <w:sz w:val="32"/>
          <w:szCs w:val="32"/>
        </w:rPr>
        <w:t>附件3：喀什地区农机技术推广站</w:t>
      </w:r>
      <w:r>
        <w:rPr>
          <w:rFonts w:hint="eastAsia" w:ascii="仿宋_GB2312" w:hAnsi="仿宋" w:eastAsia="仿宋_GB2312" w:cs="宋体"/>
          <w:sz w:val="32"/>
          <w:szCs w:val="32"/>
          <w:lang w:eastAsia="zh-CN"/>
        </w:rPr>
        <w:t>花</w:t>
      </w:r>
      <w:r>
        <w:rPr>
          <w:rFonts w:hint="eastAsia" w:ascii="仿宋_GB2312" w:hAnsi="仿宋" w:eastAsia="仿宋_GB2312" w:cs="宋体"/>
          <w:sz w:val="32"/>
          <w:szCs w:val="32"/>
        </w:rPr>
        <w:t>残膜秸秆回收项目支出绩效自评表</w:t>
      </w:r>
    </w:p>
    <w:p>
      <w:pPr>
        <w:spacing w:beforeLines="50" w:line="600" w:lineRule="exact"/>
        <w:ind w:firstLine="640" w:firstLineChars="200"/>
        <w:rPr>
          <w:rFonts w:ascii="仿宋_GB2312" w:hAnsi="仿宋" w:eastAsia="仿宋_GB2312" w:cs="宋体"/>
          <w:sz w:val="32"/>
          <w:szCs w:val="32"/>
        </w:rPr>
      </w:pPr>
      <w:r>
        <w:rPr>
          <w:rFonts w:hint="eastAsia" w:ascii="仿宋_GB2312" w:hAnsi="仿宋" w:eastAsia="仿宋_GB2312" w:cs="宋体"/>
          <w:sz w:val="32"/>
          <w:szCs w:val="32"/>
        </w:rPr>
        <w:t>附件4：喀什地区农机技术推广站</w:t>
      </w:r>
      <w:r>
        <w:rPr>
          <w:rFonts w:hint="eastAsia" w:ascii="仿宋_GB2312" w:hAnsi="仿宋" w:eastAsia="仿宋_GB2312" w:cs="宋体"/>
          <w:sz w:val="32"/>
          <w:szCs w:val="32"/>
          <w:lang w:eastAsia="zh-CN"/>
        </w:rPr>
        <w:t>花</w:t>
      </w:r>
      <w:r>
        <w:rPr>
          <w:rFonts w:hint="eastAsia" w:ascii="仿宋_GB2312" w:hAnsi="仿宋" w:eastAsia="仿宋_GB2312" w:cs="宋体"/>
          <w:sz w:val="32"/>
          <w:szCs w:val="32"/>
        </w:rPr>
        <w:t>残膜秸秆回收项目支出绩效评价指标体系</w:t>
      </w:r>
    </w:p>
    <w:p>
      <w:pPr>
        <w:spacing w:beforeLines="50" w:line="600" w:lineRule="exact"/>
        <w:ind w:firstLine="640" w:firstLineChars="200"/>
        <w:rPr>
          <w:rFonts w:ascii="仿宋_GB2312" w:hAnsi="仿宋" w:eastAsia="仿宋_GB2312" w:cs="宋体"/>
          <w:sz w:val="32"/>
          <w:szCs w:val="32"/>
        </w:rPr>
      </w:pPr>
      <w:r>
        <w:rPr>
          <w:rFonts w:hint="eastAsia" w:ascii="仿宋_GB2312" w:hAnsi="仿宋" w:eastAsia="仿宋_GB2312" w:cs="宋体"/>
          <w:sz w:val="32"/>
          <w:szCs w:val="32"/>
        </w:rPr>
        <w:t>附件5：绩效评价依据</w:t>
      </w:r>
    </w:p>
    <w:p>
      <w:pPr>
        <w:spacing w:beforeLines="50" w:line="600" w:lineRule="exact"/>
        <w:ind w:firstLine="640" w:firstLineChars="200"/>
        <w:rPr>
          <w:rFonts w:ascii="仿宋_GB2312" w:hAnsi="仿宋" w:eastAsia="仿宋_GB2312" w:cs="宋体"/>
          <w:sz w:val="32"/>
          <w:szCs w:val="32"/>
        </w:rPr>
      </w:pPr>
      <w:r>
        <w:rPr>
          <w:rFonts w:hint="eastAsia" w:ascii="仿宋_GB2312" w:hAnsi="仿宋" w:eastAsia="仿宋_GB2312" w:cs="宋体"/>
          <w:sz w:val="32"/>
          <w:szCs w:val="32"/>
        </w:rPr>
        <w:t>附件6：喀什地区农机技术推广站</w:t>
      </w:r>
      <w:r>
        <w:rPr>
          <w:rFonts w:hint="eastAsia" w:ascii="仿宋_GB2312" w:hAnsi="仿宋" w:eastAsia="仿宋_GB2312" w:cs="宋体"/>
          <w:sz w:val="32"/>
          <w:szCs w:val="32"/>
          <w:lang w:eastAsia="zh-CN"/>
        </w:rPr>
        <w:t>花</w:t>
      </w:r>
      <w:r>
        <w:rPr>
          <w:rFonts w:hint="eastAsia" w:ascii="仿宋_GB2312" w:hAnsi="仿宋" w:eastAsia="仿宋_GB2312" w:cs="宋体"/>
          <w:sz w:val="32"/>
          <w:szCs w:val="32"/>
        </w:rPr>
        <w:t>残膜秸秆回收项目支出绩效评价评分表</w:t>
      </w:r>
    </w:p>
    <w:p>
      <w:pPr>
        <w:spacing w:beforeLines="50" w:line="600" w:lineRule="exact"/>
        <w:ind w:firstLine="640" w:firstLineChars="200"/>
        <w:rPr>
          <w:rFonts w:ascii="仿宋_GB2312" w:hAnsi="仿宋" w:eastAsia="仿宋_GB2312" w:cs="宋体"/>
          <w:sz w:val="32"/>
          <w:szCs w:val="32"/>
        </w:rPr>
      </w:pPr>
    </w:p>
    <w:sectPr>
      <w:footerReference r:id="rId3" w:type="default"/>
      <w:pgSz w:w="11906" w:h="16838"/>
      <w:pgMar w:top="1440" w:right="1797" w:bottom="1440" w:left="1797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 Light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MingLiU">
    <w:panose1 w:val="02020509000000000000"/>
    <w:charset w:val="88"/>
    <w:family w:val="modern"/>
    <w:pitch w:val="default"/>
    <w:sig w:usb0="A00002FF" w:usb1="28CFFCFA" w:usb2="00000016" w:usb3="00000000" w:csb0="0010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等线 Ligh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jc w:val="center"/>
    </w:pPr>
  </w:p>
  <w:p>
    <w:pPr>
      <w:pStyle w:val="7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6D4D14"/>
    <w:multiLevelType w:val="multilevel"/>
    <w:tmpl w:val="316D4D14"/>
    <w:lvl w:ilvl="0" w:tentative="0">
      <w:start w:val="1"/>
      <w:numFmt w:val="decimal"/>
      <w:lvlText w:val="%1."/>
      <w:lvlJc w:val="left"/>
      <w:pPr>
        <w:ind w:left="988" w:hanging="420"/>
      </w:pPr>
    </w:lvl>
    <w:lvl w:ilvl="1" w:tentative="0">
      <w:start w:val="1"/>
      <w:numFmt w:val="decimal"/>
      <w:lvlText w:val="%2."/>
      <w:lvlJc w:val="left"/>
      <w:pPr>
        <w:ind w:left="1408" w:hanging="420"/>
      </w:pPr>
    </w:lvl>
    <w:lvl w:ilvl="2" w:tentative="0">
      <w:start w:val="1"/>
      <w:numFmt w:val="lowerRoman"/>
      <w:lvlText w:val="%3."/>
      <w:lvlJc w:val="right"/>
      <w:pPr>
        <w:ind w:left="1828" w:hanging="420"/>
      </w:pPr>
    </w:lvl>
    <w:lvl w:ilvl="3" w:tentative="0">
      <w:start w:val="1"/>
      <w:numFmt w:val="decimal"/>
      <w:lvlText w:val="%4."/>
      <w:lvlJc w:val="left"/>
      <w:pPr>
        <w:ind w:left="2248" w:hanging="420"/>
      </w:pPr>
    </w:lvl>
    <w:lvl w:ilvl="4" w:tentative="0">
      <w:start w:val="1"/>
      <w:numFmt w:val="lowerLetter"/>
      <w:lvlText w:val="%5)"/>
      <w:lvlJc w:val="left"/>
      <w:pPr>
        <w:ind w:left="2668" w:hanging="420"/>
      </w:pPr>
    </w:lvl>
    <w:lvl w:ilvl="5" w:tentative="0">
      <w:start w:val="1"/>
      <w:numFmt w:val="lowerRoman"/>
      <w:lvlText w:val="%6."/>
      <w:lvlJc w:val="right"/>
      <w:pPr>
        <w:ind w:left="3088" w:hanging="420"/>
      </w:pPr>
    </w:lvl>
    <w:lvl w:ilvl="6" w:tentative="0">
      <w:start w:val="1"/>
      <w:numFmt w:val="decimal"/>
      <w:lvlText w:val="%7."/>
      <w:lvlJc w:val="left"/>
      <w:pPr>
        <w:ind w:left="3508" w:hanging="420"/>
      </w:pPr>
    </w:lvl>
    <w:lvl w:ilvl="7" w:tentative="0">
      <w:start w:val="1"/>
      <w:numFmt w:val="lowerLetter"/>
      <w:lvlText w:val="%8)"/>
      <w:lvlJc w:val="left"/>
      <w:pPr>
        <w:ind w:left="3928" w:hanging="420"/>
      </w:pPr>
    </w:lvl>
    <w:lvl w:ilvl="8" w:tentative="0">
      <w:start w:val="1"/>
      <w:numFmt w:val="lowerRoman"/>
      <w:lvlText w:val="%9."/>
      <w:lvlJc w:val="right"/>
      <w:pPr>
        <w:ind w:left="4348" w:hanging="420"/>
      </w:pPr>
    </w:lvl>
  </w:abstractNum>
  <w:abstractNum w:abstractNumId="1">
    <w:nsid w:val="3A7260C0"/>
    <w:multiLevelType w:val="multilevel"/>
    <w:tmpl w:val="3A7260C0"/>
    <w:lvl w:ilvl="0" w:tentative="0">
      <w:start w:val="1"/>
      <w:numFmt w:val="chineseCountingThousand"/>
      <w:pStyle w:val="24"/>
      <w:lvlText w:val="(%1)"/>
      <w:lvlJc w:val="left"/>
      <w:pPr>
        <w:ind w:left="988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3B9B5776"/>
    <w:multiLevelType w:val="multilevel"/>
    <w:tmpl w:val="3B9B5776"/>
    <w:lvl w:ilvl="0" w:tentative="0">
      <w:start w:val="3"/>
      <w:numFmt w:val="japaneseCounting"/>
      <w:lvlText w:val="%1、"/>
      <w:lvlJc w:val="left"/>
      <w:pPr>
        <w:ind w:left="1391" w:hanging="720"/>
      </w:pPr>
      <w:rPr>
        <w:rFonts w:hint="default" w:ascii="黑体" w:hAnsi="黑体"/>
        <w:color w:val="auto"/>
      </w:rPr>
    </w:lvl>
    <w:lvl w:ilvl="1" w:tentative="0">
      <w:start w:val="1"/>
      <w:numFmt w:val="lowerLetter"/>
      <w:lvlText w:val="%2)"/>
      <w:lvlJc w:val="left"/>
      <w:pPr>
        <w:ind w:left="1511" w:hanging="420"/>
      </w:pPr>
    </w:lvl>
    <w:lvl w:ilvl="2" w:tentative="0">
      <w:start w:val="1"/>
      <w:numFmt w:val="lowerRoman"/>
      <w:lvlText w:val="%3."/>
      <w:lvlJc w:val="right"/>
      <w:pPr>
        <w:ind w:left="1931" w:hanging="420"/>
      </w:pPr>
    </w:lvl>
    <w:lvl w:ilvl="3" w:tentative="0">
      <w:start w:val="1"/>
      <w:numFmt w:val="decimal"/>
      <w:lvlText w:val="%4."/>
      <w:lvlJc w:val="left"/>
      <w:pPr>
        <w:ind w:left="2351" w:hanging="420"/>
      </w:pPr>
    </w:lvl>
    <w:lvl w:ilvl="4" w:tentative="0">
      <w:start w:val="1"/>
      <w:numFmt w:val="lowerLetter"/>
      <w:lvlText w:val="%5)"/>
      <w:lvlJc w:val="left"/>
      <w:pPr>
        <w:ind w:left="2771" w:hanging="420"/>
      </w:pPr>
    </w:lvl>
    <w:lvl w:ilvl="5" w:tentative="0">
      <w:start w:val="1"/>
      <w:numFmt w:val="lowerRoman"/>
      <w:lvlText w:val="%6."/>
      <w:lvlJc w:val="right"/>
      <w:pPr>
        <w:ind w:left="3191" w:hanging="420"/>
      </w:pPr>
    </w:lvl>
    <w:lvl w:ilvl="6" w:tentative="0">
      <w:start w:val="1"/>
      <w:numFmt w:val="decimal"/>
      <w:lvlText w:val="%7."/>
      <w:lvlJc w:val="left"/>
      <w:pPr>
        <w:ind w:left="3611" w:hanging="420"/>
      </w:pPr>
    </w:lvl>
    <w:lvl w:ilvl="7" w:tentative="0">
      <w:start w:val="1"/>
      <w:numFmt w:val="lowerLetter"/>
      <w:lvlText w:val="%8)"/>
      <w:lvlJc w:val="left"/>
      <w:pPr>
        <w:ind w:left="4031" w:hanging="420"/>
      </w:pPr>
    </w:lvl>
    <w:lvl w:ilvl="8" w:tentative="0">
      <w:start w:val="1"/>
      <w:numFmt w:val="lowerRoman"/>
      <w:lvlText w:val="%9."/>
      <w:lvlJc w:val="right"/>
      <w:pPr>
        <w:ind w:left="4451" w:hanging="420"/>
      </w:pPr>
    </w:lvl>
  </w:abstractNum>
  <w:abstractNum w:abstractNumId="3">
    <w:nsid w:val="4F37299F"/>
    <w:multiLevelType w:val="multilevel"/>
    <w:tmpl w:val="4F37299F"/>
    <w:lvl w:ilvl="0" w:tentative="0">
      <w:start w:val="1"/>
      <w:numFmt w:val="chineseCountingThousand"/>
      <w:lvlText w:val="(%1)"/>
      <w:lvlJc w:val="left"/>
      <w:pPr>
        <w:ind w:left="420" w:hanging="420"/>
      </w:pPr>
      <w:rPr>
        <w:rFonts w:hint="eastAsia"/>
      </w:rPr>
    </w:lvl>
    <w:lvl w:ilvl="1" w:tentative="0">
      <w:start w:val="1"/>
      <w:numFmt w:val="japaneseCounting"/>
      <w:lvlText w:val="（%2）"/>
      <w:lvlJc w:val="left"/>
      <w:pPr>
        <w:ind w:left="1500" w:hanging="1080"/>
      </w:pPr>
      <w:rPr>
        <w:rFonts w:hint="default"/>
      </w:r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54451D54"/>
    <w:multiLevelType w:val="multilevel"/>
    <w:tmpl w:val="54451D54"/>
    <w:lvl w:ilvl="0" w:tentative="0">
      <w:start w:val="1"/>
      <w:numFmt w:val="decimal"/>
      <w:lvlText w:val="%1．"/>
      <w:lvlJc w:val="left"/>
      <w:pPr>
        <w:ind w:left="1065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1485" w:hanging="420"/>
      </w:pPr>
    </w:lvl>
    <w:lvl w:ilvl="2" w:tentative="0">
      <w:start w:val="1"/>
      <w:numFmt w:val="lowerRoman"/>
      <w:lvlText w:val="%3."/>
      <w:lvlJc w:val="right"/>
      <w:pPr>
        <w:ind w:left="1905" w:hanging="420"/>
      </w:pPr>
    </w:lvl>
    <w:lvl w:ilvl="3" w:tentative="0">
      <w:start w:val="1"/>
      <w:numFmt w:val="decimal"/>
      <w:lvlText w:val="%4."/>
      <w:lvlJc w:val="left"/>
      <w:pPr>
        <w:ind w:left="2325" w:hanging="420"/>
      </w:pPr>
    </w:lvl>
    <w:lvl w:ilvl="4" w:tentative="0">
      <w:start w:val="1"/>
      <w:numFmt w:val="lowerLetter"/>
      <w:lvlText w:val="%5)"/>
      <w:lvlJc w:val="left"/>
      <w:pPr>
        <w:ind w:left="2745" w:hanging="420"/>
      </w:pPr>
    </w:lvl>
    <w:lvl w:ilvl="5" w:tentative="0">
      <w:start w:val="1"/>
      <w:numFmt w:val="lowerRoman"/>
      <w:lvlText w:val="%6."/>
      <w:lvlJc w:val="right"/>
      <w:pPr>
        <w:ind w:left="3165" w:hanging="420"/>
      </w:pPr>
    </w:lvl>
    <w:lvl w:ilvl="6" w:tentative="0">
      <w:start w:val="1"/>
      <w:numFmt w:val="decimal"/>
      <w:lvlText w:val="%7."/>
      <w:lvlJc w:val="left"/>
      <w:pPr>
        <w:ind w:left="3585" w:hanging="420"/>
      </w:pPr>
    </w:lvl>
    <w:lvl w:ilvl="7" w:tentative="0">
      <w:start w:val="1"/>
      <w:numFmt w:val="lowerLetter"/>
      <w:lvlText w:val="%8)"/>
      <w:lvlJc w:val="left"/>
      <w:pPr>
        <w:ind w:left="4005" w:hanging="420"/>
      </w:pPr>
    </w:lvl>
    <w:lvl w:ilvl="8" w:tentative="0">
      <w:start w:val="1"/>
      <w:numFmt w:val="lowerRoman"/>
      <w:lvlText w:val="%9."/>
      <w:lvlJc w:val="right"/>
      <w:pPr>
        <w:ind w:left="4425" w:hanging="420"/>
      </w:pPr>
    </w:lvl>
  </w:abstractNum>
  <w:abstractNum w:abstractNumId="5">
    <w:nsid w:val="5B493FDA"/>
    <w:multiLevelType w:val="multilevel"/>
    <w:tmpl w:val="5B493FDA"/>
    <w:lvl w:ilvl="0" w:tentative="0">
      <w:start w:val="1"/>
      <w:numFmt w:val="chineseCountingThousand"/>
      <w:lvlText w:val="(%1)"/>
      <w:lvlJc w:val="left"/>
      <w:pPr>
        <w:ind w:left="106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1480" w:hanging="420"/>
      </w:pPr>
    </w:lvl>
    <w:lvl w:ilvl="2" w:tentative="0">
      <w:start w:val="1"/>
      <w:numFmt w:val="lowerRoman"/>
      <w:lvlText w:val="%3."/>
      <w:lvlJc w:val="right"/>
      <w:pPr>
        <w:ind w:left="1900" w:hanging="420"/>
      </w:pPr>
    </w:lvl>
    <w:lvl w:ilvl="3" w:tentative="0">
      <w:start w:val="1"/>
      <w:numFmt w:val="decimal"/>
      <w:lvlText w:val="%4."/>
      <w:lvlJc w:val="left"/>
      <w:pPr>
        <w:ind w:left="2320" w:hanging="420"/>
      </w:pPr>
    </w:lvl>
    <w:lvl w:ilvl="4" w:tentative="0">
      <w:start w:val="1"/>
      <w:numFmt w:val="lowerLetter"/>
      <w:lvlText w:val="%5)"/>
      <w:lvlJc w:val="left"/>
      <w:pPr>
        <w:ind w:left="2740" w:hanging="420"/>
      </w:pPr>
    </w:lvl>
    <w:lvl w:ilvl="5" w:tentative="0">
      <w:start w:val="1"/>
      <w:numFmt w:val="lowerRoman"/>
      <w:lvlText w:val="%6."/>
      <w:lvlJc w:val="right"/>
      <w:pPr>
        <w:ind w:left="3160" w:hanging="420"/>
      </w:pPr>
    </w:lvl>
    <w:lvl w:ilvl="6" w:tentative="0">
      <w:start w:val="1"/>
      <w:numFmt w:val="decimal"/>
      <w:lvlText w:val="%7."/>
      <w:lvlJc w:val="left"/>
      <w:pPr>
        <w:ind w:left="3580" w:hanging="420"/>
      </w:pPr>
    </w:lvl>
    <w:lvl w:ilvl="7" w:tentative="0">
      <w:start w:val="1"/>
      <w:numFmt w:val="lowerLetter"/>
      <w:lvlText w:val="%8)"/>
      <w:lvlJc w:val="left"/>
      <w:pPr>
        <w:ind w:left="4000" w:hanging="420"/>
      </w:pPr>
    </w:lvl>
    <w:lvl w:ilvl="8" w:tentative="0">
      <w:start w:val="1"/>
      <w:numFmt w:val="lowerRoman"/>
      <w:lvlText w:val="%9."/>
      <w:lvlJc w:val="right"/>
      <w:pPr>
        <w:ind w:left="4420" w:hanging="420"/>
      </w:pPr>
    </w:lvl>
  </w:abstractNum>
  <w:abstractNum w:abstractNumId="6">
    <w:nsid w:val="6757463D"/>
    <w:multiLevelType w:val="multilevel"/>
    <w:tmpl w:val="6757463D"/>
    <w:lvl w:ilvl="0" w:tentative="0">
      <w:start w:val="1"/>
      <w:numFmt w:val="chineseCountingThousand"/>
      <w:lvlText w:val="%1、"/>
      <w:lvlJc w:val="left"/>
      <w:pPr>
        <w:ind w:left="1063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1483" w:hanging="420"/>
      </w:pPr>
    </w:lvl>
    <w:lvl w:ilvl="2" w:tentative="0">
      <w:start w:val="1"/>
      <w:numFmt w:val="lowerRoman"/>
      <w:lvlText w:val="%3."/>
      <w:lvlJc w:val="right"/>
      <w:pPr>
        <w:ind w:left="1903" w:hanging="420"/>
      </w:pPr>
    </w:lvl>
    <w:lvl w:ilvl="3" w:tentative="0">
      <w:start w:val="1"/>
      <w:numFmt w:val="decimal"/>
      <w:lvlText w:val="%4."/>
      <w:lvlJc w:val="left"/>
      <w:pPr>
        <w:ind w:left="2323" w:hanging="420"/>
      </w:pPr>
    </w:lvl>
    <w:lvl w:ilvl="4" w:tentative="0">
      <w:start w:val="1"/>
      <w:numFmt w:val="lowerLetter"/>
      <w:lvlText w:val="%5)"/>
      <w:lvlJc w:val="left"/>
      <w:pPr>
        <w:ind w:left="2743" w:hanging="420"/>
      </w:pPr>
    </w:lvl>
    <w:lvl w:ilvl="5" w:tentative="0">
      <w:start w:val="1"/>
      <w:numFmt w:val="lowerRoman"/>
      <w:lvlText w:val="%6."/>
      <w:lvlJc w:val="right"/>
      <w:pPr>
        <w:ind w:left="3163" w:hanging="420"/>
      </w:pPr>
    </w:lvl>
    <w:lvl w:ilvl="6" w:tentative="0">
      <w:start w:val="1"/>
      <w:numFmt w:val="decimal"/>
      <w:lvlText w:val="%7."/>
      <w:lvlJc w:val="left"/>
      <w:pPr>
        <w:ind w:left="3583" w:hanging="420"/>
      </w:pPr>
    </w:lvl>
    <w:lvl w:ilvl="7" w:tentative="0">
      <w:start w:val="1"/>
      <w:numFmt w:val="lowerLetter"/>
      <w:lvlText w:val="%8)"/>
      <w:lvlJc w:val="left"/>
      <w:pPr>
        <w:ind w:left="4003" w:hanging="420"/>
      </w:pPr>
    </w:lvl>
    <w:lvl w:ilvl="8" w:tentative="0">
      <w:start w:val="1"/>
      <w:numFmt w:val="lowerRoman"/>
      <w:lvlText w:val="%9."/>
      <w:lvlJc w:val="right"/>
      <w:pPr>
        <w:ind w:left="4423" w:hanging="420"/>
      </w:pPr>
    </w:lvl>
  </w:abstractNum>
  <w:num w:numId="1">
    <w:abstractNumId w:val="1"/>
  </w:num>
  <w:num w:numId="2">
    <w:abstractNumId w:val="6"/>
  </w:num>
  <w:num w:numId="3">
    <w:abstractNumId w:val="4"/>
  </w:num>
  <w:num w:numId="4">
    <w:abstractNumId w:val="3"/>
  </w:num>
  <w:num w:numId="5">
    <w:abstractNumId w:val="0"/>
  </w:num>
  <w:num w:numId="6">
    <w:abstractNumId w:val="2"/>
  </w:num>
  <w:num w:numId="7">
    <w:abstractNumId w:val="5"/>
  </w:num>
  <w:num w:numId="8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0"/>
  <w:drawingGridHorizontalSpacing w:val="210"/>
  <w:drawingGridVerticalSpacing w:val="158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75715"/>
    <w:rsid w:val="00022413"/>
    <w:rsid w:val="00037F93"/>
    <w:rsid w:val="00042126"/>
    <w:rsid w:val="000C7EF1"/>
    <w:rsid w:val="000E0C7B"/>
    <w:rsid w:val="000F2007"/>
    <w:rsid w:val="00100A64"/>
    <w:rsid w:val="00100AA9"/>
    <w:rsid w:val="001143D6"/>
    <w:rsid w:val="0012798F"/>
    <w:rsid w:val="00132553"/>
    <w:rsid w:val="00151AF1"/>
    <w:rsid w:val="0015616F"/>
    <w:rsid w:val="00174F3A"/>
    <w:rsid w:val="0018169D"/>
    <w:rsid w:val="00193649"/>
    <w:rsid w:val="0019720C"/>
    <w:rsid w:val="001A1902"/>
    <w:rsid w:val="001A4FFA"/>
    <w:rsid w:val="001B5B44"/>
    <w:rsid w:val="001C677D"/>
    <w:rsid w:val="001D5FF2"/>
    <w:rsid w:val="001D6F2E"/>
    <w:rsid w:val="00203FB6"/>
    <w:rsid w:val="00233ECE"/>
    <w:rsid w:val="00297A4D"/>
    <w:rsid w:val="002A1BF4"/>
    <w:rsid w:val="002B3A72"/>
    <w:rsid w:val="002C6231"/>
    <w:rsid w:val="002D65DF"/>
    <w:rsid w:val="002E60C0"/>
    <w:rsid w:val="002F7CDC"/>
    <w:rsid w:val="00304B10"/>
    <w:rsid w:val="00324E56"/>
    <w:rsid w:val="00331AF1"/>
    <w:rsid w:val="003468D7"/>
    <w:rsid w:val="00363E52"/>
    <w:rsid w:val="00382736"/>
    <w:rsid w:val="003A04D1"/>
    <w:rsid w:val="003C327E"/>
    <w:rsid w:val="003C4B3D"/>
    <w:rsid w:val="003C6E7F"/>
    <w:rsid w:val="003E0E95"/>
    <w:rsid w:val="003E45AE"/>
    <w:rsid w:val="003F1C70"/>
    <w:rsid w:val="003F2E47"/>
    <w:rsid w:val="00403544"/>
    <w:rsid w:val="004077A2"/>
    <w:rsid w:val="004115AA"/>
    <w:rsid w:val="00434C92"/>
    <w:rsid w:val="00443C47"/>
    <w:rsid w:val="00452560"/>
    <w:rsid w:val="00467DBB"/>
    <w:rsid w:val="004A0587"/>
    <w:rsid w:val="004C56AB"/>
    <w:rsid w:val="004D088E"/>
    <w:rsid w:val="004D4F06"/>
    <w:rsid w:val="005225F1"/>
    <w:rsid w:val="00531253"/>
    <w:rsid w:val="00540B36"/>
    <w:rsid w:val="005432B9"/>
    <w:rsid w:val="00563E06"/>
    <w:rsid w:val="0058554B"/>
    <w:rsid w:val="00596DDF"/>
    <w:rsid w:val="005B6EAB"/>
    <w:rsid w:val="005D7AC7"/>
    <w:rsid w:val="005F6CF9"/>
    <w:rsid w:val="00630E69"/>
    <w:rsid w:val="006362B2"/>
    <w:rsid w:val="0065420A"/>
    <w:rsid w:val="006869EC"/>
    <w:rsid w:val="00694A44"/>
    <w:rsid w:val="006D0AA4"/>
    <w:rsid w:val="006F2513"/>
    <w:rsid w:val="006F64CB"/>
    <w:rsid w:val="007161B2"/>
    <w:rsid w:val="0071759F"/>
    <w:rsid w:val="007253B3"/>
    <w:rsid w:val="00731D46"/>
    <w:rsid w:val="00734BAD"/>
    <w:rsid w:val="00752C57"/>
    <w:rsid w:val="00781733"/>
    <w:rsid w:val="007C5CF9"/>
    <w:rsid w:val="007D340B"/>
    <w:rsid w:val="007E6392"/>
    <w:rsid w:val="007F3C25"/>
    <w:rsid w:val="00811F2D"/>
    <w:rsid w:val="00815938"/>
    <w:rsid w:val="008226BA"/>
    <w:rsid w:val="00827DA6"/>
    <w:rsid w:val="00835103"/>
    <w:rsid w:val="00854416"/>
    <w:rsid w:val="00866F54"/>
    <w:rsid w:val="00883FF2"/>
    <w:rsid w:val="0089293E"/>
    <w:rsid w:val="00893E6C"/>
    <w:rsid w:val="008D7BC7"/>
    <w:rsid w:val="0090104C"/>
    <w:rsid w:val="00982B10"/>
    <w:rsid w:val="0098604A"/>
    <w:rsid w:val="009B4270"/>
    <w:rsid w:val="009C0267"/>
    <w:rsid w:val="009E5354"/>
    <w:rsid w:val="00A10F1E"/>
    <w:rsid w:val="00A12A0C"/>
    <w:rsid w:val="00A365D5"/>
    <w:rsid w:val="00A41DB8"/>
    <w:rsid w:val="00A43094"/>
    <w:rsid w:val="00A53361"/>
    <w:rsid w:val="00A5786D"/>
    <w:rsid w:val="00A60191"/>
    <w:rsid w:val="00A81609"/>
    <w:rsid w:val="00A85237"/>
    <w:rsid w:val="00AB07C5"/>
    <w:rsid w:val="00AE1FDF"/>
    <w:rsid w:val="00AE3042"/>
    <w:rsid w:val="00B03B29"/>
    <w:rsid w:val="00B16C8F"/>
    <w:rsid w:val="00B32FA4"/>
    <w:rsid w:val="00B36F46"/>
    <w:rsid w:val="00B47B13"/>
    <w:rsid w:val="00B53BE4"/>
    <w:rsid w:val="00B6063F"/>
    <w:rsid w:val="00B9042A"/>
    <w:rsid w:val="00BA0855"/>
    <w:rsid w:val="00BA65AD"/>
    <w:rsid w:val="00BC7696"/>
    <w:rsid w:val="00C2671D"/>
    <w:rsid w:val="00C563AA"/>
    <w:rsid w:val="00C71FF0"/>
    <w:rsid w:val="00C77259"/>
    <w:rsid w:val="00C97E2D"/>
    <w:rsid w:val="00D043D7"/>
    <w:rsid w:val="00D117FB"/>
    <w:rsid w:val="00D23C2E"/>
    <w:rsid w:val="00D61EC8"/>
    <w:rsid w:val="00D93516"/>
    <w:rsid w:val="00DA7F4C"/>
    <w:rsid w:val="00DC5F94"/>
    <w:rsid w:val="00DE152F"/>
    <w:rsid w:val="00DE293B"/>
    <w:rsid w:val="00E05626"/>
    <w:rsid w:val="00E25B2F"/>
    <w:rsid w:val="00E373A5"/>
    <w:rsid w:val="00E66A4D"/>
    <w:rsid w:val="00E72B1C"/>
    <w:rsid w:val="00E96169"/>
    <w:rsid w:val="00EF7B48"/>
    <w:rsid w:val="00F0780F"/>
    <w:rsid w:val="00F16D54"/>
    <w:rsid w:val="00F6015C"/>
    <w:rsid w:val="00F75715"/>
    <w:rsid w:val="00FB2E2F"/>
    <w:rsid w:val="00FD300A"/>
    <w:rsid w:val="00FF137F"/>
    <w:rsid w:val="00FF6959"/>
    <w:rsid w:val="00FF6C14"/>
    <w:rsid w:val="01BE6316"/>
    <w:rsid w:val="11A2109A"/>
    <w:rsid w:val="217F35A7"/>
    <w:rsid w:val="21853A68"/>
    <w:rsid w:val="24E73B1F"/>
    <w:rsid w:val="26F03C06"/>
    <w:rsid w:val="2A547683"/>
    <w:rsid w:val="4A580166"/>
    <w:rsid w:val="4AFE141C"/>
    <w:rsid w:val="57964064"/>
    <w:rsid w:val="667765BF"/>
    <w:rsid w:val="7775238E"/>
    <w:rsid w:val="7A8638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qFormat="1"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1"/>
      <w:lang w:val="en-US" w:eastAsia="zh-CN" w:bidi="ar-SA"/>
    </w:rPr>
  </w:style>
  <w:style w:type="paragraph" w:styleId="2">
    <w:name w:val="heading 1"/>
    <w:basedOn w:val="1"/>
    <w:next w:val="1"/>
    <w:link w:val="17"/>
    <w:qFormat/>
    <w:uiPriority w:val="9"/>
    <w:pPr>
      <w:keepNext/>
      <w:keepLines/>
      <w:spacing w:before="340" w:after="330" w:line="578" w:lineRule="auto"/>
      <w:outlineLvl w:val="0"/>
    </w:pPr>
    <w:rPr>
      <w:rFonts w:ascii="Times New Roman" w:hAnsi="Times New Roman" w:eastAsia="黑体" w:cs="Arial"/>
      <w:b/>
      <w:bCs/>
      <w:kern w:val="44"/>
      <w:sz w:val="28"/>
      <w:szCs w:val="44"/>
    </w:rPr>
  </w:style>
  <w:style w:type="paragraph" w:styleId="3">
    <w:name w:val="heading 2"/>
    <w:basedOn w:val="1"/>
    <w:next w:val="1"/>
    <w:link w:val="23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4">
    <w:name w:val="heading 3"/>
    <w:basedOn w:val="1"/>
    <w:next w:val="1"/>
    <w:link w:val="33"/>
    <w:semiHidden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14">
    <w:name w:val="Default Paragraph Font"/>
    <w:semiHidden/>
    <w:unhideWhenUsed/>
    <w:qFormat/>
    <w:uiPriority w:val="1"/>
  </w:style>
  <w:style w:type="table" w:default="1" w:styleId="12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toc 3"/>
    <w:basedOn w:val="1"/>
    <w:next w:val="1"/>
    <w:semiHidden/>
    <w:unhideWhenUsed/>
    <w:qFormat/>
    <w:uiPriority w:val="39"/>
    <w:rPr>
      <w:rFonts w:eastAsia="仿宋_GB2312"/>
      <w:sz w:val="28"/>
    </w:rPr>
  </w:style>
  <w:style w:type="paragraph" w:styleId="6">
    <w:name w:val="Balloon Text"/>
    <w:basedOn w:val="1"/>
    <w:link w:val="21"/>
    <w:semiHidden/>
    <w:unhideWhenUsed/>
    <w:qFormat/>
    <w:uiPriority w:val="99"/>
    <w:rPr>
      <w:sz w:val="18"/>
      <w:szCs w:val="18"/>
    </w:rPr>
  </w:style>
  <w:style w:type="paragraph" w:styleId="7">
    <w:name w:val="footer"/>
    <w:basedOn w:val="1"/>
    <w:link w:val="2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toc 1"/>
    <w:basedOn w:val="1"/>
    <w:next w:val="1"/>
    <w:unhideWhenUsed/>
    <w:qFormat/>
    <w:uiPriority w:val="39"/>
    <w:rPr>
      <w:rFonts w:eastAsia="仿宋_GB2312"/>
      <w:sz w:val="28"/>
    </w:rPr>
  </w:style>
  <w:style w:type="paragraph" w:styleId="10">
    <w:name w:val="toc 2"/>
    <w:basedOn w:val="1"/>
    <w:next w:val="1"/>
    <w:unhideWhenUsed/>
    <w:qFormat/>
    <w:uiPriority w:val="39"/>
    <w:rPr>
      <w:rFonts w:eastAsia="仿宋_GB2312"/>
      <w:sz w:val="28"/>
    </w:rPr>
  </w:style>
  <w:style w:type="paragraph" w:styleId="11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13">
    <w:name w:val="Table Grid"/>
    <w:basedOn w:val="12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15">
    <w:name w:val="Strong"/>
    <w:basedOn w:val="14"/>
    <w:qFormat/>
    <w:uiPriority w:val="0"/>
    <w:rPr>
      <w:b/>
      <w:bCs/>
    </w:rPr>
  </w:style>
  <w:style w:type="character" w:styleId="16">
    <w:name w:val="Hyperlink"/>
    <w:basedOn w:val="14"/>
    <w:unhideWhenUsed/>
    <w:qFormat/>
    <w:uiPriority w:val="99"/>
    <w:rPr>
      <w:color w:val="0563C1" w:themeColor="hyperlink"/>
      <w:u w:val="single"/>
    </w:rPr>
  </w:style>
  <w:style w:type="character" w:customStyle="1" w:styleId="17">
    <w:name w:val="标题 1 Char"/>
    <w:basedOn w:val="14"/>
    <w:link w:val="2"/>
    <w:qFormat/>
    <w:uiPriority w:val="9"/>
    <w:rPr>
      <w:rFonts w:ascii="Times New Roman" w:hAnsi="Times New Roman" w:eastAsia="黑体" w:cs="Arial"/>
      <w:b/>
      <w:bCs/>
      <w:kern w:val="44"/>
      <w:sz w:val="28"/>
      <w:szCs w:val="44"/>
    </w:rPr>
  </w:style>
  <w:style w:type="paragraph" w:styleId="18">
    <w:name w:val="List Paragraph"/>
    <w:basedOn w:val="1"/>
    <w:qFormat/>
    <w:uiPriority w:val="34"/>
    <w:pPr>
      <w:ind w:firstLine="420" w:firstLineChars="200"/>
    </w:pPr>
  </w:style>
  <w:style w:type="character" w:customStyle="1" w:styleId="19">
    <w:name w:val="页眉 Char"/>
    <w:basedOn w:val="14"/>
    <w:link w:val="8"/>
    <w:qFormat/>
    <w:uiPriority w:val="99"/>
    <w:rPr>
      <w:sz w:val="18"/>
      <w:szCs w:val="18"/>
    </w:rPr>
  </w:style>
  <w:style w:type="character" w:customStyle="1" w:styleId="20">
    <w:name w:val="页脚 Char"/>
    <w:basedOn w:val="14"/>
    <w:link w:val="7"/>
    <w:qFormat/>
    <w:uiPriority w:val="99"/>
    <w:rPr>
      <w:sz w:val="18"/>
      <w:szCs w:val="18"/>
    </w:rPr>
  </w:style>
  <w:style w:type="character" w:customStyle="1" w:styleId="21">
    <w:name w:val="批注框文本 Char"/>
    <w:basedOn w:val="14"/>
    <w:link w:val="6"/>
    <w:semiHidden/>
    <w:qFormat/>
    <w:uiPriority w:val="99"/>
    <w:rPr>
      <w:sz w:val="18"/>
      <w:szCs w:val="18"/>
    </w:rPr>
  </w:style>
  <w:style w:type="paragraph" w:customStyle="1" w:styleId="22">
    <w:name w:val="标题1"/>
    <w:basedOn w:val="2"/>
    <w:qFormat/>
    <w:uiPriority w:val="0"/>
    <w:pPr>
      <w:spacing w:before="120" w:after="120" w:line="500" w:lineRule="exact"/>
      <w:ind w:firstLine="200" w:firstLineChars="200"/>
    </w:pPr>
    <w:rPr>
      <w:rFonts w:cs="Times New Roman"/>
      <w:sz w:val="32"/>
      <w:szCs w:val="32"/>
    </w:rPr>
  </w:style>
  <w:style w:type="character" w:customStyle="1" w:styleId="23">
    <w:name w:val="标题 2 Char"/>
    <w:basedOn w:val="14"/>
    <w:link w:val="3"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paragraph" w:customStyle="1" w:styleId="24">
    <w:name w:val="标题2"/>
    <w:basedOn w:val="3"/>
    <w:qFormat/>
    <w:uiPriority w:val="0"/>
    <w:pPr>
      <w:numPr>
        <w:ilvl w:val="0"/>
        <w:numId w:val="1"/>
      </w:numPr>
      <w:spacing w:before="120" w:after="120" w:line="500" w:lineRule="exact"/>
    </w:pPr>
    <w:rPr>
      <w:rFonts w:ascii="仿宋_GB2312" w:eastAsia="仿宋_GB2312" w:cs="Times New Roman"/>
    </w:rPr>
  </w:style>
  <w:style w:type="paragraph" w:customStyle="1" w:styleId="25">
    <w:name w:val="TOC 标题1"/>
    <w:basedOn w:val="2"/>
    <w:next w:val="1"/>
    <w:unhideWhenUsed/>
    <w:qFormat/>
    <w:uiPriority w:val="39"/>
    <w:pPr>
      <w:widowControl/>
      <w:spacing w:before="240" w:after="0" w:line="259" w:lineRule="auto"/>
      <w:jc w:val="left"/>
      <w:outlineLvl w:val="9"/>
    </w:pPr>
    <w:rPr>
      <w:rFonts w:asciiTheme="majorHAnsi" w:hAnsiTheme="majorHAnsi" w:eastAsiaTheme="majorEastAsia" w:cstheme="majorBidi"/>
      <w:b w:val="0"/>
      <w:bCs w:val="0"/>
      <w:color w:val="2F5496" w:themeColor="accent1" w:themeShade="BF"/>
      <w:kern w:val="0"/>
      <w:sz w:val="32"/>
      <w:szCs w:val="32"/>
    </w:rPr>
  </w:style>
  <w:style w:type="character" w:customStyle="1" w:styleId="26">
    <w:name w:val="闻政正文 Char"/>
    <w:link w:val="27"/>
    <w:qFormat/>
    <w:uiPriority w:val="0"/>
    <w:rPr>
      <w:rFonts w:ascii="Times New Roman" w:hAnsi="Times New Roman" w:eastAsia="仿宋_GB2312" w:cs="Times New Roman"/>
      <w:sz w:val="28"/>
      <w:szCs w:val="28"/>
    </w:rPr>
  </w:style>
  <w:style w:type="paragraph" w:customStyle="1" w:styleId="27">
    <w:name w:val="闻政正文"/>
    <w:basedOn w:val="1"/>
    <w:link w:val="26"/>
    <w:qFormat/>
    <w:uiPriority w:val="0"/>
    <w:pPr>
      <w:spacing w:line="500" w:lineRule="exact"/>
      <w:ind w:firstLine="560" w:firstLineChars="200"/>
    </w:pPr>
    <w:rPr>
      <w:rFonts w:ascii="Times New Roman" w:hAnsi="Times New Roman" w:eastAsia="仿宋_GB2312" w:cs="Times New Roman"/>
      <w:sz w:val="28"/>
      <w:szCs w:val="28"/>
    </w:rPr>
  </w:style>
  <w:style w:type="character" w:customStyle="1" w:styleId="28">
    <w:name w:val="闻政表 Char"/>
    <w:link w:val="29"/>
    <w:qFormat/>
    <w:uiPriority w:val="0"/>
    <w:rPr>
      <w:rFonts w:ascii="Times New Roman" w:hAnsi="Times New Roman" w:eastAsia="仿宋_GB2312" w:cs="Times New Roman"/>
      <w:b/>
      <w:sz w:val="24"/>
      <w:szCs w:val="28"/>
    </w:rPr>
  </w:style>
  <w:style w:type="paragraph" w:customStyle="1" w:styleId="29">
    <w:name w:val="闻政表"/>
    <w:basedOn w:val="1"/>
    <w:link w:val="28"/>
    <w:qFormat/>
    <w:uiPriority w:val="0"/>
    <w:pPr>
      <w:spacing w:before="60" w:after="60"/>
      <w:jc w:val="center"/>
    </w:pPr>
    <w:rPr>
      <w:rFonts w:ascii="Times New Roman" w:hAnsi="Times New Roman" w:eastAsia="仿宋_GB2312" w:cs="Times New Roman"/>
      <w:b/>
      <w:sz w:val="24"/>
      <w:szCs w:val="28"/>
    </w:rPr>
  </w:style>
  <w:style w:type="paragraph" w:customStyle="1" w:styleId="30">
    <w:name w:val="Char"/>
    <w:basedOn w:val="1"/>
    <w:qFormat/>
    <w:uiPriority w:val="0"/>
    <w:pPr>
      <w:widowControl/>
      <w:spacing w:after="160" w:line="240" w:lineRule="exact"/>
      <w:jc w:val="left"/>
    </w:pPr>
    <w:rPr>
      <w:rFonts w:ascii="Times New Roman" w:hAnsi="Times New Roman" w:eastAsia="宋体" w:cs="Times New Roman"/>
      <w:szCs w:val="22"/>
    </w:rPr>
  </w:style>
  <w:style w:type="character" w:customStyle="1" w:styleId="31">
    <w:name w:val="闻政标题3 Char"/>
    <w:link w:val="32"/>
    <w:qFormat/>
    <w:uiPriority w:val="0"/>
    <w:rPr>
      <w:rFonts w:ascii="黑体" w:hAnsi="黑体" w:eastAsia="黑体" w:cs="Times New Roman"/>
      <w:bCs/>
      <w:sz w:val="32"/>
      <w:szCs w:val="32"/>
    </w:rPr>
  </w:style>
  <w:style w:type="paragraph" w:customStyle="1" w:styleId="32">
    <w:name w:val="闻政标题3"/>
    <w:basedOn w:val="4"/>
    <w:link w:val="31"/>
    <w:qFormat/>
    <w:uiPriority w:val="99"/>
    <w:pPr>
      <w:spacing w:before="120" w:after="60" w:line="500" w:lineRule="exact"/>
      <w:jc w:val="left"/>
      <w:outlineLvl w:val="0"/>
    </w:pPr>
    <w:rPr>
      <w:rFonts w:ascii="黑体" w:hAnsi="黑体" w:eastAsia="黑体" w:cs="Times New Roman"/>
      <w:b w:val="0"/>
    </w:rPr>
  </w:style>
  <w:style w:type="character" w:customStyle="1" w:styleId="33">
    <w:name w:val="标题 3 Char"/>
    <w:basedOn w:val="14"/>
    <w:link w:val="4"/>
    <w:semiHidden/>
    <w:qFormat/>
    <w:uiPriority w:val="9"/>
    <w:rPr>
      <w:b/>
      <w:bCs/>
      <w:sz w:val="32"/>
      <w:szCs w:val="32"/>
    </w:rPr>
  </w:style>
  <w:style w:type="paragraph" w:customStyle="1" w:styleId="34">
    <w:name w:val="Body text|1"/>
    <w:basedOn w:val="1"/>
    <w:link w:val="35"/>
    <w:qFormat/>
    <w:uiPriority w:val="0"/>
    <w:pPr>
      <w:spacing w:after="40" w:line="334" w:lineRule="auto"/>
    </w:pPr>
    <w:rPr>
      <w:rFonts w:ascii="MingLiU" w:hAnsi="MingLiU" w:eastAsia="MingLiU" w:cs="MingLiU"/>
      <w:sz w:val="20"/>
      <w:szCs w:val="20"/>
      <w:lang w:val="zh-TW" w:eastAsia="zh-TW" w:bidi="zh-TW"/>
    </w:rPr>
  </w:style>
  <w:style w:type="character" w:customStyle="1" w:styleId="35">
    <w:name w:val="Body text|1_"/>
    <w:basedOn w:val="14"/>
    <w:link w:val="34"/>
    <w:unhideWhenUsed/>
    <w:qFormat/>
    <w:uiPriority w:val="0"/>
    <w:rPr>
      <w:rFonts w:ascii="MingLiU" w:hAnsi="MingLiU" w:eastAsia="MingLiU" w:cs="MingLiU"/>
      <w:sz w:val="20"/>
      <w:szCs w:val="20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177839E-A90E-4751-BF6D-35FEC7C371F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498</Words>
  <Characters>2841</Characters>
  <Lines>23</Lines>
  <Paragraphs>6</Paragraphs>
  <TotalTime>1</TotalTime>
  <ScaleCrop>false</ScaleCrop>
  <LinksUpToDate>false</LinksUpToDate>
  <CharactersWithSpaces>3333</CharactersWithSpaces>
  <Application>WPS Office_11.8.2.8506_F1E327BC-269C-435d-A152-05C5408002CA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2020-05-10T07:58:00Z</dcterms:created>
  <dc:creator>ThinkPad</dc:creator>
  <cp:lastModifiedBy>Administrator</cp:lastModifiedBy>
  <dcterms:modified xsi:type="dcterms:W3CDTF">2021-05-21T11:00:41Z</dcterms:modified>
  <dc:title>新疆普天鹏华商务信息咨询有限公司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</Properties>
</file>