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bookmarkEnd w:id="54"/>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新疆喀什地区农机技术推广站2019年度部门决算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编制本地区农业机械技术推广工作规划、计划，提出农机推广措施建议；研究、拟定本地区农机作业服务规范和标准；引进农机化新技术、新机具，并组织安排试验、示范、推广；承担农机化技术项目的立项、规划、实施、监督检查和管理；组织开展本地区重大农机科技成果和先进技术的推广应用、经验总结、技术交流等工作；组织农机技术培训和继续教育工作；指导下级农机化技术推广机构的工作，协调其横向合作关系；开展农机信息咨询服务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新疆喀什地区农机技术推广站2019年度，实有人数12人，其中：在职人员10人，离休人员0人，退休人员2人。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从部门决算单位构成看，新疆喀什地区农机技术推广站部门决算包括：新疆喀什地区农机技术推广站决算。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186.08万元，与上年相比，减少21.73万元，下降10.46%，主要原因是：本单位较2018年减少了“农机化技术服务能力建设”项目，且有2名在职人员转为退休人员。本年支出186.08万元，与上年相比，减少21.73万元，下降10.46%，主要原因是：本单位较2018年减少了“农机化技术服务能力建设”项目，且有2名在职人员转为退休人员。</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2019年度本年收入186.08万元，其中：财政拨款收入186.08万元，占100%；上级补助收入0万元，占0%；事业收入0万元，占0%；经营收入0万元，占0%；附属单位上缴收入0万元，占0%；其他收入0万元，占0%。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2019年度本年支出186.08万元，其中：基本支出174.96万元，占94.02%；项目支出11.12万元，占5.98%；上缴上级支出0万元，占0%；经营支出0万元，占0%；对附属单位补助支出0万元，占0%。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186.08万元，与上年相比，减少21.73万元，下降10.46%，主要原因是：本单位较2018年减少了“农机化技术服务能力建设”项目，且有2名在职人员转为退休人员。财政拨款支出186.08万元，与上年相比，减少21.73万元，下降10.46%，主要原因是：本单位较2018年减少了“农机化技术服务能力建设”项目，且有2名在职人员转为退休人员。</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211.26万元，决算数186.08万元，预决算差异率-11.92%，主要原因是：本年度安排的“机电系列继续教育培训”项目资金未执行完毕。财政拨款支出年初预算数211.26万元，决算数186.08万元，预决算差异率-11.92%，主要原因是：本年度安排的“机电系列继续教育培训”项目资金未执行完毕。</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2019年度一般公共预算财政拨款支出186.08万元。按功能分类科目项级科目公开，其中：</w:t>
      </w:r>
    </w:p>
    <w:p>
      <w:pPr>
        <w:ind w:firstLine="480"/>
      </w:pPr>
      <w:r>
        <w:rPr>
          <w:rFonts w:ascii="仿宋_GB2312" w:hAnsi="仿宋_GB2312" w:eastAsia="仿宋_GB2312" w:cs="仿宋_GB2312"/>
          <w:sz w:val="32"/>
        </w:rPr>
        <w:t xml:space="preserve">   2210201住房公积金支出12.40万元。</w:t>
      </w:r>
    </w:p>
    <w:p>
      <w:pPr>
        <w:ind w:firstLine="480"/>
      </w:pPr>
      <w:r>
        <w:rPr>
          <w:rFonts w:ascii="仿宋_GB2312" w:hAnsi="仿宋_GB2312" w:eastAsia="仿宋_GB2312" w:cs="仿宋_GB2312"/>
          <w:sz w:val="32"/>
        </w:rPr>
        <w:t xml:space="preserve">   2130106科技转化与推广服务支出152.52万元；</w:t>
      </w:r>
    </w:p>
    <w:p>
      <w:pPr>
        <w:ind w:firstLine="480"/>
      </w:pPr>
      <w:r>
        <w:rPr>
          <w:rFonts w:ascii="仿宋_GB2312" w:hAnsi="仿宋_GB2312" w:eastAsia="仿宋_GB2312" w:cs="仿宋_GB2312"/>
          <w:sz w:val="32"/>
        </w:rPr>
        <w:t xml:space="preserve">   2080506机关事业单位职业年金缴费支出4.27万元；</w:t>
      </w:r>
    </w:p>
    <w:p>
      <w:pPr>
        <w:ind w:firstLine="480"/>
      </w:pPr>
      <w:r>
        <w:rPr>
          <w:rFonts w:ascii="仿宋_GB2312" w:hAnsi="仿宋_GB2312" w:eastAsia="仿宋_GB2312" w:cs="仿宋_GB2312"/>
          <w:sz w:val="32"/>
        </w:rPr>
        <w:t xml:space="preserve">   2080505机关事业单位基本养老保险缴费支出16.90万元；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2019年度一般公共预算财政拨款基本支出174.96万元，其中：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人员经费169.53万元，包括：基本工资、津贴补贴、奖金、绩效工资、机关事业单位基本养老保险缴费、职业年金缴费、职工基本医疗保险缴费、其他社会保障缴费、住房公积金、退休费、生活补助。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公用经费5.43万元，包括：办公费、差旅费、维修（护）费、其他商品和服务支出。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0万元，预决算差异率0%，主要原因是：预算未安排，无此项支出。其中：因公出国（境）费预算数0万元，决算数0万元，预决算差异率0%，主要原因是：预算未安排，无此项支出；公务用车购置费预算数0万元，决算数0万元，预决算差异率0%，主要原因是：预算未安排，无此项支出；公务用车运行费预算数0万元，决算数0万元，预决算差异率0%，主要原因是：预算未安排，无此项支出；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新疆喀什地区农机技术推广站日常公用经费5.43万元，比上年增加2.10万元，增长63.06%，主要原因是</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办公经费增加。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160（平方米），价值29.15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3个，共涉及资金11.12万元。预算绩效管理取得的成效：一是经济性评价：部门年度任务在预算资金额度内完成，并通过规范的招投标及严格的资金管理及项目管理及其他创新的管理措施实现了资金的节约。三公经费是在预算范围内开支，开支范围较上年无变化。二是效率性评价：各项工作计划是按预期计划按时完成，效益按预期时间产生。三是效益性评价：预期的经济效益、社会效益、可持续的影响产生，相关人员的满意度达到95%。发现的问题及原因：一是通过预算绩效管理，发现了工作中存在的不足，如前期资金使用因大环境因素项目未按期开展故未按期支付，导致了资金滞缓，影响了项目的进度，造成了部分资金的浪费。下一步改进措施：一是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W0EePmcPPUBZJAndHc9QJojWP8U=" w:salt="F3WgNPKUapWippXBWAjH1g=="/>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6322"/>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083C"/>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36260"/>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6DB1580"/>
    <w:rsid w:val="1DAF458D"/>
    <w:rsid w:val="2A053397"/>
    <w:rsid w:val="2D1136DF"/>
    <w:rsid w:val="2F4A376B"/>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830</Words>
  <Characters>4735</Characters>
  <Lines>39</Lines>
  <Paragraphs>11</Paragraphs>
  <TotalTime>9</TotalTime>
  <ScaleCrop>false</ScaleCrop>
  <LinksUpToDate>false</LinksUpToDate>
  <CharactersWithSpaces>5554</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2021-05-21T11:21:53Z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