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2018年度新疆农业广播电视学校喀什地区分校部门决算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新疆农广校喀什地区分校加挂喀什地区农民科技教育培训中心，公益一类，隶属喀什地区农业局管理，规格相当副县级级，全额拨款预算管理，核定全额拨款事业编制10名。人员结构：领导职数2名，其中正职为副县级，副职为正科级；内设科室领导职数0人，相当于0级；专业技术人员不低于人员编制60%。农广校承担根据我区农村经济和社会发展需要，通过广播、电视、网络等现代化教学媒体举办中专以上层次的学历教育；开展绿色证书培训；承担农村劳动力转移就业职业培训和职业技能鉴定；完成上级交办的其他工作。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新疆农业广播电视学校喀什地区分校</w:t>
      </w:r>
      <w:r>
        <w:rPr>
          <w:rFonts w:hint="eastAsia" w:ascii="仿宋_GB2312" w:eastAsia="仿宋_GB2312"/>
          <w:sz w:val="32"/>
          <w:szCs w:val="32"/>
        </w:rPr>
        <w:t>部门决算包括：</w:t>
      </w:r>
      <w:r>
        <w:rPr>
          <w:rFonts w:ascii="仿宋_GB2312" w:eastAsia="仿宋_GB2312"/>
          <w:sz w:val="32"/>
          <w:szCs w:val="32"/>
        </w:rPr>
        <w:t>新疆农业广播电视学校喀什地区分校</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新疆农业广播电视学校喀什地区分校</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r>
              <w:t>序号</w:t>
            </w:r>
          </w:p>
        </w:tc>
        <w:tc>
          <w:tcPr>
            <w:tcW w:w="3870" w:type="dxa"/>
            <w:vAlign w:val="center"/>
          </w:tcPr>
          <w:p>
            <w:r>
              <w:t>单位名称</w:t>
            </w:r>
          </w:p>
        </w:tc>
        <w:tc>
          <w:tcPr>
            <w:tcW w:w="2538" w:type="dxa"/>
            <w:vAlign w:val="center"/>
          </w:tcPr>
          <w:p>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r>
              <w:t>1</w:t>
            </w:r>
          </w:p>
        </w:tc>
        <w:tc>
          <w:tcPr>
            <w:tcW w:w="3870" w:type="dxa"/>
          </w:tcPr>
          <w:p>
            <w:r>
              <w:t>新疆农业广播电视学校喀什地区分校</w:t>
            </w:r>
          </w:p>
        </w:tc>
        <w:tc>
          <w:tcPr>
            <w:tcW w:w="2538" w:type="dxa"/>
            <w:vAlign w:val="center"/>
          </w:tc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166.4</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，与上年相比，增加37.76万元，增长29.35%，增加的主要原因是：</w:t>
      </w:r>
      <w:r>
        <w:rPr>
          <w:rFonts w:hint="eastAsia" w:ascii="仿宋_GB2312" w:eastAsia="仿宋_GB2312"/>
          <w:color w:val="000000" w:themeColor="text1"/>
          <w:sz w:val="32"/>
          <w:szCs w:val="32"/>
        </w:rPr>
        <w:t>2018年增加了2名在职职工；</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166.4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，与上年相比，增加37.76万元，增长29.35%，增加的主要原因是：</w:t>
      </w:r>
      <w:r>
        <w:rPr>
          <w:rFonts w:hint="eastAsia" w:ascii="仿宋_GB2312" w:eastAsia="仿宋_GB2312"/>
          <w:color w:val="000000" w:themeColor="text1"/>
          <w:sz w:val="32"/>
          <w:szCs w:val="32"/>
        </w:rPr>
        <w:t>2018年增加了2名在职职工；</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w:t>
      </w:r>
      <w:r>
        <w:rPr>
          <w:rFonts w:ascii="仿宋_GB2312" w:eastAsia="仿宋_GB2312"/>
          <w:color w:val="000000" w:themeColor="text1"/>
          <w:sz w:val="32"/>
          <w:szCs w:val="32"/>
        </w:rPr>
        <w:t>无变化。</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166.4</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166.4</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况：本年收入年初预算数127.1万元</w:t>
      </w:r>
      <w:r>
        <w:rPr>
          <w:rFonts w:hint="eastAsia" w:ascii="仿宋_GB2312" w:eastAsia="仿宋_GB2312"/>
          <w:sz w:val="32"/>
          <w:szCs w:val="32"/>
        </w:rPr>
        <w:t>，决算数166.4万元</w:t>
      </w:r>
      <w:r>
        <w:rPr>
          <w:rFonts w:ascii="仿宋_GB2312" w:eastAsia="仿宋_GB2312"/>
          <w:sz w:val="32"/>
          <w:szCs w:val="32"/>
        </w:rPr>
        <w:t>，预决算差异率30.92%，差异主要原因是:2018年年初增加了2名在职职工。</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166.4</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166.4</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与年初预算数相比情况：本年支出年初预算数127.1万元，</w:t>
      </w:r>
      <w:r>
        <w:rPr>
          <w:rFonts w:hint="eastAsia" w:ascii="仿宋_GB2312" w:eastAsia="仿宋_GB2312"/>
          <w:sz w:val="32"/>
          <w:szCs w:val="32"/>
        </w:rPr>
        <w:t>决算数166.4万元</w:t>
      </w:r>
      <w:r>
        <w:rPr>
          <w:rFonts w:ascii="仿宋_GB2312" w:eastAsia="仿宋_GB2312"/>
          <w:sz w:val="32"/>
          <w:szCs w:val="32"/>
        </w:rPr>
        <w:t>，预决算差异率30.92%，差异主要原因是:2018年增加了2名在职职工。</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166.4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，与上年相比，增加45.66万元，增长37.82%，增加的主要原因是：2018年增加了2名在职职工。</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166.4</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，与上年相比，增加45.66万元，增长37.82%，增加的主要原因是：</w:t>
      </w:r>
      <w:r>
        <w:rPr>
          <w:rFonts w:ascii="仿宋_GB2312" w:eastAsia="仿宋_GB2312"/>
          <w:sz w:val="32"/>
          <w:szCs w:val="32"/>
        </w:rPr>
        <w:t>2018年增加了2名在职职工。</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166.4</w:t>
      </w:r>
      <w:r>
        <w:rPr>
          <w:rFonts w:hint="eastAsia" w:ascii="仿宋_GB2312" w:eastAsia="仿宋_GB2312"/>
          <w:color w:val="000000" w:themeColor="text1"/>
          <w:sz w:val="32"/>
          <w:szCs w:val="32"/>
        </w:rPr>
        <w:t>万元，项目支出</w:t>
      </w:r>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127.1</w:t>
      </w:r>
      <w:r>
        <w:rPr>
          <w:rFonts w:hint="eastAsia" w:ascii="仿宋_GB2312" w:eastAsia="仿宋_GB2312"/>
          <w:color w:val="000000" w:themeColor="text1"/>
          <w:sz w:val="32"/>
          <w:szCs w:val="32"/>
        </w:rPr>
        <w:t>万元，决算数</w:t>
      </w:r>
      <w:r>
        <w:rPr>
          <w:rFonts w:hint="eastAsia" w:ascii="仿宋_GB2312" w:eastAsia="仿宋_GB2312"/>
          <w:sz w:val="32"/>
          <w:szCs w:val="32"/>
        </w:rPr>
        <w:t>166.4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，预决算差异率30.92%，差异主要原因是:2018年增加了2名在职职工。</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127.1</w:t>
      </w:r>
      <w:r>
        <w:rPr>
          <w:rFonts w:hint="eastAsia" w:ascii="仿宋_GB2312" w:eastAsia="仿宋_GB2312"/>
          <w:color w:val="000000" w:themeColor="text1"/>
          <w:sz w:val="32"/>
          <w:szCs w:val="32"/>
        </w:rPr>
        <w:t>万元，决算数</w:t>
      </w:r>
      <w:r>
        <w:rPr>
          <w:rFonts w:hint="eastAsia" w:ascii="仿宋_GB2312" w:eastAsia="仿宋_GB2312"/>
          <w:sz w:val="32"/>
          <w:szCs w:val="32"/>
        </w:rPr>
        <w:t>166.4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，预决算差异率30.92%，差异主要原因是:2018年增加了2名在职职工。</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166.4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，与上年相比，增加45.66万元，增长37.82%，增加的主要原因是：2018年增加了2名在职职工。</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166.4</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，与上年相比，增加45.66万元，增长37.82%，增加的主要原因是：2018年增加了2名在职职工。</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住房保障支出8.94万元,农林水支出141.59万元,其他支出1.98万元,社会保障和就业支出13.89万元。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工资福利支出119.22万元,商品和服务支出3.54万元,对个人和家庭的补助43.63万元。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127.1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166.4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，预决算差异率30.92%，差异主要原因是:2018年年初增加了2名在职职工。</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127.1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166.4</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，预决算差异率30.92%，差异主要原因是:2018年年初增加了2名在职职工。</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6"/>
      <w:bookmarkStart w:id="53" w:name="OLE_LINK25"/>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7"/>
      <w:bookmarkStart w:id="55" w:name="OLE_LINK28"/>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1.3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1.3</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100%，与上年相比，增加0万元，增长0%，主要原因是：无变化；</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0%，与上年相比，增加0万元，增长0%，主要原因是：无变化。</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新疆农业广播电视学校喀什地区分校</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无此项开支。</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1.3</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1.3</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汽车保险，汽车维修，加油费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2</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新疆农业广播电视学校喀什地区分校</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1.3</w:t>
      </w:r>
      <w:r>
        <w:rPr>
          <w:rFonts w:hint="eastAsia" w:ascii="仿宋_GB2312" w:eastAsia="仿宋_GB2312"/>
          <w:color w:val="000000" w:themeColor="text1"/>
          <w:sz w:val="32"/>
          <w:szCs w:val="32"/>
        </w:rPr>
        <w:t>万元，决算数1.3万元</w:t>
      </w:r>
      <w:r>
        <w:rPr>
          <w:rFonts w:ascii="仿宋_GB2312" w:eastAsia="仿宋_GB2312"/>
          <w:color w:val="000000" w:themeColor="text1"/>
          <w:sz w:val="32"/>
          <w:szCs w:val="32"/>
        </w:rPr>
        <w:t>，预决算差异率0%，差异主要原因是:无差异。</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，预决算差异率0%，差异主要原因是:无差异；</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1.3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，预决算差异率0%，差异主要原因是:无差异；</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新疆农业广播电视学校喀什地区分校日常公用经费3.54万元，与上年相比，减少2.98万元，下降45.71%，减少的主要原因是：2018年一名退休职工死亡和
本年节约开支。</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0.37</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0.37</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2</w:t>
      </w:r>
      <w:r>
        <w:rPr>
          <w:rFonts w:hint="eastAsia" w:ascii="仿宋_GB2312" w:eastAsia="仿宋_GB2312"/>
          <w:color w:val="000000" w:themeColor="text1"/>
          <w:sz w:val="32"/>
          <w:szCs w:val="32"/>
        </w:rPr>
        <w:t>辆，价值</w:t>
      </w:r>
      <w:r>
        <w:rPr>
          <w:rFonts w:hint="eastAsia" w:ascii="仿宋_GB2312" w:eastAsia="仿宋_GB2312"/>
          <w:sz w:val="32"/>
          <w:szCs w:val="32"/>
        </w:rPr>
        <w:t>32.09</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1</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1</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一般公务用车；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本单位总共有有</w:t>
      </w:r>
      <w:r>
        <w:rPr>
          <w:rFonts w:hint="eastAsia" w:ascii="仿宋_GB2312" w:eastAsia="仿宋_GB2312"/>
          <w:sz w:val="32"/>
          <w:szCs w:val="32"/>
          <w:lang w:val="en-US" w:eastAsia="zh-CN"/>
        </w:rPr>
        <w:t>1</w:t>
      </w:r>
      <w:r>
        <w:rPr>
          <w:rFonts w:ascii="仿宋_GB2312" w:eastAsia="仿宋_GB2312"/>
          <w:sz w:val="32"/>
          <w:szCs w:val="32"/>
        </w:rPr>
        <w:t>个绩效表。</w:t>
      </w:r>
    </w:p>
    <w:p>
      <w:pPr>
        <w:spacing w:line="540" w:lineRule="exact"/>
        <w:ind w:left="-1" w:right="-1" w:firstLine="646"/>
        <w:jc w:val="left"/>
        <w:rPr>
          <w:rFonts w:ascii="仿宋_GB2312" w:eastAsia="仿宋_GB2312"/>
          <w:sz w:val="32"/>
          <w:szCs w:val="32"/>
        </w:rPr>
      </w:pPr>
      <w:r>
        <w:rPr>
          <w:rFonts w:ascii="仿宋_GB2312" w:hAnsi="仿宋_GB2312" w:eastAsia="仿宋_GB2312" w:cs="仿宋_GB2312"/>
          <w:b w:val="0"/>
          <w:color w:val="auto"/>
          <w:sz w:val="32"/>
          <w:u w:val="none"/>
        </w:rPr>
        <w:t>1、2018年工作经费项目绩效自评综述：根据年初设定的绩效目标，该项目绩效自评得分为</w:t>
      </w:r>
      <w:r>
        <w:rPr>
          <w:rFonts w:hint="eastAsia" w:ascii="仿宋_GB2312" w:hAnsi="仿宋_GB2312" w:eastAsia="仿宋_GB2312" w:cs="仿宋_GB2312"/>
          <w:b w:val="0"/>
          <w:color w:val="auto"/>
          <w:sz w:val="32"/>
          <w:u w:val="none"/>
          <w:lang w:val="en-US" w:eastAsia="zh-CN"/>
        </w:rPr>
        <w:t>0</w:t>
      </w:r>
      <w:r>
        <w:rPr>
          <w:rFonts w:ascii="仿宋_GB2312" w:hAnsi="仿宋_GB2312" w:eastAsia="仿宋_GB2312" w:cs="仿宋_GB2312"/>
          <w:b w:val="0"/>
          <w:color w:val="auto"/>
          <w:sz w:val="32"/>
          <w:u w:val="none"/>
        </w:rPr>
        <w:t>分。项目全年预算数为</w:t>
      </w:r>
      <w:r>
        <w:rPr>
          <w:rFonts w:hint="eastAsia" w:ascii="仿宋_GB2312" w:hAnsi="仿宋_GB2312" w:eastAsia="仿宋_GB2312" w:cs="仿宋_GB2312"/>
          <w:b w:val="0"/>
          <w:color w:val="auto"/>
          <w:sz w:val="32"/>
          <w:u w:val="none"/>
          <w:lang w:val="en-US" w:eastAsia="zh-CN"/>
        </w:rPr>
        <w:t>0.8</w:t>
      </w:r>
      <w:r>
        <w:rPr>
          <w:rFonts w:ascii="仿宋_GB2312" w:hAnsi="仿宋_GB2312" w:eastAsia="仿宋_GB2312" w:cs="仿宋_GB2312"/>
          <w:b w:val="0"/>
          <w:color w:val="auto"/>
          <w:sz w:val="32"/>
          <w:u w:val="none"/>
        </w:rPr>
        <w:t>万元，执行数为</w:t>
      </w:r>
      <w:r>
        <w:rPr>
          <w:rFonts w:hint="eastAsia" w:ascii="仿宋_GB2312" w:hAnsi="仿宋_GB2312" w:eastAsia="仿宋_GB2312" w:cs="仿宋_GB2312"/>
          <w:b w:val="0"/>
          <w:color w:val="auto"/>
          <w:sz w:val="32"/>
          <w:u w:val="none"/>
          <w:lang w:val="en-US" w:eastAsia="zh-CN"/>
        </w:rPr>
        <w:t>0</w:t>
      </w:r>
      <w:r>
        <w:rPr>
          <w:rFonts w:ascii="仿宋_GB2312" w:hAnsi="仿宋_GB2312" w:eastAsia="仿宋_GB2312" w:cs="仿宋_GB2312"/>
          <w:b w:val="0"/>
          <w:color w:val="auto"/>
          <w:sz w:val="32"/>
          <w:u w:val="none"/>
        </w:rPr>
        <w:t>万元，完成预算的0%。主要产出和效果：</w:t>
      </w:r>
      <w:r>
        <w:rPr>
          <w:rFonts w:hint="eastAsia" w:ascii="仿宋_GB2312" w:hAnsi="仿宋_GB2312" w:eastAsia="仿宋_GB2312" w:cs="仿宋_GB2312"/>
          <w:b w:val="0"/>
          <w:color w:val="auto"/>
          <w:sz w:val="32"/>
          <w:u w:val="none"/>
          <w:lang w:eastAsia="zh-CN"/>
        </w:rPr>
        <w:t>该项目未执行</w:t>
      </w:r>
      <w:r>
        <w:rPr>
          <w:rFonts w:ascii="仿宋_GB2312" w:hAnsi="仿宋_GB2312" w:eastAsia="仿宋_GB2312" w:cs="仿宋_GB2312"/>
          <w:b w:val="0"/>
          <w:color w:val="auto"/>
          <w:sz w:val="32"/>
          <w:u w:val="none"/>
        </w:rPr>
        <w:t>。效率性：资金到位率和使用率</w:t>
      </w:r>
      <w:r>
        <w:rPr>
          <w:rFonts w:hint="eastAsia" w:ascii="仿宋_GB2312" w:hAnsi="仿宋_GB2312" w:eastAsia="仿宋_GB2312" w:cs="仿宋_GB2312"/>
          <w:b w:val="0"/>
          <w:color w:val="auto"/>
          <w:sz w:val="32"/>
          <w:u w:val="none"/>
          <w:lang w:val="en-US" w:eastAsia="zh-CN"/>
        </w:rPr>
        <w:t>0</w:t>
      </w:r>
      <w:r>
        <w:rPr>
          <w:rFonts w:ascii="仿宋_GB2312" w:hAnsi="仿宋_GB2312" w:eastAsia="仿宋_GB2312" w:cs="仿宋_GB2312"/>
          <w:b w:val="0"/>
          <w:color w:val="auto"/>
          <w:sz w:val="32"/>
          <w:u w:val="none"/>
        </w:rPr>
        <w:t>%。发现的问题及原因：</w:t>
      </w:r>
      <w:r>
        <w:rPr>
          <w:rFonts w:hint="eastAsia" w:ascii="仿宋_GB2312" w:hAnsi="仿宋_GB2312" w:eastAsia="仿宋_GB2312" w:cs="仿宋_GB2312"/>
          <w:b w:val="0"/>
          <w:color w:val="auto"/>
          <w:sz w:val="32"/>
          <w:u w:val="none"/>
          <w:lang w:eastAsia="zh-CN"/>
        </w:rPr>
        <w:t>该项目本年度未执行</w:t>
      </w:r>
      <w:r>
        <w:rPr>
          <w:rFonts w:ascii="仿宋_GB2312" w:hAnsi="仿宋_GB2312" w:eastAsia="仿宋_GB2312" w:cs="仿宋_GB2312"/>
          <w:b w:val="0"/>
          <w:color w:val="auto"/>
          <w:sz w:val="32"/>
          <w:u w:val="none"/>
        </w:rPr>
        <w:t>。下一步改进措施： 无建议。</w:t>
      </w:r>
      <w:bookmarkStart w:id="92" w:name="_GoBack"/>
      <w:bookmarkEnd w:id="92"/>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213（类）01（款）04（项）指：事业运行。221（类）02（款）01（项）指：住房公积金。229（类）99（款）01（项）指：其他支出。208（类）05（款）05（项）指：机关事业单位基本养老保险缴费支出。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- 12 -</w:t>
    </w:r>
    <w:r>
      <w:rPr>
        <w:rStyle w:val="9"/>
        <w:rFonts w:ascii="宋体" w:hAnsi="宋体" w:eastAsia="宋体"/>
        <w:sz w:val="28"/>
      </w:rPr>
      <w:fldChar w:fldCharType="end"/>
    </w:r>
    <w:r>
      <w:rPr>
        <w:rStyle w:val="9"/>
        <w:rFonts w:hint="eastAsia" w:ascii="宋体" w:hAnsi="宋体" w:eastAsia="宋体"/>
        <w:sz w:val="28"/>
      </w:rPr>
      <w:t xml:space="preserve"> </w:t>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15A64"/>
    <w:rsid w:val="0002118A"/>
    <w:rsid w:val="00021887"/>
    <w:rsid w:val="00022242"/>
    <w:rsid w:val="00023F6E"/>
    <w:rsid w:val="0002523E"/>
    <w:rsid w:val="00025DC3"/>
    <w:rsid w:val="00040E57"/>
    <w:rsid w:val="00044097"/>
    <w:rsid w:val="00050E1F"/>
    <w:rsid w:val="00054305"/>
    <w:rsid w:val="0005566C"/>
    <w:rsid w:val="00060E28"/>
    <w:rsid w:val="0006121E"/>
    <w:rsid w:val="000635BD"/>
    <w:rsid w:val="00065838"/>
    <w:rsid w:val="000711BA"/>
    <w:rsid w:val="00080DEB"/>
    <w:rsid w:val="00083BBE"/>
    <w:rsid w:val="00083EBE"/>
    <w:rsid w:val="00091B9F"/>
    <w:rsid w:val="0009640E"/>
    <w:rsid w:val="000A2EE8"/>
    <w:rsid w:val="000A497E"/>
    <w:rsid w:val="000A7155"/>
    <w:rsid w:val="000A7773"/>
    <w:rsid w:val="000B08C5"/>
    <w:rsid w:val="000B206D"/>
    <w:rsid w:val="000B2C8D"/>
    <w:rsid w:val="000B6AD4"/>
    <w:rsid w:val="000B6C14"/>
    <w:rsid w:val="000B7C75"/>
    <w:rsid w:val="000C0190"/>
    <w:rsid w:val="000C1474"/>
    <w:rsid w:val="000C7811"/>
    <w:rsid w:val="000D21F9"/>
    <w:rsid w:val="000E0AB3"/>
    <w:rsid w:val="000E21E6"/>
    <w:rsid w:val="000E65F1"/>
    <w:rsid w:val="000E73E7"/>
    <w:rsid w:val="000E75AE"/>
    <w:rsid w:val="000F1279"/>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5321"/>
    <w:rsid w:val="00157F86"/>
    <w:rsid w:val="00163D9F"/>
    <w:rsid w:val="00164EBC"/>
    <w:rsid w:val="001669CC"/>
    <w:rsid w:val="00166DAB"/>
    <w:rsid w:val="00166E4B"/>
    <w:rsid w:val="00167DB8"/>
    <w:rsid w:val="00170C1A"/>
    <w:rsid w:val="00171B68"/>
    <w:rsid w:val="00173DD7"/>
    <w:rsid w:val="001759CB"/>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4F2D"/>
    <w:rsid w:val="001C79E0"/>
    <w:rsid w:val="001D54E6"/>
    <w:rsid w:val="001D640A"/>
    <w:rsid w:val="001D65CB"/>
    <w:rsid w:val="001E197A"/>
    <w:rsid w:val="001E2962"/>
    <w:rsid w:val="001E6468"/>
    <w:rsid w:val="001E7F7F"/>
    <w:rsid w:val="001F0E21"/>
    <w:rsid w:val="001F1CB6"/>
    <w:rsid w:val="001F2FE9"/>
    <w:rsid w:val="001F3267"/>
    <w:rsid w:val="001F6948"/>
    <w:rsid w:val="0020033F"/>
    <w:rsid w:val="00200C57"/>
    <w:rsid w:val="00201CC4"/>
    <w:rsid w:val="00207AD5"/>
    <w:rsid w:val="0021204D"/>
    <w:rsid w:val="002127E3"/>
    <w:rsid w:val="002146E7"/>
    <w:rsid w:val="00216FD0"/>
    <w:rsid w:val="0022011C"/>
    <w:rsid w:val="00226DF0"/>
    <w:rsid w:val="00231C2E"/>
    <w:rsid w:val="00241293"/>
    <w:rsid w:val="00245135"/>
    <w:rsid w:val="002453A6"/>
    <w:rsid w:val="00247520"/>
    <w:rsid w:val="00251FC8"/>
    <w:rsid w:val="002546EA"/>
    <w:rsid w:val="00256471"/>
    <w:rsid w:val="00257943"/>
    <w:rsid w:val="002608FE"/>
    <w:rsid w:val="00271D59"/>
    <w:rsid w:val="0027418F"/>
    <w:rsid w:val="002767AD"/>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2F47"/>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3234"/>
    <w:rsid w:val="003E4A05"/>
    <w:rsid w:val="003E5F5C"/>
    <w:rsid w:val="003E7D9E"/>
    <w:rsid w:val="003F37E0"/>
    <w:rsid w:val="00401A23"/>
    <w:rsid w:val="00401CA2"/>
    <w:rsid w:val="00405E6D"/>
    <w:rsid w:val="00411C55"/>
    <w:rsid w:val="00415648"/>
    <w:rsid w:val="00415BCE"/>
    <w:rsid w:val="00416351"/>
    <w:rsid w:val="0042015D"/>
    <w:rsid w:val="0042215C"/>
    <w:rsid w:val="004223DE"/>
    <w:rsid w:val="00424663"/>
    <w:rsid w:val="00425950"/>
    <w:rsid w:val="00430B78"/>
    <w:rsid w:val="00441209"/>
    <w:rsid w:val="00443568"/>
    <w:rsid w:val="00444981"/>
    <w:rsid w:val="0045026B"/>
    <w:rsid w:val="00453F94"/>
    <w:rsid w:val="004558AB"/>
    <w:rsid w:val="00457729"/>
    <w:rsid w:val="0047598D"/>
    <w:rsid w:val="004802CE"/>
    <w:rsid w:val="00486DB6"/>
    <w:rsid w:val="00487D16"/>
    <w:rsid w:val="00490FF3"/>
    <w:rsid w:val="004957F5"/>
    <w:rsid w:val="004976A5"/>
    <w:rsid w:val="004A0034"/>
    <w:rsid w:val="004A02D4"/>
    <w:rsid w:val="004A0690"/>
    <w:rsid w:val="004A2CA4"/>
    <w:rsid w:val="004A7A7B"/>
    <w:rsid w:val="004B401D"/>
    <w:rsid w:val="004B58A1"/>
    <w:rsid w:val="004B7BB8"/>
    <w:rsid w:val="004C351C"/>
    <w:rsid w:val="004C42F9"/>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1561C"/>
    <w:rsid w:val="00523B8A"/>
    <w:rsid w:val="00532585"/>
    <w:rsid w:val="00533FA0"/>
    <w:rsid w:val="0053657E"/>
    <w:rsid w:val="0054006F"/>
    <w:rsid w:val="00540C10"/>
    <w:rsid w:val="005464FA"/>
    <w:rsid w:val="0055742A"/>
    <w:rsid w:val="00560650"/>
    <w:rsid w:val="00567FB5"/>
    <w:rsid w:val="005770C3"/>
    <w:rsid w:val="00577753"/>
    <w:rsid w:val="00581AD2"/>
    <w:rsid w:val="005857A0"/>
    <w:rsid w:val="00587D18"/>
    <w:rsid w:val="00591E58"/>
    <w:rsid w:val="00592D42"/>
    <w:rsid w:val="005A5B02"/>
    <w:rsid w:val="005B3245"/>
    <w:rsid w:val="005B6754"/>
    <w:rsid w:val="005B75C0"/>
    <w:rsid w:val="005C3143"/>
    <w:rsid w:val="005D311B"/>
    <w:rsid w:val="005D559F"/>
    <w:rsid w:val="005D61D8"/>
    <w:rsid w:val="005E011D"/>
    <w:rsid w:val="005E3B86"/>
    <w:rsid w:val="005E4E6B"/>
    <w:rsid w:val="005E6995"/>
    <w:rsid w:val="005E7043"/>
    <w:rsid w:val="005E7C64"/>
    <w:rsid w:val="005F2A5A"/>
    <w:rsid w:val="005F2AEA"/>
    <w:rsid w:val="005F4FFE"/>
    <w:rsid w:val="00602C6F"/>
    <w:rsid w:val="00604ECA"/>
    <w:rsid w:val="006069FD"/>
    <w:rsid w:val="00610EE1"/>
    <w:rsid w:val="00613C84"/>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9278A"/>
    <w:rsid w:val="00697D49"/>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1E8"/>
    <w:rsid w:val="006F5B6D"/>
    <w:rsid w:val="006F5BD8"/>
    <w:rsid w:val="006F7AF9"/>
    <w:rsid w:val="007015B6"/>
    <w:rsid w:val="00701EC2"/>
    <w:rsid w:val="007021BE"/>
    <w:rsid w:val="00706C32"/>
    <w:rsid w:val="00707C9C"/>
    <w:rsid w:val="007106B4"/>
    <w:rsid w:val="007214A9"/>
    <w:rsid w:val="007214DF"/>
    <w:rsid w:val="007220B1"/>
    <w:rsid w:val="00724A4B"/>
    <w:rsid w:val="00727A14"/>
    <w:rsid w:val="007302C1"/>
    <w:rsid w:val="0073120F"/>
    <w:rsid w:val="007314F0"/>
    <w:rsid w:val="007324AF"/>
    <w:rsid w:val="0074240E"/>
    <w:rsid w:val="00742FA1"/>
    <w:rsid w:val="007476BA"/>
    <w:rsid w:val="00750798"/>
    <w:rsid w:val="00752BCF"/>
    <w:rsid w:val="0076538D"/>
    <w:rsid w:val="007714E5"/>
    <w:rsid w:val="00773D5E"/>
    <w:rsid w:val="00776FAF"/>
    <w:rsid w:val="00777229"/>
    <w:rsid w:val="007775E8"/>
    <w:rsid w:val="0078072D"/>
    <w:rsid w:val="00784108"/>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101A6"/>
    <w:rsid w:val="0081044D"/>
    <w:rsid w:val="00821E76"/>
    <w:rsid w:val="008259BC"/>
    <w:rsid w:val="0083105A"/>
    <w:rsid w:val="00837040"/>
    <w:rsid w:val="008427AB"/>
    <w:rsid w:val="008439F9"/>
    <w:rsid w:val="00847DCE"/>
    <w:rsid w:val="0085023C"/>
    <w:rsid w:val="00853966"/>
    <w:rsid w:val="00857827"/>
    <w:rsid w:val="00862CEF"/>
    <w:rsid w:val="00866A6C"/>
    <w:rsid w:val="00895252"/>
    <w:rsid w:val="008969FE"/>
    <w:rsid w:val="008A237C"/>
    <w:rsid w:val="008A2D2C"/>
    <w:rsid w:val="008A3633"/>
    <w:rsid w:val="008B2514"/>
    <w:rsid w:val="008B4607"/>
    <w:rsid w:val="008B5C78"/>
    <w:rsid w:val="008C030F"/>
    <w:rsid w:val="008C3836"/>
    <w:rsid w:val="008D046E"/>
    <w:rsid w:val="008E28BD"/>
    <w:rsid w:val="008E4EAC"/>
    <w:rsid w:val="008E541E"/>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354F6"/>
    <w:rsid w:val="00940134"/>
    <w:rsid w:val="00943A3E"/>
    <w:rsid w:val="00944CCC"/>
    <w:rsid w:val="00945E7F"/>
    <w:rsid w:val="00947403"/>
    <w:rsid w:val="0095057C"/>
    <w:rsid w:val="009543BA"/>
    <w:rsid w:val="00954FB4"/>
    <w:rsid w:val="0095754B"/>
    <w:rsid w:val="00960925"/>
    <w:rsid w:val="00970AB3"/>
    <w:rsid w:val="00982C13"/>
    <w:rsid w:val="00985DF4"/>
    <w:rsid w:val="00987E45"/>
    <w:rsid w:val="0099241E"/>
    <w:rsid w:val="009942F3"/>
    <w:rsid w:val="00994950"/>
    <w:rsid w:val="0099652B"/>
    <w:rsid w:val="009A0831"/>
    <w:rsid w:val="009A44FB"/>
    <w:rsid w:val="009A5CDE"/>
    <w:rsid w:val="009A7040"/>
    <w:rsid w:val="009B3F92"/>
    <w:rsid w:val="009C3CE9"/>
    <w:rsid w:val="009C6A82"/>
    <w:rsid w:val="009D13F2"/>
    <w:rsid w:val="009D15D2"/>
    <w:rsid w:val="009D4D97"/>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17D"/>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0AF5"/>
    <w:rsid w:val="00B146E7"/>
    <w:rsid w:val="00B30B86"/>
    <w:rsid w:val="00B32A4F"/>
    <w:rsid w:val="00B358E2"/>
    <w:rsid w:val="00B40CB6"/>
    <w:rsid w:val="00B4203A"/>
    <w:rsid w:val="00B50AD6"/>
    <w:rsid w:val="00B51AB3"/>
    <w:rsid w:val="00B5337C"/>
    <w:rsid w:val="00B5340F"/>
    <w:rsid w:val="00B611F7"/>
    <w:rsid w:val="00B6765D"/>
    <w:rsid w:val="00B717C5"/>
    <w:rsid w:val="00B718B8"/>
    <w:rsid w:val="00B73C33"/>
    <w:rsid w:val="00B75463"/>
    <w:rsid w:val="00B76C9B"/>
    <w:rsid w:val="00B90F21"/>
    <w:rsid w:val="00B93445"/>
    <w:rsid w:val="00B94F7E"/>
    <w:rsid w:val="00B95F83"/>
    <w:rsid w:val="00B965C5"/>
    <w:rsid w:val="00B96E34"/>
    <w:rsid w:val="00B9729A"/>
    <w:rsid w:val="00BB0177"/>
    <w:rsid w:val="00BB3A31"/>
    <w:rsid w:val="00BC1A56"/>
    <w:rsid w:val="00BC2D65"/>
    <w:rsid w:val="00BD1F2C"/>
    <w:rsid w:val="00BD2BBE"/>
    <w:rsid w:val="00BD7EF8"/>
    <w:rsid w:val="00BE0FEE"/>
    <w:rsid w:val="00BE4817"/>
    <w:rsid w:val="00BE721C"/>
    <w:rsid w:val="00BF0DC7"/>
    <w:rsid w:val="00BF1F54"/>
    <w:rsid w:val="00BF31AA"/>
    <w:rsid w:val="00C04782"/>
    <w:rsid w:val="00C04F2D"/>
    <w:rsid w:val="00C238F0"/>
    <w:rsid w:val="00C25CC6"/>
    <w:rsid w:val="00C31297"/>
    <w:rsid w:val="00C61A9B"/>
    <w:rsid w:val="00C66BD8"/>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57FE6"/>
    <w:rsid w:val="00E64B7B"/>
    <w:rsid w:val="00E66654"/>
    <w:rsid w:val="00E709FC"/>
    <w:rsid w:val="00E7154C"/>
    <w:rsid w:val="00E74817"/>
    <w:rsid w:val="00E75B6D"/>
    <w:rsid w:val="00E76C2B"/>
    <w:rsid w:val="00E8294F"/>
    <w:rsid w:val="00E870C3"/>
    <w:rsid w:val="00E8738A"/>
    <w:rsid w:val="00E916E5"/>
    <w:rsid w:val="00E92780"/>
    <w:rsid w:val="00E92F11"/>
    <w:rsid w:val="00E95399"/>
    <w:rsid w:val="00E95FBD"/>
    <w:rsid w:val="00E9654C"/>
    <w:rsid w:val="00EA1A1C"/>
    <w:rsid w:val="00EA34EF"/>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05960"/>
    <w:rsid w:val="00F113F4"/>
    <w:rsid w:val="00F13479"/>
    <w:rsid w:val="00F14CE8"/>
    <w:rsid w:val="00F1625A"/>
    <w:rsid w:val="00F17C93"/>
    <w:rsid w:val="00F50BA2"/>
    <w:rsid w:val="00F5664D"/>
    <w:rsid w:val="00F6771B"/>
    <w:rsid w:val="00F703C3"/>
    <w:rsid w:val="00F80799"/>
    <w:rsid w:val="00F8162A"/>
    <w:rsid w:val="00F81776"/>
    <w:rsid w:val="00F835AD"/>
    <w:rsid w:val="00F83D56"/>
    <w:rsid w:val="00F844FD"/>
    <w:rsid w:val="00F869A3"/>
    <w:rsid w:val="00F86FB3"/>
    <w:rsid w:val="00F93037"/>
    <w:rsid w:val="00F97BF1"/>
    <w:rsid w:val="00FA29D8"/>
    <w:rsid w:val="00FA5F5D"/>
    <w:rsid w:val="00FB0BA6"/>
    <w:rsid w:val="00FC29A0"/>
    <w:rsid w:val="00FC6C17"/>
    <w:rsid w:val="00FD2B63"/>
    <w:rsid w:val="00FE48DB"/>
    <w:rsid w:val="00FF3620"/>
    <w:rsid w:val="00FF3A84"/>
    <w:rsid w:val="01110239"/>
    <w:rsid w:val="028847F9"/>
    <w:rsid w:val="03AA79F6"/>
    <w:rsid w:val="04741FE5"/>
    <w:rsid w:val="04DB02C7"/>
    <w:rsid w:val="06B856EE"/>
    <w:rsid w:val="07BF7E3A"/>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1151</Words>
  <Characters>6564</Characters>
  <Lines>54</Lines>
  <Paragraphs>15</Paragraphs>
  <TotalTime>1</TotalTime>
  <ScaleCrop>false</ScaleCrop>
  <LinksUpToDate>false</LinksUpToDate>
  <CharactersWithSpaces>7700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2021-07-11T13:23:46Z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