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 xml:space="preserve">附件1：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2018年度新疆维吾尔自治区喀什地区动物卫生监督所部门决算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负责全区依法实施动物防疫，动物及动物产品检疫，动物产品安全监管等行政执法工作。承担喀什地区12个县市畜产品安全监管及规范全区屠宰检疫、产地检疫、执法办案等工作。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新疆维吾尔自治区喀什地区动物卫生监督所</w:t>
      </w:r>
      <w:r>
        <w:rPr>
          <w:rFonts w:hint="eastAsia" w:ascii="仿宋_GB2312" w:eastAsia="仿宋_GB2312"/>
          <w:sz w:val="32"/>
          <w:szCs w:val="32"/>
        </w:rPr>
        <w:t>部门决算包括：</w:t>
      </w:r>
      <w:r>
        <w:rPr>
          <w:rFonts w:ascii="仿宋_GB2312" w:eastAsia="仿宋_GB2312"/>
          <w:sz w:val="32"/>
          <w:szCs w:val="32"/>
        </w:rPr>
        <w:t>新疆维吾尔自治区喀什地区动物卫生监督所</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新疆维吾尔自治区喀什地区动物卫生监督所</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3870"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新疆维吾尔自治区喀什地区动物卫生监督所</w:t>
            </w:r>
          </w:p>
        </w:tc>
        <w:tc>
          <w:tcPr>
            <w:tcW w:w="2538"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288.35</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，与上年相比，增加31.66万元，增长12.33%，增加的主要原因是：</w:t>
      </w:r>
      <w:r>
        <w:rPr>
          <w:rFonts w:hint="eastAsia" w:ascii="仿宋_GB2312" w:eastAsia="仿宋_GB2312"/>
          <w:color w:val="000000" w:themeColor="text1"/>
          <w:sz w:val="32"/>
          <w:szCs w:val="32"/>
        </w:rPr>
        <w:t>1、因调资人员工资增加。2、医保、公积金相应增加。3、增加项目；</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288.35</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，与上年相比，增加31.66万元，增长12.33%，增加的主要原因是：</w:t>
      </w:r>
      <w:r>
        <w:rPr>
          <w:rFonts w:hint="eastAsia" w:ascii="仿宋_GB2312" w:eastAsia="仿宋_GB2312"/>
          <w:color w:val="000000" w:themeColor="text1"/>
          <w:sz w:val="32"/>
          <w:szCs w:val="32"/>
        </w:rPr>
        <w:t>1、因调资人员工资增加。2、医保、公积金相应增加。3、增加项目；</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w:t>
      </w:r>
      <w:r>
        <w:rPr>
          <w:rFonts w:ascii="仿宋_GB2312" w:eastAsia="仿宋_GB2312"/>
          <w:color w:val="000000" w:themeColor="text1"/>
          <w:sz w:val="32"/>
          <w:szCs w:val="32"/>
        </w:rPr>
        <w:t>无变化。</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288.35</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288.35</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况：本年收入年初预算数307.04万元</w:t>
      </w:r>
      <w:r>
        <w:rPr>
          <w:rFonts w:hint="eastAsia" w:ascii="仿宋_GB2312" w:eastAsia="仿宋_GB2312"/>
          <w:sz w:val="32"/>
          <w:szCs w:val="32"/>
        </w:rPr>
        <w:t>，决算数288.35万元</w:t>
      </w:r>
      <w:r>
        <w:rPr>
          <w:rFonts w:ascii="仿宋_GB2312" w:eastAsia="仿宋_GB2312"/>
          <w:sz w:val="32"/>
          <w:szCs w:val="32"/>
        </w:rPr>
        <w:t>，预决算差异率-6.09%，差异主要原因是:在职1人2018年5月辞职工资、医保、公积金等相应减少。</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288.35</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284.67</w:t>
      </w:r>
      <w:r>
        <w:rPr>
          <w:rFonts w:hint="eastAsia" w:ascii="仿宋_GB2312" w:eastAsia="仿宋_GB2312"/>
          <w:color w:val="000000" w:themeColor="text1"/>
          <w:sz w:val="32"/>
          <w:szCs w:val="32"/>
        </w:rPr>
        <w:t>万元，占</w:t>
      </w:r>
      <w:r>
        <w:rPr>
          <w:rFonts w:hint="eastAsia" w:ascii="仿宋_GB2312" w:eastAsia="仿宋_GB2312"/>
          <w:sz w:val="32"/>
          <w:szCs w:val="32"/>
        </w:rPr>
        <w:t>98.72%</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3.68</w:t>
      </w:r>
      <w:r>
        <w:rPr>
          <w:rFonts w:hint="eastAsia" w:ascii="仿宋_GB2312" w:eastAsia="仿宋_GB2312"/>
          <w:color w:val="000000" w:themeColor="text1"/>
          <w:sz w:val="32"/>
          <w:szCs w:val="32"/>
        </w:rPr>
        <w:t>万元，占</w:t>
      </w:r>
      <w:r>
        <w:rPr>
          <w:rFonts w:hint="eastAsia" w:ascii="仿宋_GB2312" w:eastAsia="仿宋_GB2312"/>
          <w:sz w:val="32"/>
          <w:szCs w:val="32"/>
        </w:rPr>
        <w:t>1.28%</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与年初预算数相比情况：本年支出年初预算数310.16万元，</w:t>
      </w:r>
      <w:r>
        <w:rPr>
          <w:rFonts w:hint="eastAsia" w:ascii="仿宋_GB2312" w:eastAsia="仿宋_GB2312"/>
          <w:sz w:val="32"/>
          <w:szCs w:val="32"/>
        </w:rPr>
        <w:t>决算数288.35万元</w:t>
      </w:r>
      <w:r>
        <w:rPr>
          <w:rFonts w:ascii="仿宋_GB2312" w:eastAsia="仿宋_GB2312"/>
          <w:sz w:val="32"/>
          <w:szCs w:val="32"/>
        </w:rPr>
        <w:t>，预决算差异率-7.03%，差异主要原因是:在职1人2018年5月辞职工资、医保、公积金等相应减少。</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hint="eastAsia" w:ascii="仿宋_GB2312" w:eastAsia="仿宋_GB2312"/>
          <w:color w:val="000000" w:themeColor="text1"/>
          <w:sz w:val="32"/>
          <w:szCs w:val="32"/>
          <w:lang w:eastAsia="zh-CN"/>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288.35</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，与上年相比，增加52.06万元，增长22.03%，增加的主要原因是：1、因调资人员工资增加。2、医保、公积金相应增加。3、增加项目。</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288.35</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，与上年相比，增加52.06万元，增长22.03%，增加的主要原因是：</w:t>
      </w:r>
      <w:r>
        <w:rPr>
          <w:rFonts w:ascii="仿宋_GB2312" w:eastAsia="仿宋_GB2312"/>
          <w:sz w:val="32"/>
          <w:szCs w:val="32"/>
        </w:rPr>
        <w:t>1、因调资人员工资增加。2、医保、公积金相应增加。3、增加项目。</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284.67</w:t>
      </w:r>
      <w:r>
        <w:rPr>
          <w:rFonts w:hint="eastAsia" w:ascii="仿宋_GB2312" w:eastAsia="仿宋_GB2312"/>
          <w:color w:val="000000" w:themeColor="text1"/>
          <w:sz w:val="32"/>
          <w:szCs w:val="32"/>
        </w:rPr>
        <w:t>万元，项目支出</w:t>
      </w:r>
      <w:r>
        <w:rPr>
          <w:rFonts w:hint="eastAsia" w:ascii="仿宋_GB2312" w:eastAsia="仿宋_GB2312"/>
          <w:sz w:val="32"/>
          <w:szCs w:val="32"/>
        </w:rPr>
        <w:t>3.68</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w:t>
      </w:r>
      <w:bookmarkEnd w:id="29"/>
      <w:r>
        <w:rPr>
          <w:rFonts w:hint="eastAsia" w:ascii="仿宋_GB2312" w:eastAsia="仿宋_GB2312"/>
          <w:sz w:val="32"/>
          <w:szCs w:val="32"/>
          <w:lang w:eastAsia="zh-CN"/>
        </w:rPr>
        <w:t>无变化。</w:t>
      </w:r>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307.04</w:t>
      </w:r>
      <w:r>
        <w:rPr>
          <w:rFonts w:hint="eastAsia" w:ascii="仿宋_GB2312" w:eastAsia="仿宋_GB2312"/>
          <w:color w:val="000000" w:themeColor="text1"/>
          <w:sz w:val="32"/>
          <w:szCs w:val="32"/>
        </w:rPr>
        <w:t>万元，决算数</w:t>
      </w:r>
      <w:r>
        <w:rPr>
          <w:rFonts w:hint="eastAsia" w:ascii="仿宋_GB2312" w:eastAsia="仿宋_GB2312"/>
          <w:sz w:val="32"/>
          <w:szCs w:val="32"/>
        </w:rPr>
        <w:t>288.35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，预决算差异率-6</w:t>
      </w:r>
      <w:bookmarkStart w:id="92" w:name="_GoBack"/>
      <w:bookmarkEnd w:id="92"/>
      <w:r>
        <w:rPr>
          <w:rFonts w:ascii="仿宋_GB2312" w:eastAsia="仿宋_GB2312"/>
          <w:color w:val="000000" w:themeColor="text1"/>
          <w:sz w:val="32"/>
          <w:szCs w:val="32"/>
        </w:rPr>
        <w:t>.09%，差异主要原因是:在职1人2018年5月辞职工资、医保、公积金等相应减少。</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310.16</w:t>
      </w:r>
      <w:r>
        <w:rPr>
          <w:rFonts w:hint="eastAsia" w:ascii="仿宋_GB2312" w:eastAsia="仿宋_GB2312"/>
          <w:color w:val="000000" w:themeColor="text1"/>
          <w:sz w:val="32"/>
          <w:szCs w:val="32"/>
        </w:rPr>
        <w:t>万元，决算数</w:t>
      </w:r>
      <w:r>
        <w:rPr>
          <w:rFonts w:hint="eastAsia" w:ascii="仿宋_GB2312" w:eastAsia="仿宋_GB2312"/>
          <w:sz w:val="32"/>
          <w:szCs w:val="32"/>
        </w:rPr>
        <w:t>288.35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，预决算差异率-7.03%，差异主要原因是:在职1人2018年2月辞职工资、医保、公积金等相应减少。</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288.35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，与上年相比，增加52.06万元，增长22.03%，增加的主要原因是：1、因调资人员工资增加。2、医保、公积金相应增加。3、增加项目。</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288.35</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，与上年相比，增加52.06万元，增长22.03%，增加的主要原因是：1、因调资人员工资增加。2、医保、公积金相应增加。3、增加项目。</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住房保障支出17.07万元,农林水支出235.64万元,教育支出7.8万元,其他支出1.98万元,社会保障和就业支出25.86万元。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工资福利支出270.59万元,商品和服务支出13.15万元,对个人和家庭的补助4.6万元。</w:t>
      </w:r>
    </w:p>
    <w:p>
      <w:pPr>
        <w:spacing w:line="540" w:lineRule="exac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307.04</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288.35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，预决算差异率-6.09%，差异主要原因是:在职1人2018年5月辞职工资、医保、公积金等相应减少。</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310.16</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288.35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，预决算差异率-7.03%，差异主要原因是:在职1人2018年5月辞职工资、医保、公积金等相应减少。</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，与上年相比，增加0万元，增长0%，主要原因是：无政府性金收支。</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，与上年相比，增加0万元，增长0%，主要原因是：无变化。</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，预决算差异率0%，差异主要原因是:无政府性基金收支。</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，预决算差异率0%，差异主要原因是:无变化。</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6"/>
      <w:bookmarkStart w:id="53" w:name="OLE_LINK25"/>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7"/>
      <w:bookmarkStart w:id="55" w:name="OLE_LINK28"/>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2.6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，与上年相比，增加0万元，增长0%，主要原因是：无变化。</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0%，与上年相比，增加0万元，增长0%，主要原因是：无变化；</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2.6</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100%，与上年相比，增加0万元，增长0%，主要原因是：无变化；</w:t>
      </w:r>
      <w:bookmarkEnd w:id="61"/>
      <w:bookmarkStart w:id="62" w:name="OLE_LINK32"/>
      <w:bookmarkStart w:id="63" w:name="OLE_LINK78"/>
      <w:bookmarkStart w:id="64" w:name="OLE_LINK77"/>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0%，与上年相比，增加0万元，增长0%，主要原因是：无变化。</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79"/>
      <w:bookmarkStart w:id="66" w:name="OLE_LINK80"/>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新疆维吾尔自治区喀什地区动物卫生监督所</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4"/>
      <w:bookmarkStart w:id="69" w:name="OLE_LINK35"/>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无因公出国（境）费开支。</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2.6</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1"/>
      <w:bookmarkStart w:id="76"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2.6</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车辆保险、汽车油料、维护费、主要开展业务下乡指导服务办公用车</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2</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无公务接待费</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新疆维吾尔自治区喀什地区动物卫生监督所</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2.6</w:t>
      </w:r>
      <w:r>
        <w:rPr>
          <w:rFonts w:hint="eastAsia" w:ascii="仿宋_GB2312" w:eastAsia="仿宋_GB2312"/>
          <w:color w:val="000000" w:themeColor="text1"/>
          <w:sz w:val="32"/>
          <w:szCs w:val="32"/>
        </w:rPr>
        <w:t>万元，决算数2.6万元</w:t>
      </w:r>
      <w:r>
        <w:rPr>
          <w:rFonts w:ascii="仿宋_GB2312" w:eastAsia="仿宋_GB2312"/>
          <w:color w:val="000000" w:themeColor="text1"/>
          <w:sz w:val="32"/>
          <w:szCs w:val="32"/>
        </w:rPr>
        <w:t>，预决算差异率0%，差异主要原因是:无变化。</w:t>
      </w:r>
      <w:bookmarkEnd w:id="80"/>
      <w:bookmarkStart w:id="81" w:name="OLE_LINK87"/>
      <w:bookmarkStart w:id="82"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，预决算差异率0%，差异主要原因是:无因公出国（境）开支；</w:t>
      </w:r>
      <w:bookmarkEnd w:id="81"/>
      <w:bookmarkEnd w:id="82"/>
      <w:bookmarkStart w:id="83" w:name="OLE_LINK88"/>
      <w:bookmarkStart w:id="84" w:name="OLE_LINK89"/>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，预决算差异率0%，差异主要原因是:无公务用车购置开支；</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2.6</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2.6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，预决算差异率0%，差异主要原因是:无变化；</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无公务接待费。</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新疆维吾尔自治区喀什地区动物卫生监督所日常公用经费9.47万元，与上年相比，增加1.33万元，增长16.34%，增加的主要原因是：2018年增加了专项工作经费开支。</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3.77</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3.36</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0.41</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2</w:t>
      </w:r>
      <w:r>
        <w:rPr>
          <w:rFonts w:hint="eastAsia" w:ascii="仿宋_GB2312" w:eastAsia="仿宋_GB2312"/>
          <w:color w:val="000000" w:themeColor="text1"/>
          <w:sz w:val="32"/>
          <w:szCs w:val="32"/>
        </w:rPr>
        <w:t>辆，价值</w:t>
      </w:r>
      <w:r>
        <w:rPr>
          <w:rFonts w:hint="eastAsia" w:ascii="仿宋_GB2312" w:eastAsia="仿宋_GB2312"/>
          <w:sz w:val="32"/>
          <w:szCs w:val="32"/>
        </w:rPr>
        <w:t>43.78</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2</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一般公务用车，主要用于开展12个县市监督检查及屠宰场、活畜市场监管业务；</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2018年度，本部门单位预算绩效自评情况：我单位，2018年基本支出284.67万元，分别为2130101款行政运行235.64万元、2080505款机关养老保险25.86万元、2050201款学前教育7.8万元、2210201款住房公积金17.07万元，2299901款其他支出1.98万元。财政经费足额正常支出。完成项目设定的绩效指标：保障个人部分按时足额发放到位，防止吃空饷等事项发生。保障单位数量1个，保障人员人数24人，保障车辆数2辆，保障发放率100%，人员考核合格率100%，补助发放及时率100%，工资福利支出270.59万元，商品服务支出13.15万元，对个人和家庭补助支出4.6万元，经济收入增长，社会服务能力逐步提升，社会保障工作逐步提升。</w:t>
      </w:r>
    </w:p>
    <w:p>
      <w:pPr>
        <w:spacing w:line="540" w:lineRule="exact"/>
        <w:ind w:left="-1" w:right="-1" w:firstLine="646"/>
        <w:jc w:val="left"/>
      </w:pPr>
      <w:r>
        <w:rPr>
          <w:rFonts w:ascii="仿宋_GB2312" w:hAnsi="仿宋_GB2312" w:eastAsia="仿宋_GB2312" w:cs="仿宋_GB2312"/>
          <w:b w:val="0"/>
          <w:color w:val="auto"/>
          <w:sz w:val="32"/>
          <w:u w:val="none"/>
        </w:rPr>
        <w:t>1、2017年教学人员伙食补助项目绩效自评综述：根据年初设定的绩效目标，该项目绩效自评得分为89分。项目全年预算数为2万元，执行数为2万元，完成预算的100%。主要产出和效果：保障喀什地区动物卫生监督所3名教学人员的生活补助，确保教学工作顺利开展。按照教学人员出勤率及时给3名教学人员发放生活补助2万元，教学人员补助发放准确率100%，使3名教学人员月收入增加2600元/人，逐步提升乡村幼儿园教学质量，教学人员满意度98%。经济型：实际完成3.12万元。 效率性:资金到位率和使用率100%。发现的问题及原因：2018年本项目绩效目标全部达到，不存在未完成原因分析。下一步改进措施： 无建议。</w:t>
      </w:r>
    </w:p>
    <w:p>
      <w:pPr>
        <w:spacing w:line="540" w:lineRule="exact"/>
        <w:ind w:left="-1" w:right="-1" w:firstLine="646"/>
        <w:jc w:val="left"/>
      </w:pPr>
      <w:r>
        <w:rPr>
          <w:rFonts w:ascii="仿宋_GB2312" w:hAnsi="仿宋_GB2312" w:eastAsia="仿宋_GB2312" w:cs="仿宋_GB2312"/>
          <w:b w:val="0"/>
          <w:color w:val="auto"/>
          <w:sz w:val="32"/>
          <w:u w:val="none"/>
        </w:rPr>
        <w:t>2、动物卫生监督执法培训项目绩效自评综述：根据年初设定的绩效目标，该项目绩效自评得分为87分。项目全年预算数为1.68万元，执行数为1.68万元，完成预算的100%。主要产出和效果：开展指导督促各县市动物卫生监督执法人员执法办案水平和综合素质4次，办案工作出差费、办公费及培训费预计1.68万元，提高全区动物卫生监督执法人员执法办案水平和综合素质，提高执法办案质量，促进全区畜牧业和畜产品安全可持续发展，培训参加人数30人，培训出勤率95%，开展全区卫生监督执法按时完成率100%。经济型：实际完成2万元效率性:资金到位率和使用率100%。发现的问题及原因：2018年本项目绩效目标全部达到，不存在未完成原因分析。下一步改进措施： 继续做好指导服务工作，加大项目实施力度，保质保量完成预期目标，促进畜牧业健康发展。</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221（类）02（款）01（项）指：住房公积金。213（类）01（款）08（项）指：病虫害控制。205（类）02（款）01（项）指：学前教育。213（类）01（款）01（项）指：行政运行。213（类）01（款）02（项）指：一般行政管理事务。229（类）99（款）01（项）指：其他支出。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- 1 -</w:t>
    </w:r>
    <w:r>
      <w:rPr>
        <w:rStyle w:val="9"/>
        <w:rFonts w:ascii="宋体" w:hAnsi="宋体" w:eastAsia="宋体"/>
        <w:sz w:val="28"/>
      </w:rPr>
      <w:fldChar w:fldCharType="end"/>
    </w:r>
    <w:r>
      <w:rPr>
        <w:rStyle w:val="9"/>
        <w:rFonts w:hint="eastAsia"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ROz3kmMu5dSi/NTqW430igC4A/Y=" w:salt="/S7Nmseau9oaXdkn/ZltB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3FE955C0"/>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C11251"/>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1150</Words>
  <Characters>6559</Characters>
  <Lines>54</Lines>
  <Paragraphs>15</Paragraphs>
  <TotalTime>283</TotalTime>
  <ScaleCrop>false</ScaleCrop>
  <LinksUpToDate>false</LinksUpToDate>
  <CharactersWithSpaces>7694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2021-07-01T08:47:34Z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