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640"/>
        <w:rPr>
          <w:rStyle w:val="17"/>
          <w:rFonts w:ascii="黑体" w:hAnsi="黑体" w:eastAsia="黑体"/>
          <w:b w:val="0"/>
          <w:spacing w:val="-4"/>
          <w:sz w:val="32"/>
          <w:szCs w:val="32"/>
        </w:rPr>
      </w:pPr>
      <w:r>
        <w:rPr>
          <w:rStyle w:val="17"/>
          <w:rFonts w:ascii="黑体" w:hAnsi="黑体" w:eastAsia="黑体"/>
          <w:b w:val="0"/>
          <w:spacing w:val="-4"/>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17"/>
          <w:rFonts w:hint="eastAsia" w:ascii="黑体" w:hAnsi="黑体" w:eastAsia="黑体"/>
          <w:b w:val="0"/>
          <w:spacing w:val="-4"/>
          <w:sz w:val="32"/>
          <w:szCs w:val="32"/>
          <w:lang w:eastAsia="zh-CN"/>
        </w:rPr>
        <w:instrText xml:space="preserve">ADDIN CNKISM.UserStyle</w:instrText>
      </w:r>
      <w:r>
        <w:rPr>
          <w:rStyle w:val="17"/>
          <w:rFonts w:ascii="黑体" w:hAnsi="黑体" w:eastAsia="黑体"/>
          <w:b w:val="0"/>
          <w:spacing w:val="-4"/>
          <w:sz w:val="32"/>
          <w:szCs w:val="32"/>
        </w:rPr>
        <w:fldChar w:fldCharType="separate"/>
      </w:r>
      <w:r>
        <w:rPr>
          <w:rStyle w:val="17"/>
          <w:rFonts w:ascii="黑体" w:hAnsi="黑体" w:eastAsia="黑体"/>
          <w:b w:val="0"/>
          <w:spacing w:val="-4"/>
          <w:sz w:val="32"/>
          <w:szCs w:val="32"/>
        </w:rPr>
        <w:fldChar w:fldCharType="end"/>
      </w:r>
    </w:p>
    <w:p>
      <w:pPr>
        <w:spacing w:line="540" w:lineRule="exact"/>
        <w:ind w:firstLine="640"/>
        <w:rPr>
          <w:rStyle w:val="17"/>
          <w:rFonts w:ascii="黑体" w:hAnsi="黑体" w:eastAsia="黑体"/>
          <w:b w:val="0"/>
          <w:spacing w:val="-4"/>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ind w:firstLine="720" w:firstLineChars="200"/>
        <w:rPr>
          <w:rFonts w:hAnsi="宋体" w:eastAsia="仿宋_GB2312" w:cs="宋体"/>
          <w:kern w:val="0"/>
          <w:sz w:val="36"/>
          <w:szCs w:val="36"/>
        </w:rPr>
      </w:pPr>
      <w:r>
        <w:rPr>
          <w:rFonts w:hint="eastAsia" w:hAnsi="宋体" w:eastAsia="仿宋_GB2312" w:cs="宋体"/>
          <w:kern w:val="0"/>
          <w:sz w:val="36"/>
          <w:szCs w:val="36"/>
        </w:rPr>
        <w:t>项目名称：2018年动物防疫等补助经费项目</w:t>
      </w:r>
    </w:p>
    <w:p>
      <w:pPr>
        <w:spacing w:line="700" w:lineRule="exact"/>
        <w:jc w:val="left"/>
        <w:rPr>
          <w:rFonts w:ascii="仿宋_GB2312" w:eastAsia="仿宋_GB2312"/>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w:t>
      </w:r>
      <w:r>
        <w:rPr>
          <w:rFonts w:hint="eastAsia" w:ascii="仿宋_GB2312" w:eastAsia="仿宋_GB2312"/>
          <w:sz w:val="36"/>
          <w:szCs w:val="36"/>
        </w:rPr>
        <w:t>喀什地区动物疾病控制与诊断中心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项目负责人（签章）：柯飞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12</w:t>
      </w:r>
      <w:r>
        <w:rPr>
          <w:rFonts w:hint="eastAsia" w:hAnsi="宋体" w:eastAsia="仿宋_GB2312" w:cs="宋体"/>
          <w:kern w:val="0"/>
          <w:sz w:val="36"/>
          <w:szCs w:val="36"/>
        </w:rPr>
        <w:t>月25日</w:t>
      </w:r>
    </w:p>
    <w:p>
      <w:pPr>
        <w:spacing w:line="540" w:lineRule="exact"/>
        <w:jc w:val="center"/>
        <w:rPr>
          <w:rFonts w:hAnsi="宋体" w:eastAsia="仿宋_GB2312" w:cs="宋体"/>
          <w:kern w:val="0"/>
          <w:sz w:val="30"/>
          <w:szCs w:val="30"/>
        </w:rPr>
      </w:pPr>
    </w:p>
    <w:p>
      <w:pPr>
        <w:spacing w:line="540" w:lineRule="exact"/>
        <w:ind w:firstLine="640"/>
        <w:rPr>
          <w:rStyle w:val="17"/>
          <w:rFonts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spacing w:line="540" w:lineRule="exact"/>
        <w:ind w:firstLine="640"/>
        <w:rPr>
          <w:rStyle w:val="17"/>
          <w:rFonts w:hint="eastAsia" w:ascii="黑体" w:hAnsi="黑体" w:eastAsia="黑体"/>
          <w:b w:val="0"/>
          <w:spacing w:val="-4"/>
          <w:sz w:val="32"/>
          <w:szCs w:val="32"/>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喀什地区动物疾病控制与诊断中心，本部门为事业单位，全额预算，相当副县级，隶属地区畜牧兽医局管理。内设办公室、业务科、化验室、药械供应科。核定全额拨款事业编制20名，其中领导职数3名，（主任1名副县级，副主任２名正科级）。内设机构领导职数4名（正科级），工勤人员２名。2018年在职职工19人，离休人员1人；退休人员16人。</w:t>
      </w:r>
    </w:p>
    <w:p>
      <w:pPr>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单位主要职能：根据 喀机编字[2007]125号文件规定，主要职责是：负责实施动物疫病的监测、预警、预报、实验室诊断、流行性学调查；提出重大动物疫病防控技术方案；动物疫病预防的技术指导、技术培训、科普宣传；承担动物产品安全技术检测工作。</w:t>
      </w:r>
    </w:p>
    <w:p>
      <w:pPr>
        <w:spacing w:line="560" w:lineRule="exact"/>
        <w:ind w:firstLine="640" w:firstLineChars="200"/>
        <w:rPr>
          <w:rFonts w:ascii="仿宋_GB2312" w:eastAsia="仿宋_GB2312" w:hAnsiTheme="minorEastAsia"/>
          <w:bCs/>
        </w:rPr>
      </w:pPr>
      <w:r>
        <w:rPr>
          <w:rFonts w:hint="eastAsia" w:ascii="仿宋_GB2312" w:eastAsia="仿宋_GB2312" w:hAnsiTheme="minorEastAsia"/>
          <w:sz w:val="32"/>
          <w:szCs w:val="32"/>
        </w:rPr>
        <w:t>一是以重大动物疫病为重点，认真开展动物强制免疫工作；二是认真做好动物病原监测、免疫动物抗体监测，做好预警预报工作；三是畜禽防疫、畜禽疫病诊断、畜禽防疫项目实施、畜禽防疫生物制品调控、兽药及器械供应、畜禽疫情控制、畜禽疫情扑灭。四是畜禽疫情管理、重大畜禽疫病监测、实验室诊断、畜禽疫病普查、畜禽疫病情况统计报告、畜禽疫病测报站管理。</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adjustRightInd w:val="0"/>
        <w:snapToGrid w:val="0"/>
        <w:spacing w:line="560" w:lineRule="exact"/>
        <w:ind w:firstLine="624" w:firstLineChars="200"/>
        <w:rPr>
          <w:rFonts w:hint="eastAsia" w:ascii="仿宋" w:hAnsi="仿宋" w:eastAsia="仿宋"/>
          <w:b w:val="0"/>
          <w:bCs w:val="0"/>
          <w:spacing w:val="-4"/>
          <w:sz w:val="32"/>
          <w:szCs w:val="32"/>
        </w:rPr>
      </w:pPr>
      <w:r>
        <w:rPr>
          <w:rFonts w:hint="eastAsia" w:ascii="仿宋" w:hAnsi="仿宋" w:eastAsia="仿宋"/>
          <w:b w:val="0"/>
          <w:bCs w:val="0"/>
          <w:spacing w:val="-4"/>
          <w:sz w:val="32"/>
          <w:szCs w:val="32"/>
          <w:lang w:eastAsia="zh-CN"/>
        </w:rPr>
        <w:t>本项目主要是</w:t>
      </w:r>
      <w:r>
        <w:rPr>
          <w:rFonts w:hint="eastAsia" w:ascii="仿宋" w:hAnsi="仿宋" w:eastAsia="仿宋"/>
          <w:b w:val="0"/>
          <w:bCs w:val="0"/>
          <w:spacing w:val="-4"/>
          <w:sz w:val="32"/>
          <w:szCs w:val="32"/>
        </w:rPr>
        <w:t>指导检查县市级数量为12个县市，每年指导检查全区各县市重大动物疫情监测工作6次、督导指导检查覆盖率达到98%以上、督促指导按期完成率98%以上、开展本单位工作任务按时完成率达到98%、动物防疫补助经费项目完成时间2018年12月31日。诊断试剂费控制在20万元，提高本单位工作任务完成率达到98%，促进全区畜牧业和畜产品安全可持续发展，社会公众满意度95%以上。</w:t>
      </w:r>
    </w:p>
    <w:p>
      <w:pPr>
        <w:spacing w:line="540" w:lineRule="exact"/>
        <w:ind w:firstLine="640"/>
        <w:rPr>
          <w:rFonts w:ascii="仿宋" w:hAnsi="仿宋" w:eastAsia="仿宋"/>
          <w:b/>
          <w:sz w:val="32"/>
          <w:szCs w:val="32"/>
        </w:rPr>
      </w:pPr>
      <w:r>
        <w:rPr>
          <w:rFonts w:hint="eastAsia" w:ascii="仿宋" w:hAnsi="仿宋" w:eastAsia="仿宋"/>
          <w:b/>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60" w:lineRule="exact"/>
        <w:ind w:firstLine="640" w:firstLineChars="200"/>
        <w:rPr>
          <w:rFonts w:ascii="仿宋_GB2312" w:eastAsia="仿宋_GB2312" w:hAnsiTheme="minorEastAsia"/>
          <w:sz w:val="32"/>
          <w:szCs w:val="32"/>
          <w:highlight w:val="yellow"/>
        </w:rPr>
      </w:pPr>
      <w:r>
        <w:rPr>
          <w:rFonts w:hint="eastAsia" w:ascii="仿宋_GB2312" w:eastAsia="仿宋_GB2312" w:hAnsiTheme="minorEastAsia"/>
          <w:sz w:val="32"/>
          <w:szCs w:val="32"/>
          <w:highlight w:val="none"/>
        </w:rPr>
        <w:t>2018年动物防疫等补助经费预算项目预算安排总额为20万元，其中财政资金20万元，</w:t>
      </w:r>
      <w:r>
        <w:rPr>
          <w:rFonts w:hint="eastAsia" w:ascii="仿宋_GB2312" w:hAnsi="仿宋" w:eastAsia="仿宋_GB2312"/>
          <w:bCs/>
          <w:color w:val="000000" w:themeColor="text1"/>
          <w:spacing w:val="-4"/>
          <w:sz w:val="32"/>
          <w:szCs w:val="32"/>
          <w:highlight w:val="none"/>
        </w:rPr>
        <w:t>2018</w:t>
      </w:r>
      <w:r>
        <w:rPr>
          <w:rFonts w:hint="eastAsia" w:ascii="仿宋_GB2312" w:hAnsi="仿宋" w:eastAsia="仿宋_GB2312"/>
          <w:bCs/>
          <w:color w:val="000000" w:themeColor="text1"/>
          <w:spacing w:val="-4"/>
          <w:sz w:val="32"/>
          <w:szCs w:val="32"/>
        </w:rPr>
        <w:t>年实际收到预算资金</w:t>
      </w:r>
      <w:r>
        <w:rPr>
          <w:rFonts w:hint="eastAsia" w:ascii="仿宋_GB2312" w:hAnsi="仿宋" w:eastAsia="仿宋_GB2312"/>
          <w:bCs/>
          <w:color w:val="000000" w:themeColor="text1"/>
          <w:spacing w:val="-4"/>
          <w:sz w:val="32"/>
          <w:szCs w:val="32"/>
          <w:lang w:val="en-US" w:eastAsia="zh-CN"/>
        </w:rPr>
        <w:t>20</w:t>
      </w:r>
      <w:r>
        <w:rPr>
          <w:rFonts w:hint="eastAsia" w:ascii="仿宋_GB2312" w:hAnsi="仿宋" w:eastAsia="仿宋_GB2312"/>
          <w:bCs/>
          <w:color w:val="000000" w:themeColor="text1"/>
          <w:spacing w:val="-4"/>
          <w:sz w:val="32"/>
          <w:szCs w:val="32"/>
        </w:rPr>
        <w:t>万元。</w:t>
      </w:r>
      <w:r>
        <w:rPr>
          <w:rStyle w:val="17"/>
          <w:rFonts w:hint="eastAsia" w:ascii="仿宋_GB2312" w:hAnsi="仿宋" w:eastAsia="仿宋_GB2312"/>
          <w:b w:val="0"/>
          <w:spacing w:val="-4"/>
          <w:sz w:val="32"/>
          <w:szCs w:val="32"/>
        </w:rPr>
        <w:t>此项目资金主要用于</w:t>
      </w:r>
      <w:r>
        <w:rPr>
          <w:rStyle w:val="17"/>
          <w:rFonts w:hint="eastAsia" w:ascii="仿宋_GB2312" w:hAnsi="仿宋" w:eastAsia="仿宋_GB2312"/>
          <w:b w:val="0"/>
          <w:spacing w:val="-4"/>
          <w:sz w:val="32"/>
          <w:szCs w:val="32"/>
          <w:lang w:eastAsia="zh-CN"/>
        </w:rPr>
        <w:t>购买</w:t>
      </w:r>
      <w:r>
        <w:rPr>
          <w:rStyle w:val="17"/>
          <w:rFonts w:hint="eastAsia" w:ascii="仿宋_GB2312" w:hAnsi="仿宋" w:eastAsia="仿宋_GB2312"/>
          <w:b w:val="0"/>
          <w:spacing w:val="-4"/>
          <w:sz w:val="32"/>
          <w:szCs w:val="32"/>
        </w:rPr>
        <w:t>诊断试剂</w:t>
      </w:r>
      <w:r>
        <w:rPr>
          <w:rStyle w:val="17"/>
          <w:rFonts w:hint="eastAsia" w:ascii="仿宋_GB2312" w:hAnsi="仿宋" w:eastAsia="仿宋_GB2312"/>
          <w:b w:val="0"/>
          <w:spacing w:val="-4"/>
          <w:sz w:val="32"/>
          <w:szCs w:val="32"/>
          <w:lang w:val="en-US" w:eastAsia="zh-CN"/>
        </w:rPr>
        <w:t>20万元，</w:t>
      </w:r>
      <w:r>
        <w:rPr>
          <w:rFonts w:hint="eastAsia" w:ascii="仿宋" w:hAnsi="仿宋" w:eastAsia="仿宋"/>
          <w:b w:val="0"/>
          <w:bCs w:val="0"/>
          <w:spacing w:val="-4"/>
          <w:sz w:val="32"/>
          <w:szCs w:val="32"/>
        </w:rPr>
        <w:t>促进全区畜牧业和畜产品安全可持续发展</w:t>
      </w:r>
      <w:r>
        <w:rPr>
          <w:rStyle w:val="17"/>
          <w:rFonts w:hint="eastAsia" w:ascii="仿宋_GB2312" w:hAnsi="仿宋" w:eastAsia="仿宋_GB2312"/>
          <w:b w:val="0"/>
          <w:spacing w:val="-4"/>
          <w:sz w:val="32"/>
          <w:szCs w:val="32"/>
        </w:rPr>
        <w:t>。</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60" w:lineRule="exact"/>
        <w:ind w:firstLine="640" w:firstLineChars="200"/>
        <w:rPr>
          <w:rFonts w:ascii="仿宋" w:hAnsi="仿宋" w:eastAsia="仿宋"/>
          <w:bCs/>
          <w:spacing w:val="-4"/>
          <w:sz w:val="32"/>
          <w:szCs w:val="32"/>
        </w:rPr>
      </w:pPr>
      <w:r>
        <w:rPr>
          <w:rFonts w:hint="eastAsia" w:ascii="仿宋_GB2312" w:eastAsia="仿宋_GB2312" w:hAnsiTheme="minorEastAsia"/>
          <w:sz w:val="32"/>
          <w:szCs w:val="32"/>
        </w:rPr>
        <w:t xml:space="preserve"> 本项目实际支付资金20万元，预算执行率100</w:t>
      </w:r>
      <w:r>
        <w:rPr>
          <w:rFonts w:ascii="仿宋_GB2312" w:eastAsia="仿宋_GB2312" w:hAnsiTheme="minorEastAsia"/>
          <w:sz w:val="32"/>
          <w:szCs w:val="32"/>
        </w:rPr>
        <w:t>%</w:t>
      </w:r>
      <w:r>
        <w:rPr>
          <w:rFonts w:hint="eastAsia" w:ascii="仿宋_GB2312" w:eastAsia="仿宋_GB2312" w:hAnsiTheme="minorEastAsia"/>
          <w:sz w:val="32"/>
          <w:szCs w:val="32"/>
        </w:rPr>
        <w:t>。项目资金主要用途为专用材料费(诊断试剂)20万元。</w:t>
      </w:r>
      <w:r>
        <w:rPr>
          <w:rFonts w:hint="eastAsia" w:ascii="仿宋_GB2312" w:hAnsi="仿宋" w:eastAsia="仿宋_GB2312"/>
          <w:sz w:val="32"/>
          <w:szCs w:val="32"/>
          <w:lang w:val="en-US" w:eastAsia="zh-CN"/>
        </w:rPr>
        <w:t>项目资金开支完毕。</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本项目支出符合喀什地区动物疾控中心相关财务管理制度，包括会计人员集中核算工作管理制度、财务收支审批制度、财务稽核制度、会计主管岗位职责等制度规定，资金的拨付有完整的审批程序和手续，不存在截留、挤占、挪用等情况。</w:t>
      </w:r>
      <w:r>
        <w:rPr>
          <w:rStyle w:val="17"/>
          <w:rFonts w:hint="eastAsia" w:ascii="仿宋_GB2312" w:hAnsi="仿宋" w:eastAsia="仿宋_GB2312"/>
          <w:b w:val="0"/>
          <w:color w:val="000000" w:themeColor="text1"/>
          <w:spacing w:val="-4"/>
          <w:sz w:val="32"/>
          <w:szCs w:val="32"/>
        </w:rPr>
        <w:t>严格按照财务规定报销开支费用。</w:t>
      </w:r>
      <w:r>
        <w:rPr>
          <w:rStyle w:val="17"/>
          <w:rFonts w:hint="eastAsia" w:ascii="仿宋_GB2312" w:hAnsi="仿宋" w:eastAsia="仿宋_GB2312"/>
          <w:b w:val="0"/>
          <w:spacing w:val="-4"/>
          <w:sz w:val="32"/>
          <w:szCs w:val="32"/>
        </w:rPr>
        <w:t>此项目资金用于</w:t>
      </w:r>
      <w:r>
        <w:rPr>
          <w:rFonts w:hint="eastAsia" w:ascii="仿宋_GB2312" w:hAnsi="仿宋" w:eastAsia="仿宋_GB2312"/>
          <w:color w:val="000000" w:themeColor="text1"/>
          <w:sz w:val="32"/>
          <w:szCs w:val="32"/>
          <w:lang w:eastAsia="zh-CN"/>
        </w:rPr>
        <w:t>购买诊断试剂</w:t>
      </w:r>
      <w:r>
        <w:rPr>
          <w:rStyle w:val="17"/>
          <w:rFonts w:hint="eastAsia" w:ascii="仿宋_GB2312" w:hAnsi="仿宋" w:eastAsia="仿宋_GB2312"/>
          <w:b w:val="0"/>
          <w:spacing w:val="-4"/>
          <w:sz w:val="32"/>
          <w:szCs w:val="32"/>
        </w:rPr>
        <w:t>。</w:t>
      </w:r>
    </w:p>
    <w:p>
      <w:pPr>
        <w:spacing w:line="540" w:lineRule="exact"/>
        <w:ind w:firstLine="761" w:firstLineChars="243"/>
        <w:rPr>
          <w:rStyle w:val="17"/>
          <w:rFonts w:ascii="楷体" w:hAnsi="楷体" w:eastAsia="楷体"/>
          <w:bCs w:val="0"/>
          <w:spacing w:val="-4"/>
          <w:sz w:val="32"/>
          <w:szCs w:val="32"/>
        </w:rPr>
      </w:pPr>
      <w:r>
        <w:rPr>
          <w:rStyle w:val="17"/>
          <w:rFonts w:hint="eastAsia" w:ascii="楷体" w:hAnsi="楷体" w:eastAsia="楷体"/>
          <w:bCs w:val="0"/>
          <w:spacing w:val="-4"/>
          <w:sz w:val="32"/>
          <w:szCs w:val="32"/>
        </w:rPr>
        <w:t>三、项目组织实施情况</w:t>
      </w:r>
    </w:p>
    <w:p>
      <w:pPr>
        <w:spacing w:line="540" w:lineRule="exact"/>
        <w:ind w:firstLine="758" w:firstLineChars="243"/>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（一）项目组织情况分析</w:t>
      </w:r>
    </w:p>
    <w:p>
      <w:pPr>
        <w:spacing w:line="56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该项目属于经常性零星项目,没有达到招投标限额,由本单位自行组织实施。实施过程均按照本单位制定的管理制度执行。</w:t>
      </w:r>
      <w:r>
        <w:rPr>
          <w:rStyle w:val="17"/>
          <w:rFonts w:hint="eastAsia" w:ascii="仿宋_GB2312" w:hAnsi="仿宋" w:eastAsia="仿宋_GB2312"/>
          <w:b w:val="0"/>
          <w:spacing w:val="-4"/>
          <w:sz w:val="32"/>
          <w:szCs w:val="32"/>
        </w:rPr>
        <w:t>本项目是我单位正常业务开展工作经费，</w:t>
      </w:r>
      <w:r>
        <w:rPr>
          <w:rFonts w:hint="eastAsia" w:ascii="仿宋_GB2312" w:hAnsi="仿宋" w:eastAsia="仿宋_GB2312"/>
          <w:color w:val="000000" w:themeColor="text1"/>
          <w:sz w:val="32"/>
          <w:szCs w:val="32"/>
        </w:rPr>
        <w:t>通过</w:t>
      </w:r>
      <w:r>
        <w:rPr>
          <w:rFonts w:hint="eastAsia" w:ascii="仿宋_GB2312" w:hAnsi="仿宋" w:eastAsia="仿宋_GB2312"/>
          <w:color w:val="000000" w:themeColor="text1"/>
          <w:sz w:val="32"/>
          <w:szCs w:val="32"/>
          <w:lang w:eastAsia="zh-CN"/>
        </w:rPr>
        <w:t>购买诊断试剂，保障我区</w:t>
      </w:r>
      <w:r>
        <w:rPr>
          <w:rFonts w:hint="eastAsia" w:ascii="仿宋" w:hAnsi="仿宋" w:eastAsia="仿宋"/>
          <w:b w:val="0"/>
          <w:bCs w:val="0"/>
          <w:spacing w:val="-4"/>
          <w:sz w:val="32"/>
          <w:szCs w:val="32"/>
        </w:rPr>
        <w:t>畜牧业和畜产品安全可持续发展</w:t>
      </w:r>
      <w:r>
        <w:rPr>
          <w:rFonts w:hint="eastAsia" w:ascii="仿宋_GB2312" w:hAnsi="仿宋" w:eastAsia="仿宋_GB2312"/>
          <w:color w:val="000000" w:themeColor="text1"/>
          <w:sz w:val="32"/>
          <w:szCs w:val="32"/>
        </w:rPr>
        <w:t>。</w:t>
      </w:r>
    </w:p>
    <w:p>
      <w:pPr>
        <w:adjustRightInd w:val="0"/>
        <w:snapToGrid w:val="0"/>
        <w:spacing w:line="56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本项目不存在调整情况。</w:t>
      </w:r>
    </w:p>
    <w:p>
      <w:pPr>
        <w:adjustRightInd w:val="0"/>
        <w:snapToGrid w:val="0"/>
        <w:spacing w:line="560" w:lineRule="exact"/>
        <w:ind w:firstLine="640" w:firstLineChars="200"/>
        <w:rPr>
          <w:rFonts w:hint="eastAsia" w:ascii="仿宋_GB2312" w:eastAsia="仿宋_GB2312" w:hAnsiTheme="minorEastAsia"/>
          <w:bCs/>
          <w:sz w:val="32"/>
          <w:szCs w:val="32"/>
        </w:rPr>
      </w:pPr>
      <w:r>
        <w:rPr>
          <w:rFonts w:hint="eastAsia" w:ascii="仿宋_GB2312" w:eastAsia="仿宋_GB2312" w:hAnsiTheme="minorEastAsia"/>
          <w:bCs/>
          <w:sz w:val="32"/>
          <w:szCs w:val="32"/>
        </w:rPr>
        <w:t>本项目不存在检查验收程序。</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_GB2312" w:eastAsia="仿宋_GB2312" w:hAnsiTheme="minorEastAsia"/>
          <w:bCs/>
          <w:sz w:val="32"/>
          <w:szCs w:val="32"/>
        </w:rPr>
      </w:pPr>
      <w:r>
        <w:rPr>
          <w:rFonts w:hint="eastAsia" w:ascii="仿宋_GB2312" w:eastAsia="仿宋_GB2312" w:hAnsiTheme="minorEastAsia"/>
          <w:bCs/>
          <w:sz w:val="32"/>
          <w:szCs w:val="32"/>
        </w:rPr>
        <w:t>项目实施过程中，喀什地区动物疾病控制与诊断中心遵守相关法律法规和业务管理规定，项目资料齐全并及时归档。我中心严格按照项目执行要求及财务规定开支费用，确保项目按时保质完成。</w:t>
      </w:r>
      <w:r>
        <w:rPr>
          <w:rFonts w:hint="eastAsia" w:ascii="仿宋_GB2312" w:hAnsi="仿宋" w:eastAsia="仿宋_GB2312"/>
          <w:color w:val="000000" w:themeColor="text1"/>
          <w:sz w:val="32"/>
          <w:szCs w:val="32"/>
        </w:rPr>
        <w:t>通过</w:t>
      </w:r>
      <w:r>
        <w:rPr>
          <w:rFonts w:hint="eastAsia" w:ascii="仿宋_GB2312" w:hAnsi="仿宋" w:eastAsia="仿宋_GB2312"/>
          <w:color w:val="000000" w:themeColor="text1"/>
          <w:sz w:val="32"/>
          <w:szCs w:val="32"/>
          <w:lang w:eastAsia="zh-CN"/>
        </w:rPr>
        <w:t>购买诊断试剂，有效保障</w:t>
      </w:r>
      <w:r>
        <w:rPr>
          <w:rStyle w:val="17"/>
          <w:rFonts w:hint="eastAsia" w:ascii="仿宋_GB2312" w:hAnsi="仿宋" w:eastAsia="仿宋_GB2312"/>
          <w:b w:val="0"/>
          <w:spacing w:val="-4"/>
          <w:sz w:val="32"/>
          <w:szCs w:val="32"/>
          <w:lang w:eastAsia="zh-CN"/>
        </w:rPr>
        <w:t>各项试验</w:t>
      </w:r>
      <w:r>
        <w:rPr>
          <w:rStyle w:val="17"/>
          <w:rFonts w:hint="eastAsia" w:ascii="仿宋_GB2312" w:hAnsi="仿宋" w:eastAsia="仿宋_GB2312"/>
          <w:b w:val="0"/>
          <w:spacing w:val="-4"/>
          <w:sz w:val="32"/>
          <w:szCs w:val="32"/>
        </w:rPr>
        <w:t>业务</w:t>
      </w:r>
      <w:r>
        <w:rPr>
          <w:rStyle w:val="17"/>
          <w:rFonts w:hint="eastAsia" w:ascii="仿宋_GB2312" w:hAnsi="仿宋" w:eastAsia="仿宋_GB2312"/>
          <w:b w:val="0"/>
          <w:spacing w:val="-4"/>
          <w:sz w:val="32"/>
          <w:szCs w:val="32"/>
          <w:lang w:eastAsia="zh-CN"/>
        </w:rPr>
        <w:t>正常</w:t>
      </w:r>
      <w:r>
        <w:rPr>
          <w:rStyle w:val="17"/>
          <w:rFonts w:hint="eastAsia" w:ascii="仿宋_GB2312" w:hAnsi="仿宋" w:eastAsia="仿宋_GB2312"/>
          <w:b w:val="0"/>
          <w:spacing w:val="-4"/>
          <w:sz w:val="32"/>
          <w:szCs w:val="32"/>
        </w:rPr>
        <w:t>开展，</w:t>
      </w:r>
      <w:r>
        <w:rPr>
          <w:rFonts w:hint="eastAsia" w:ascii="仿宋_GB2312" w:hAnsi="仿宋" w:eastAsia="仿宋_GB2312"/>
          <w:color w:val="000000" w:themeColor="text1"/>
          <w:sz w:val="32"/>
          <w:szCs w:val="32"/>
          <w:lang w:eastAsia="zh-CN"/>
        </w:rPr>
        <w:t>保障我区</w:t>
      </w:r>
      <w:r>
        <w:rPr>
          <w:rFonts w:hint="eastAsia" w:ascii="仿宋" w:hAnsi="仿宋" w:eastAsia="仿宋"/>
          <w:b w:val="0"/>
          <w:bCs w:val="0"/>
          <w:spacing w:val="-4"/>
          <w:sz w:val="32"/>
          <w:szCs w:val="32"/>
        </w:rPr>
        <w:t>畜牧业和畜产品安全可持续发展</w:t>
      </w:r>
      <w:r>
        <w:rPr>
          <w:rFonts w:hint="eastAsia" w:ascii="仿宋_GB2312" w:hAnsi="仿宋" w:eastAsia="仿宋_GB2312"/>
          <w:color w:val="000000" w:themeColor="text1"/>
          <w:sz w:val="32"/>
          <w:szCs w:val="32"/>
        </w:rPr>
        <w:t>。</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40" w:firstLineChars="200"/>
        <w:rPr>
          <w:rFonts w:ascii="仿宋_GB2312" w:eastAsia="仿宋_GB2312" w:hAnsiTheme="minorEastAsia"/>
          <w:bCs/>
          <w:sz w:val="32"/>
          <w:szCs w:val="32"/>
        </w:rPr>
      </w:pPr>
      <w:r>
        <w:rPr>
          <w:rFonts w:ascii="仿宋_GB2312" w:eastAsia="仿宋_GB2312" w:hAnsiTheme="minorEastAsia"/>
          <w:bCs/>
          <w:sz w:val="32"/>
          <w:szCs w:val="32"/>
        </w:rPr>
        <w:t>本项目共设置一级指标</w:t>
      </w:r>
      <w:r>
        <w:rPr>
          <w:rFonts w:hint="eastAsia" w:ascii="仿宋_GB2312" w:eastAsia="仿宋_GB2312" w:hAnsiTheme="minorEastAsia"/>
          <w:bCs/>
          <w:sz w:val="32"/>
          <w:szCs w:val="32"/>
        </w:rPr>
        <w:t>3</w:t>
      </w:r>
      <w:r>
        <w:rPr>
          <w:rFonts w:ascii="仿宋_GB2312" w:eastAsia="仿宋_GB2312" w:hAnsiTheme="minorEastAsia"/>
          <w:bCs/>
          <w:sz w:val="32"/>
          <w:szCs w:val="32"/>
        </w:rPr>
        <w:t>个</w:t>
      </w:r>
      <w:r>
        <w:rPr>
          <w:rFonts w:hint="eastAsia" w:ascii="仿宋_GB2312" w:eastAsia="仿宋_GB2312" w:hAnsiTheme="minorEastAsia"/>
          <w:bCs/>
          <w:sz w:val="32"/>
          <w:szCs w:val="32"/>
        </w:rPr>
        <w:t>，</w:t>
      </w:r>
      <w:r>
        <w:rPr>
          <w:rFonts w:ascii="仿宋_GB2312" w:eastAsia="仿宋_GB2312" w:hAnsiTheme="minorEastAsia"/>
          <w:bCs/>
          <w:sz w:val="32"/>
          <w:szCs w:val="32"/>
        </w:rPr>
        <w:t>二级指标</w:t>
      </w:r>
      <w:r>
        <w:rPr>
          <w:rFonts w:hint="eastAsia" w:ascii="仿宋_GB2312" w:eastAsia="仿宋_GB2312" w:hAnsiTheme="minorEastAsia"/>
          <w:bCs/>
          <w:sz w:val="32"/>
          <w:szCs w:val="32"/>
        </w:rPr>
        <w:t>9</w:t>
      </w:r>
      <w:r>
        <w:rPr>
          <w:rFonts w:ascii="仿宋_GB2312" w:eastAsia="仿宋_GB2312" w:hAnsiTheme="minorEastAsia"/>
          <w:bCs/>
          <w:sz w:val="32"/>
          <w:szCs w:val="32"/>
        </w:rPr>
        <w:t>个</w:t>
      </w:r>
      <w:r>
        <w:rPr>
          <w:rFonts w:hint="eastAsia" w:ascii="仿宋_GB2312" w:eastAsia="仿宋_GB2312" w:hAnsiTheme="minorEastAsia"/>
          <w:bCs/>
          <w:sz w:val="32"/>
          <w:szCs w:val="32"/>
        </w:rPr>
        <w:t>，</w:t>
      </w:r>
      <w:r>
        <w:rPr>
          <w:rFonts w:ascii="仿宋_GB2312" w:eastAsia="仿宋_GB2312" w:hAnsiTheme="minorEastAsia"/>
          <w:bCs/>
          <w:sz w:val="32"/>
          <w:szCs w:val="32"/>
        </w:rPr>
        <w:t>三级指标</w:t>
      </w:r>
      <w:r>
        <w:rPr>
          <w:rFonts w:hint="eastAsia" w:ascii="仿宋_GB2312" w:eastAsia="仿宋_GB2312" w:hAnsiTheme="minorEastAsia"/>
          <w:bCs/>
          <w:sz w:val="32"/>
          <w:szCs w:val="32"/>
          <w:lang w:val="en-US" w:eastAsia="zh-CN"/>
        </w:rPr>
        <w:t>10</w:t>
      </w:r>
      <w:r>
        <w:rPr>
          <w:rFonts w:ascii="仿宋_GB2312" w:eastAsia="仿宋_GB2312" w:hAnsiTheme="minorEastAsia"/>
          <w:bCs/>
          <w:sz w:val="32"/>
          <w:szCs w:val="32"/>
        </w:rPr>
        <w:t>个</w:t>
      </w:r>
      <w:r>
        <w:rPr>
          <w:rFonts w:hint="eastAsia" w:ascii="仿宋_GB2312" w:eastAsia="仿宋_GB2312" w:hAnsiTheme="minorEastAsia"/>
          <w:bCs/>
          <w:sz w:val="32"/>
          <w:szCs w:val="32"/>
        </w:rPr>
        <w:t>，其中</w:t>
      </w:r>
      <w:r>
        <w:rPr>
          <w:rFonts w:ascii="仿宋_GB2312" w:eastAsia="仿宋_GB2312" w:hAnsiTheme="minorEastAsia"/>
          <w:bCs/>
          <w:sz w:val="32"/>
          <w:szCs w:val="32"/>
        </w:rPr>
        <w:t>已完成三级指标</w:t>
      </w:r>
      <w:r>
        <w:rPr>
          <w:rFonts w:hint="eastAsia" w:ascii="仿宋_GB2312" w:eastAsia="仿宋_GB2312" w:hAnsiTheme="minorEastAsia"/>
          <w:bCs/>
          <w:sz w:val="32"/>
          <w:szCs w:val="32"/>
          <w:lang w:val="en-US" w:eastAsia="zh-CN"/>
        </w:rPr>
        <w:t>10</w:t>
      </w:r>
      <w:r>
        <w:rPr>
          <w:rFonts w:ascii="仿宋_GB2312" w:eastAsia="仿宋_GB2312" w:hAnsiTheme="minorEastAsia"/>
          <w:bCs/>
          <w:sz w:val="32"/>
          <w:szCs w:val="32"/>
        </w:rPr>
        <w:t>个</w:t>
      </w:r>
      <w:r>
        <w:rPr>
          <w:rFonts w:hint="eastAsia" w:ascii="仿宋_GB2312" w:eastAsia="仿宋_GB2312" w:hAnsiTheme="minorEastAsia"/>
          <w:bCs/>
          <w:sz w:val="32"/>
          <w:szCs w:val="32"/>
        </w:rPr>
        <w:t>，</w:t>
      </w:r>
      <w:r>
        <w:rPr>
          <w:rFonts w:hint="eastAsia" w:ascii="仿宋_GB2312" w:eastAsia="仿宋_GB2312" w:hAnsiTheme="minorEastAsia"/>
          <w:bCs/>
          <w:sz w:val="32"/>
          <w:szCs w:val="32"/>
        </w:rPr>
        <w:t>指标完成率为100%。</w:t>
      </w:r>
    </w:p>
    <w:p>
      <w:pPr>
        <w:adjustRightInd w:val="0"/>
        <w:snapToGrid w:val="0"/>
        <w:spacing w:line="560" w:lineRule="exact"/>
        <w:ind w:firstLine="640" w:firstLineChars="200"/>
        <w:rPr>
          <w:rFonts w:hint="eastAsia" w:ascii="仿宋_GB2312" w:eastAsia="仿宋_GB2312" w:hAnsiTheme="minorEastAsia"/>
          <w:sz w:val="32"/>
          <w:szCs w:val="32"/>
        </w:rPr>
      </w:pPr>
      <w:r>
        <w:rPr>
          <w:rFonts w:hint="eastAsia" w:ascii="仿宋_GB2312" w:eastAsia="仿宋_GB2312" w:hAnsiTheme="minorEastAsia"/>
          <w:sz w:val="32"/>
          <w:szCs w:val="32"/>
        </w:rPr>
        <w:t>经济性：主要</w:t>
      </w:r>
      <w:r>
        <w:rPr>
          <w:rFonts w:hint="eastAsia" w:ascii="仿宋_GB2312" w:eastAsia="仿宋_GB2312" w:hAnsiTheme="minorEastAsia"/>
          <w:sz w:val="32"/>
          <w:szCs w:val="32"/>
          <w:lang w:eastAsia="zh-CN"/>
        </w:rPr>
        <w:t>是购买</w:t>
      </w:r>
      <w:r>
        <w:rPr>
          <w:rFonts w:hint="eastAsia" w:ascii="仿宋_GB2312" w:eastAsia="仿宋_GB2312" w:hAnsiTheme="minorEastAsia"/>
          <w:sz w:val="32"/>
          <w:szCs w:val="32"/>
        </w:rPr>
        <w:t>专用材料费(诊断试剂)20万元。</w:t>
      </w:r>
    </w:p>
    <w:p>
      <w:pPr>
        <w:adjustRightInd w:val="0"/>
        <w:snapToGrid w:val="0"/>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效</w:t>
      </w:r>
      <w:r>
        <w:rPr>
          <w:rFonts w:hint="eastAsia" w:ascii="仿宋_GB2312" w:eastAsia="仿宋_GB2312" w:hAnsiTheme="minorEastAsia"/>
          <w:sz w:val="32"/>
          <w:szCs w:val="32"/>
          <w:lang w:eastAsia="zh-CN"/>
        </w:rPr>
        <w:t>率</w:t>
      </w:r>
      <w:r>
        <w:rPr>
          <w:rFonts w:hint="eastAsia" w:ascii="仿宋_GB2312" w:eastAsia="仿宋_GB2312" w:hAnsiTheme="minorEastAsia"/>
          <w:sz w:val="32"/>
          <w:szCs w:val="32"/>
        </w:rPr>
        <w:t>性：</w:t>
      </w:r>
      <w:r>
        <w:rPr>
          <w:rFonts w:hint="eastAsia" w:ascii="仿宋_GB2312" w:eastAsia="仿宋_GB2312" w:hAnsiTheme="minorEastAsia"/>
          <w:sz w:val="32"/>
          <w:szCs w:val="32"/>
          <w:lang w:eastAsia="zh-CN"/>
        </w:rPr>
        <w:t>及时开展本单位业务工作，</w:t>
      </w:r>
      <w:r>
        <w:rPr>
          <w:rFonts w:hint="eastAsia" w:ascii="仿宋_GB2312" w:eastAsia="仿宋_GB2312" w:hAnsiTheme="minorEastAsia"/>
          <w:sz w:val="32"/>
          <w:szCs w:val="32"/>
        </w:rPr>
        <w:t>提高工作任务完成</w:t>
      </w:r>
      <w:r>
        <w:rPr>
          <w:rFonts w:hint="eastAsia" w:ascii="仿宋_GB2312" w:eastAsia="仿宋_GB2312" w:hAnsiTheme="minorEastAsia"/>
          <w:sz w:val="32"/>
          <w:szCs w:val="32"/>
          <w:lang w:eastAsia="zh-CN"/>
        </w:rPr>
        <w:t>率</w:t>
      </w:r>
      <w:r>
        <w:rPr>
          <w:rFonts w:hint="eastAsia" w:ascii="仿宋_GB2312" w:eastAsia="仿宋_GB2312" w:hAnsiTheme="minorEastAsia"/>
          <w:sz w:val="32"/>
          <w:szCs w:val="32"/>
        </w:rPr>
        <w:t>。</w:t>
      </w:r>
    </w:p>
    <w:p>
      <w:pPr>
        <w:adjustRightInd w:val="0"/>
        <w:snapToGrid w:val="0"/>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效益性：</w:t>
      </w:r>
      <w:r>
        <w:rPr>
          <w:rFonts w:hint="eastAsia" w:ascii="仿宋_GB2312" w:hAnsi="仿宋" w:eastAsia="仿宋_GB2312"/>
          <w:color w:val="000000" w:themeColor="text1"/>
          <w:sz w:val="32"/>
          <w:szCs w:val="32"/>
        </w:rPr>
        <w:t>通过</w:t>
      </w:r>
      <w:r>
        <w:rPr>
          <w:rFonts w:hint="eastAsia" w:ascii="仿宋_GB2312" w:hAnsi="仿宋" w:eastAsia="仿宋_GB2312"/>
          <w:color w:val="000000" w:themeColor="text1"/>
          <w:sz w:val="32"/>
          <w:szCs w:val="32"/>
          <w:lang w:eastAsia="zh-CN"/>
        </w:rPr>
        <w:t>购买诊断试剂，有效保障</w:t>
      </w:r>
      <w:r>
        <w:rPr>
          <w:rStyle w:val="17"/>
          <w:rFonts w:hint="eastAsia" w:ascii="仿宋_GB2312" w:hAnsi="仿宋" w:eastAsia="仿宋_GB2312"/>
          <w:b w:val="0"/>
          <w:spacing w:val="-4"/>
          <w:sz w:val="32"/>
          <w:szCs w:val="32"/>
          <w:lang w:eastAsia="zh-CN"/>
        </w:rPr>
        <w:t>各项试验</w:t>
      </w:r>
      <w:r>
        <w:rPr>
          <w:rStyle w:val="17"/>
          <w:rFonts w:hint="eastAsia" w:ascii="仿宋_GB2312" w:hAnsi="仿宋" w:eastAsia="仿宋_GB2312"/>
          <w:b w:val="0"/>
          <w:spacing w:val="-4"/>
          <w:sz w:val="32"/>
          <w:szCs w:val="32"/>
        </w:rPr>
        <w:t>业务</w:t>
      </w:r>
      <w:r>
        <w:rPr>
          <w:rStyle w:val="17"/>
          <w:rFonts w:hint="eastAsia" w:ascii="仿宋_GB2312" w:hAnsi="仿宋" w:eastAsia="仿宋_GB2312"/>
          <w:b w:val="0"/>
          <w:spacing w:val="-4"/>
          <w:sz w:val="32"/>
          <w:szCs w:val="32"/>
          <w:lang w:eastAsia="zh-CN"/>
        </w:rPr>
        <w:t>正常</w:t>
      </w:r>
      <w:r>
        <w:rPr>
          <w:rStyle w:val="17"/>
          <w:rFonts w:hint="eastAsia" w:ascii="仿宋_GB2312" w:hAnsi="仿宋" w:eastAsia="仿宋_GB2312"/>
          <w:b w:val="0"/>
          <w:spacing w:val="-4"/>
          <w:sz w:val="32"/>
          <w:szCs w:val="32"/>
        </w:rPr>
        <w:t>开展，</w:t>
      </w:r>
      <w:r>
        <w:rPr>
          <w:rFonts w:hint="eastAsia" w:ascii="仿宋_GB2312" w:hAnsi="仿宋" w:eastAsia="仿宋_GB2312"/>
          <w:color w:val="000000" w:themeColor="text1"/>
          <w:sz w:val="32"/>
          <w:szCs w:val="32"/>
          <w:lang w:eastAsia="zh-CN"/>
        </w:rPr>
        <w:t>保障我区</w:t>
      </w:r>
      <w:r>
        <w:rPr>
          <w:rFonts w:hint="eastAsia" w:ascii="仿宋" w:hAnsi="仿宋" w:eastAsia="仿宋"/>
          <w:b w:val="0"/>
          <w:bCs w:val="0"/>
          <w:spacing w:val="-4"/>
          <w:sz w:val="32"/>
          <w:szCs w:val="32"/>
        </w:rPr>
        <w:t>畜牧业和畜产品安全可持续发展</w:t>
      </w:r>
      <w:r>
        <w:rPr>
          <w:rFonts w:hint="eastAsia" w:ascii="仿宋_GB2312" w:hAnsi="仿宋" w:eastAsia="仿宋_GB2312"/>
          <w:color w:val="000000" w:themeColor="text1"/>
          <w:sz w:val="32"/>
          <w:szCs w:val="32"/>
        </w:rPr>
        <w:t>。</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40" w:firstLineChars="200"/>
        <w:rPr>
          <w:rFonts w:ascii="仿宋_GB2312" w:eastAsia="仿宋_GB2312" w:hAnsiTheme="minorEastAsia"/>
          <w:bCs/>
          <w:sz w:val="32"/>
          <w:szCs w:val="32"/>
        </w:rPr>
      </w:pPr>
      <w:r>
        <w:rPr>
          <w:rFonts w:hint="eastAsia" w:ascii="仿宋_GB2312" w:eastAsia="仿宋_GB2312" w:hAnsiTheme="minorEastAsia"/>
          <w:sz w:val="32"/>
          <w:szCs w:val="32"/>
        </w:rPr>
        <w:t>2018年此项目绩效目标全部达到，</w:t>
      </w:r>
      <w:r>
        <w:rPr>
          <w:rFonts w:hint="eastAsia" w:ascii="仿宋_GB2312" w:eastAsia="仿宋_GB2312" w:hAnsiTheme="minorEastAsia"/>
          <w:bCs/>
          <w:sz w:val="32"/>
          <w:szCs w:val="32"/>
        </w:rPr>
        <w:t>不存在未完成原因分析。</w:t>
      </w:r>
    </w:p>
    <w:p>
      <w:pPr>
        <w:numPr>
          <w:ilvl w:val="0"/>
          <w:numId w:val="1"/>
        </w:num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其他需要说明的问题</w:t>
      </w:r>
    </w:p>
    <w:p>
      <w:pPr>
        <w:ind w:firstLine="1326" w:firstLineChars="425"/>
        <w:rPr>
          <w:rFonts w:ascii="仿宋" w:hAnsi="仿宋" w:eastAsia="仿宋"/>
          <w:bCs/>
          <w:spacing w:val="-4"/>
          <w:sz w:val="32"/>
          <w:szCs w:val="32"/>
        </w:rPr>
      </w:pPr>
      <w:r>
        <w:rPr>
          <w:rFonts w:hint="eastAsia" w:ascii="仿宋" w:hAnsi="仿宋" w:eastAsia="仿宋"/>
          <w:bCs/>
          <w:spacing w:val="-4"/>
          <w:sz w:val="32"/>
          <w:szCs w:val="32"/>
        </w:rPr>
        <w:t>无其他需要说明情况</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喀什地区动物疾病控制与诊断中心实施动物疫病的监测、预警、预报、实验室诊断、流行性学调查；提出重大动物疫病防控技术方案；动物疫病预防的技术指导、技术培训、科普宣传；承担动物产品安全技术检测工作。</w:t>
      </w:r>
      <w:r>
        <w:rPr>
          <w:rFonts w:hint="eastAsia" w:ascii="仿宋_GB2312" w:eastAsia="仿宋_GB2312" w:hAnsiTheme="minorEastAsia"/>
          <w:sz w:val="32"/>
          <w:szCs w:val="32"/>
          <w:lang w:eastAsia="zh-CN"/>
        </w:rPr>
        <w:t>后续工作计划：</w:t>
      </w:r>
      <w:r>
        <w:rPr>
          <w:rFonts w:hint="eastAsia" w:ascii="仿宋_GB2312" w:eastAsia="仿宋_GB2312" w:hAnsiTheme="minorEastAsia"/>
          <w:sz w:val="32"/>
          <w:szCs w:val="32"/>
        </w:rPr>
        <w:t>一是以重大动物疫病为重点，认真开展动物强制免疫工作；二是认真做好动物病原监测、免疫动物抗体监测，做好预警预报工作；三是畜禽防疫、畜禽疫病诊断、畜禽防疫项目实施、畜禽防疫生物制品调控、兽药及器械供应、畜禽疫情控制、畜禽疫情扑灭。四是畜禽疫情管理、重大畜禽疫病监测、实验室诊断、畜禽疫病普查、畜禽疫病情况统计报告、畜禽疫病测报站管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40" w:firstLineChars="200"/>
        <w:rPr>
          <w:rFonts w:hint="eastAsia" w:ascii="仿宋_GB2312" w:eastAsia="仿宋_GB2312" w:hAnsiTheme="minorEastAsia"/>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主要</w:t>
      </w:r>
      <w:r>
        <w:rPr>
          <w:rFonts w:hint="eastAsia" w:ascii="仿宋_GB2312" w:hAnsi="仿宋_GB2312" w:eastAsia="仿宋_GB2312" w:cs="仿宋_GB2312"/>
          <w:sz w:val="32"/>
          <w:szCs w:val="32"/>
        </w:rPr>
        <w:t>做法</w:t>
      </w:r>
      <w:r>
        <w:rPr>
          <w:rFonts w:hint="eastAsia" w:ascii="仿宋_GB2312" w:hAnsi="仿宋_GB2312" w:eastAsia="仿宋_GB2312" w:cs="仿宋_GB2312"/>
          <w:sz w:val="32"/>
          <w:szCs w:val="32"/>
          <w:lang w:eastAsia="zh-CN"/>
        </w:rPr>
        <w:t>：</w:t>
      </w:r>
      <w:r>
        <w:rPr>
          <w:rFonts w:hint="eastAsia" w:ascii="仿宋_GB2312" w:eastAsia="仿宋_GB2312" w:hAnsiTheme="minorEastAsia"/>
          <w:sz w:val="32"/>
          <w:szCs w:val="32"/>
        </w:rPr>
        <w:t>遵守相关法律法规和业务管理规定，不断加强业务管理及学习，保证项目资金安全科学使用</w:t>
      </w:r>
      <w:r>
        <w:rPr>
          <w:rFonts w:hint="eastAsia" w:ascii="仿宋_GB2312" w:eastAsia="仿宋_GB2312" w:hAnsiTheme="minorEastAsia"/>
          <w:sz w:val="32"/>
          <w:szCs w:val="32"/>
          <w:lang w:eastAsia="zh-CN"/>
        </w:rPr>
        <w:t>。</w:t>
      </w:r>
    </w:p>
    <w:p>
      <w:pPr>
        <w:numPr>
          <w:ilvl w:val="0"/>
          <w:numId w:val="2"/>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存在的问题</w:t>
      </w:r>
      <w:r>
        <w:rPr>
          <w:rFonts w:hint="eastAsia" w:ascii="仿宋" w:hAnsi="仿宋" w:eastAsia="仿宋"/>
          <w:bCs/>
          <w:spacing w:val="-4"/>
          <w:sz w:val="32"/>
          <w:szCs w:val="32"/>
          <w:lang w:eastAsia="zh-CN"/>
        </w:rPr>
        <w:t>：</w:t>
      </w:r>
      <w:r>
        <w:rPr>
          <w:rFonts w:hint="eastAsia" w:ascii="仿宋" w:hAnsi="仿宋" w:eastAsia="仿宋"/>
          <w:bCs/>
          <w:spacing w:val="-4"/>
          <w:sz w:val="32"/>
          <w:szCs w:val="32"/>
        </w:rPr>
        <w:t>无</w:t>
      </w:r>
      <w:r>
        <w:rPr>
          <w:rFonts w:hint="eastAsia" w:ascii="仿宋" w:hAnsi="仿宋" w:eastAsia="仿宋"/>
          <w:bCs/>
          <w:spacing w:val="-4"/>
          <w:sz w:val="32"/>
          <w:szCs w:val="32"/>
          <w:lang w:eastAsia="zh-CN"/>
        </w:rPr>
        <w:t>。</w:t>
      </w:r>
    </w:p>
    <w:p>
      <w:pPr>
        <w:numPr>
          <w:ilvl w:val="0"/>
          <w:numId w:val="2"/>
        </w:num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建议</w:t>
      </w:r>
      <w:r>
        <w:rPr>
          <w:rFonts w:hint="eastAsia" w:ascii="仿宋" w:hAnsi="仿宋" w:eastAsia="仿宋"/>
          <w:bCs/>
          <w:spacing w:val="-4"/>
          <w:sz w:val="32"/>
          <w:szCs w:val="32"/>
          <w:lang w:eastAsia="zh-CN"/>
        </w:rPr>
        <w:t>：</w:t>
      </w:r>
      <w:r>
        <w:rPr>
          <w:rFonts w:hint="eastAsia" w:ascii="仿宋" w:hAnsi="仿宋" w:eastAsia="仿宋"/>
          <w:bCs/>
          <w:spacing w:val="-4"/>
          <w:sz w:val="32"/>
          <w:szCs w:val="32"/>
        </w:rPr>
        <w:t>无</w:t>
      </w:r>
      <w:r>
        <w:rPr>
          <w:rFonts w:hint="eastAsia" w:ascii="仿宋" w:hAnsi="仿宋" w:eastAsia="仿宋"/>
          <w:bCs/>
          <w:spacing w:val="-4"/>
          <w:sz w:val="32"/>
          <w:szCs w:val="32"/>
          <w:lang w:eastAsia="zh-CN"/>
        </w:rPr>
        <w:t>。</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Fonts w:hint="eastAsia" w:ascii="仿宋" w:hAnsi="仿宋" w:eastAsia="仿宋"/>
          <w:spacing w:val="-4"/>
          <w:sz w:val="32"/>
          <w:szCs w:val="32"/>
          <w:lang w:eastAsia="zh-CN"/>
        </w:rPr>
      </w:pPr>
      <w:r>
        <w:rPr>
          <w:rFonts w:hint="eastAsia" w:ascii="仿宋" w:hAnsi="仿宋" w:eastAsia="仿宋"/>
          <w:spacing w:val="-4"/>
          <w:sz w:val="32"/>
          <w:szCs w:val="32"/>
        </w:rPr>
        <w:t>无其他说明内容</w:t>
      </w:r>
      <w:r>
        <w:rPr>
          <w:rFonts w:hint="eastAsia" w:ascii="仿宋" w:hAnsi="仿宋" w:eastAsia="仿宋"/>
          <w:spacing w:val="-4"/>
          <w:sz w:val="32"/>
          <w:szCs w:val="32"/>
          <w:lang w:eastAsia="zh-CN"/>
        </w:rPr>
        <w:t>。</w:t>
      </w:r>
    </w:p>
    <w:p>
      <w:pPr>
        <w:numPr>
          <w:ilvl w:val="0"/>
          <w:numId w:val="1"/>
        </w:num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项目评价工作情况</w:t>
      </w:r>
    </w:p>
    <w:p>
      <w:pPr>
        <w:adjustRightInd w:val="0"/>
        <w:snapToGrid w:val="0"/>
        <w:spacing w:line="560" w:lineRule="exact"/>
        <w:ind w:firstLine="640" w:firstLineChars="200"/>
        <w:rPr>
          <w:rFonts w:ascii="仿宋_GB2312" w:eastAsia="仿宋_GB2312" w:hAnsiTheme="minorEastAsia"/>
          <w:sz w:val="32"/>
          <w:szCs w:val="32"/>
        </w:rPr>
      </w:pPr>
      <w:r>
        <w:rPr>
          <w:rFonts w:hint="eastAsia" w:ascii="仿宋_GB2312" w:hAnsi="仿宋" w:eastAsia="仿宋_GB2312" w:cs="仿宋_GB2312"/>
          <w:color w:val="000000"/>
          <w:sz w:val="32"/>
          <w:szCs w:val="32"/>
        </w:rPr>
        <w:t>采用综合评分法进行绩效评价自评，即在对实际补助资金到位情况、项目完成情况、资金拨付情况等与绩效评价指标体系比较分析的基础上，对各项指标进行客观、科学的评分。</w:t>
      </w:r>
      <w:r>
        <w:rPr>
          <w:rFonts w:hint="eastAsia" w:ascii="仿宋_GB2312" w:hAnsi="仿宋" w:eastAsia="仿宋_GB2312"/>
          <w:spacing w:val="-4"/>
          <w:sz w:val="32"/>
          <w:szCs w:val="32"/>
        </w:rPr>
        <w:t>本</w:t>
      </w:r>
      <w:r>
        <w:rPr>
          <w:rFonts w:hint="eastAsia" w:ascii="仿宋_GB2312" w:eastAsia="仿宋_GB2312" w:hAnsiTheme="minorEastAsia"/>
          <w:sz w:val="32"/>
          <w:szCs w:val="32"/>
        </w:rPr>
        <w:t>次评价通过文件研读、实地调研、数据分析等方式，全面了解保证化验室正常运行项目资金的使用效率和效果，项目管理过程是否规范，是</w:t>
      </w:r>
      <w:bookmarkStart w:id="0" w:name="_GoBack"/>
      <w:bookmarkEnd w:id="0"/>
      <w:r>
        <w:rPr>
          <w:rFonts w:hint="eastAsia" w:ascii="仿宋_GB2312" w:eastAsia="仿宋_GB2312" w:hAnsiTheme="minorEastAsia"/>
          <w:sz w:val="32"/>
          <w:szCs w:val="32"/>
        </w:rPr>
        <w:t>否完成了预期绩效目标等。同时，通过开展自我评价来总结经验和教训，为动物疾控中心化验室正常运行项目今后的开展提供参考建议。</w:t>
      </w:r>
    </w:p>
    <w:p>
      <w:pPr>
        <w:numPr>
          <w:ilvl w:val="0"/>
          <w:numId w:val="1"/>
        </w:numPr>
        <w:adjustRightInd w:val="0"/>
        <w:snapToGrid w:val="0"/>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 xml:space="preserve">附表 </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b w:val="0"/>
          <w:spacing w:val="-4"/>
          <w:sz w:val="32"/>
          <w:szCs w:val="32"/>
        </w:rPr>
        <w:t>《自治区财政项目支出绩效自评表》</w:t>
      </w:r>
    </w:p>
    <w:p>
      <w:pPr>
        <w:adjustRightInd w:val="0"/>
        <w:snapToGrid w:val="0"/>
        <w:spacing w:line="560" w:lineRule="exact"/>
        <w:ind w:left="640"/>
        <w:rPr>
          <w:rStyle w:val="17"/>
          <w:rFonts w:ascii="仿宋" w:hAnsi="仿宋" w:eastAsia="仿宋"/>
          <w:b w:val="0"/>
          <w:spacing w:val="-4"/>
          <w:sz w:val="32"/>
          <w:szCs w:val="32"/>
        </w:rPr>
      </w:pPr>
    </w:p>
    <w:p>
      <w:pPr>
        <w:spacing w:line="540" w:lineRule="exact"/>
        <w:ind w:firstLine="640"/>
        <w:rPr>
          <w:rStyle w:val="17"/>
          <w:rFonts w:ascii="黑体" w:hAnsi="黑体" w:eastAsia="黑体"/>
          <w:b w:val="0"/>
          <w:spacing w:val="-4"/>
          <w:sz w:val="32"/>
          <w:szCs w:val="32"/>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118064137">
    <w:nsid w:val="B9D9E209"/>
    <w:multiLevelType w:val="singleLevel"/>
    <w:tmpl w:val="B9D9E209"/>
    <w:lvl w:ilvl="0" w:tentative="1">
      <w:start w:val="2"/>
      <w:numFmt w:val="decimal"/>
      <w:suff w:val="nothing"/>
      <w:lvlText w:val="%1、"/>
      <w:lvlJc w:val="left"/>
    </w:lvl>
  </w:abstractNum>
  <w:abstractNum w:abstractNumId="1287825941">
    <w:nsid w:val="4CC2AA15"/>
    <w:multiLevelType w:val="singleLevel"/>
    <w:tmpl w:val="4CC2AA15"/>
    <w:lvl w:ilvl="0" w:tentative="1">
      <w:start w:val="5"/>
      <w:numFmt w:val="chineseCounting"/>
      <w:suff w:val="nothing"/>
      <w:lvlText w:val="%1、"/>
      <w:lvlJc w:val="left"/>
      <w:rPr>
        <w:rFonts w:hint="eastAsia"/>
      </w:rPr>
    </w:lvl>
  </w:abstractNum>
  <w:num w:numId="1">
    <w:abstractNumId w:val="1287825941"/>
  </w:num>
  <w:num w:numId="2">
    <w:abstractNumId w:val="31180641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CA6457"/>
    <w:rsid w:val="0001058A"/>
    <w:rsid w:val="00020162"/>
    <w:rsid w:val="000524FB"/>
    <w:rsid w:val="00063A45"/>
    <w:rsid w:val="00064A1D"/>
    <w:rsid w:val="000726D9"/>
    <w:rsid w:val="00087D83"/>
    <w:rsid w:val="000935AE"/>
    <w:rsid w:val="000C0A0F"/>
    <w:rsid w:val="000C5C87"/>
    <w:rsid w:val="00133AC7"/>
    <w:rsid w:val="00141C5B"/>
    <w:rsid w:val="001451B8"/>
    <w:rsid w:val="001B11D8"/>
    <w:rsid w:val="001B3751"/>
    <w:rsid w:val="001B515A"/>
    <w:rsid w:val="001E1A44"/>
    <w:rsid w:val="001F0452"/>
    <w:rsid w:val="002217F1"/>
    <w:rsid w:val="0022465E"/>
    <w:rsid w:val="00231D1D"/>
    <w:rsid w:val="00236B6C"/>
    <w:rsid w:val="002407E6"/>
    <w:rsid w:val="002C12D0"/>
    <w:rsid w:val="002C5064"/>
    <w:rsid w:val="002F5F28"/>
    <w:rsid w:val="003300FF"/>
    <w:rsid w:val="00356A22"/>
    <w:rsid w:val="00385620"/>
    <w:rsid w:val="00394D34"/>
    <w:rsid w:val="003B1F50"/>
    <w:rsid w:val="003F1EBE"/>
    <w:rsid w:val="00413DE5"/>
    <w:rsid w:val="00455037"/>
    <w:rsid w:val="00457684"/>
    <w:rsid w:val="00461296"/>
    <w:rsid w:val="004A1DB5"/>
    <w:rsid w:val="004B602B"/>
    <w:rsid w:val="004F03E6"/>
    <w:rsid w:val="004F51EF"/>
    <w:rsid w:val="005162F1"/>
    <w:rsid w:val="00520182"/>
    <w:rsid w:val="00535153"/>
    <w:rsid w:val="00576313"/>
    <w:rsid w:val="00592395"/>
    <w:rsid w:val="005A6F4B"/>
    <w:rsid w:val="005B3460"/>
    <w:rsid w:val="005E4248"/>
    <w:rsid w:val="005F7FB7"/>
    <w:rsid w:val="0061397F"/>
    <w:rsid w:val="00613CF0"/>
    <w:rsid w:val="00694659"/>
    <w:rsid w:val="006A7D87"/>
    <w:rsid w:val="007178D1"/>
    <w:rsid w:val="0074746E"/>
    <w:rsid w:val="007531BD"/>
    <w:rsid w:val="00775C8C"/>
    <w:rsid w:val="007A34AA"/>
    <w:rsid w:val="007E3D0C"/>
    <w:rsid w:val="008258C1"/>
    <w:rsid w:val="008368A5"/>
    <w:rsid w:val="00855E3A"/>
    <w:rsid w:val="0085660C"/>
    <w:rsid w:val="008566F8"/>
    <w:rsid w:val="0087099D"/>
    <w:rsid w:val="00885166"/>
    <w:rsid w:val="00896D45"/>
    <w:rsid w:val="008A0F28"/>
    <w:rsid w:val="008B410B"/>
    <w:rsid w:val="008D3F31"/>
    <w:rsid w:val="008D5D2F"/>
    <w:rsid w:val="008F32BA"/>
    <w:rsid w:val="00922CB9"/>
    <w:rsid w:val="009354D4"/>
    <w:rsid w:val="0094247C"/>
    <w:rsid w:val="00961E34"/>
    <w:rsid w:val="00963E61"/>
    <w:rsid w:val="00974167"/>
    <w:rsid w:val="009A40EE"/>
    <w:rsid w:val="009A6F94"/>
    <w:rsid w:val="009B5EEC"/>
    <w:rsid w:val="009F0CA6"/>
    <w:rsid w:val="00A13A31"/>
    <w:rsid w:val="00A21AAF"/>
    <w:rsid w:val="00A26421"/>
    <w:rsid w:val="00A4293B"/>
    <w:rsid w:val="00A60BDB"/>
    <w:rsid w:val="00A71E5F"/>
    <w:rsid w:val="00A801A8"/>
    <w:rsid w:val="00A855F0"/>
    <w:rsid w:val="00AA54DA"/>
    <w:rsid w:val="00B02368"/>
    <w:rsid w:val="00B04D3C"/>
    <w:rsid w:val="00B06EA7"/>
    <w:rsid w:val="00B13E63"/>
    <w:rsid w:val="00B41F61"/>
    <w:rsid w:val="00B660EF"/>
    <w:rsid w:val="00B70755"/>
    <w:rsid w:val="00B82196"/>
    <w:rsid w:val="00B87B69"/>
    <w:rsid w:val="00B92536"/>
    <w:rsid w:val="00B96775"/>
    <w:rsid w:val="00BA1E3E"/>
    <w:rsid w:val="00BB22E5"/>
    <w:rsid w:val="00BE30AC"/>
    <w:rsid w:val="00C20483"/>
    <w:rsid w:val="00C3282C"/>
    <w:rsid w:val="00C56C72"/>
    <w:rsid w:val="00C67293"/>
    <w:rsid w:val="00C7698A"/>
    <w:rsid w:val="00C83A34"/>
    <w:rsid w:val="00C84A71"/>
    <w:rsid w:val="00C87839"/>
    <w:rsid w:val="00CA6457"/>
    <w:rsid w:val="00CC2BC5"/>
    <w:rsid w:val="00CC79F7"/>
    <w:rsid w:val="00CE3A6D"/>
    <w:rsid w:val="00CF699F"/>
    <w:rsid w:val="00D06261"/>
    <w:rsid w:val="00D17F2E"/>
    <w:rsid w:val="00D34918"/>
    <w:rsid w:val="00D47A9F"/>
    <w:rsid w:val="00D657C2"/>
    <w:rsid w:val="00DA0CD8"/>
    <w:rsid w:val="00DA6FD8"/>
    <w:rsid w:val="00DC7A1C"/>
    <w:rsid w:val="00DE18AE"/>
    <w:rsid w:val="00DE7EBE"/>
    <w:rsid w:val="00DF16C9"/>
    <w:rsid w:val="00E02749"/>
    <w:rsid w:val="00E769FE"/>
    <w:rsid w:val="00E94305"/>
    <w:rsid w:val="00EA2CBE"/>
    <w:rsid w:val="00EE3BED"/>
    <w:rsid w:val="00EE5ED7"/>
    <w:rsid w:val="00F00628"/>
    <w:rsid w:val="00F32FEE"/>
    <w:rsid w:val="00F52A68"/>
    <w:rsid w:val="00F95254"/>
    <w:rsid w:val="10E103BE"/>
    <w:rsid w:val="10FA6FEA"/>
    <w:rsid w:val="140F1FE4"/>
    <w:rsid w:val="19E637FA"/>
    <w:rsid w:val="1AFA08AF"/>
    <w:rsid w:val="200822F3"/>
    <w:rsid w:val="248F2AE9"/>
    <w:rsid w:val="25F90402"/>
    <w:rsid w:val="2C9344A5"/>
    <w:rsid w:val="2D494CD1"/>
    <w:rsid w:val="2FF37A35"/>
    <w:rsid w:val="362373D6"/>
    <w:rsid w:val="38DB1751"/>
    <w:rsid w:val="3D5F03E6"/>
    <w:rsid w:val="40C751CF"/>
    <w:rsid w:val="425C316B"/>
    <w:rsid w:val="44051390"/>
    <w:rsid w:val="44933CFE"/>
    <w:rsid w:val="46E679A3"/>
    <w:rsid w:val="4831050B"/>
    <w:rsid w:val="4FE864AB"/>
    <w:rsid w:val="4FEA7785"/>
    <w:rsid w:val="50227E46"/>
    <w:rsid w:val="50A8129E"/>
    <w:rsid w:val="51224AE1"/>
    <w:rsid w:val="51EC6BC5"/>
    <w:rsid w:val="548743FA"/>
    <w:rsid w:val="54FF642A"/>
    <w:rsid w:val="5A254A9E"/>
    <w:rsid w:val="5DC95701"/>
    <w:rsid w:val="5E856AC0"/>
    <w:rsid w:val="62E244CC"/>
    <w:rsid w:val="675F5CB3"/>
    <w:rsid w:val="686F7DD5"/>
    <w:rsid w:val="69985405"/>
    <w:rsid w:val="6BB83B21"/>
    <w:rsid w:val="6F2D4AB8"/>
    <w:rsid w:val="73EC3697"/>
    <w:rsid w:val="75A14C73"/>
    <w:rsid w:val="79382E07"/>
    <w:rsid w:val="798A3C59"/>
    <w:rsid w:val="799214B9"/>
    <w:rsid w:val="7C457E5F"/>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99"/>
    <w:pPr>
      <w:widowControl/>
      <w:spacing w:after="60"/>
      <w:jc w:val="center"/>
      <w:outlineLvl w:val="1"/>
    </w:pPr>
    <w:rPr>
      <w:rFonts w:ascii="Cambria" w:hAnsi="Cambria"/>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0"/>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Char"/>
    <w:basedOn w:val="16"/>
    <w:link w:val="2"/>
    <w:qFormat/>
    <w:locked/>
    <w:uiPriority w:val="99"/>
    <w:rPr>
      <w:rFonts w:ascii="Cambria" w:hAnsi="Cambria" w:eastAsia="宋体" w:cs="Times New Roman"/>
      <w:b/>
      <w:bCs/>
      <w:kern w:val="32"/>
      <w:sz w:val="32"/>
      <w:szCs w:val="32"/>
    </w:rPr>
  </w:style>
  <w:style w:type="character" w:customStyle="1" w:styleId="21">
    <w:name w:val="标题 2 Char"/>
    <w:basedOn w:val="16"/>
    <w:link w:val="3"/>
    <w:semiHidden/>
    <w:qFormat/>
    <w:locked/>
    <w:uiPriority w:val="99"/>
    <w:rPr>
      <w:rFonts w:ascii="Cambria" w:hAnsi="Cambria" w:eastAsia="宋体" w:cs="Times New Roman"/>
      <w:b/>
      <w:bCs/>
      <w:i/>
      <w:iCs/>
      <w:sz w:val="28"/>
      <w:szCs w:val="28"/>
    </w:rPr>
  </w:style>
  <w:style w:type="character" w:customStyle="1" w:styleId="22">
    <w:name w:val="标题 3 Char"/>
    <w:basedOn w:val="16"/>
    <w:link w:val="4"/>
    <w:semiHidden/>
    <w:qFormat/>
    <w:locked/>
    <w:uiPriority w:val="99"/>
    <w:rPr>
      <w:rFonts w:ascii="Cambria" w:hAnsi="Cambria" w:eastAsia="宋体" w:cs="Times New Roman"/>
      <w:b/>
      <w:bCs/>
      <w:sz w:val="26"/>
      <w:szCs w:val="26"/>
    </w:rPr>
  </w:style>
  <w:style w:type="character" w:customStyle="1" w:styleId="23">
    <w:name w:val="标题 4 Char"/>
    <w:basedOn w:val="16"/>
    <w:link w:val="5"/>
    <w:semiHidden/>
    <w:qFormat/>
    <w:locked/>
    <w:uiPriority w:val="99"/>
    <w:rPr>
      <w:rFonts w:cs="Times New Roman"/>
      <w:b/>
      <w:bCs/>
      <w:sz w:val="28"/>
      <w:szCs w:val="28"/>
    </w:rPr>
  </w:style>
  <w:style w:type="character" w:customStyle="1" w:styleId="24">
    <w:name w:val="标题 5 Char"/>
    <w:basedOn w:val="16"/>
    <w:link w:val="6"/>
    <w:semiHidden/>
    <w:qFormat/>
    <w:locked/>
    <w:uiPriority w:val="99"/>
    <w:rPr>
      <w:rFonts w:cs="Times New Roman"/>
      <w:b/>
      <w:bCs/>
      <w:i/>
      <w:iCs/>
      <w:sz w:val="26"/>
      <w:szCs w:val="26"/>
    </w:rPr>
  </w:style>
  <w:style w:type="character" w:customStyle="1" w:styleId="25">
    <w:name w:val="标题 6 Char"/>
    <w:basedOn w:val="16"/>
    <w:link w:val="7"/>
    <w:semiHidden/>
    <w:qFormat/>
    <w:locked/>
    <w:uiPriority w:val="99"/>
    <w:rPr>
      <w:rFonts w:cs="Times New Roman"/>
      <w:b/>
      <w:bCs/>
    </w:rPr>
  </w:style>
  <w:style w:type="character" w:customStyle="1" w:styleId="26">
    <w:name w:val="标题 7 Char"/>
    <w:basedOn w:val="16"/>
    <w:link w:val="8"/>
    <w:semiHidden/>
    <w:qFormat/>
    <w:locked/>
    <w:uiPriority w:val="99"/>
    <w:rPr>
      <w:rFonts w:cs="Times New Roman"/>
      <w:sz w:val="24"/>
      <w:szCs w:val="24"/>
    </w:rPr>
  </w:style>
  <w:style w:type="character" w:customStyle="1" w:styleId="27">
    <w:name w:val="标题 8 Char"/>
    <w:basedOn w:val="16"/>
    <w:link w:val="9"/>
    <w:semiHidden/>
    <w:qFormat/>
    <w:locked/>
    <w:uiPriority w:val="99"/>
    <w:rPr>
      <w:rFonts w:cs="Times New Roman"/>
      <w:i/>
      <w:iCs/>
      <w:sz w:val="24"/>
      <w:szCs w:val="24"/>
    </w:rPr>
  </w:style>
  <w:style w:type="character" w:customStyle="1" w:styleId="28">
    <w:name w:val="标题 9 Char"/>
    <w:basedOn w:val="16"/>
    <w:link w:val="10"/>
    <w:semiHidden/>
    <w:qFormat/>
    <w:locked/>
    <w:uiPriority w:val="99"/>
    <w:rPr>
      <w:rFonts w:ascii="Cambria" w:hAnsi="Cambria" w:eastAsia="宋体" w:cs="Times New Roman"/>
    </w:rPr>
  </w:style>
  <w:style w:type="character" w:customStyle="1" w:styleId="29">
    <w:name w:val="标题 Char"/>
    <w:basedOn w:val="16"/>
    <w:link w:val="15"/>
    <w:qFormat/>
    <w:locked/>
    <w:uiPriority w:val="99"/>
    <w:rPr>
      <w:rFonts w:ascii="Cambria" w:hAnsi="Cambria" w:eastAsia="宋体" w:cs="Times New Roman"/>
      <w:b/>
      <w:bCs/>
      <w:kern w:val="28"/>
      <w:sz w:val="32"/>
      <w:szCs w:val="32"/>
    </w:rPr>
  </w:style>
  <w:style w:type="character" w:customStyle="1" w:styleId="30">
    <w:name w:val="副标题 Char"/>
    <w:basedOn w:val="16"/>
    <w:link w:val="14"/>
    <w:qFormat/>
    <w:locked/>
    <w:uiPriority w:val="99"/>
    <w:rPr>
      <w:rFonts w:ascii="Cambria" w:hAnsi="Cambria" w:eastAsia="宋体" w:cs="Times New Roman"/>
      <w:sz w:val="24"/>
      <w:szCs w:val="24"/>
    </w:rPr>
  </w:style>
  <w:style w:type="paragraph" w:customStyle="1" w:styleId="31">
    <w:name w:val="No Spacing"/>
    <w:basedOn w:val="1"/>
    <w:qFormat/>
    <w:uiPriority w:val="99"/>
    <w:pPr>
      <w:widowControl/>
      <w:jc w:val="left"/>
    </w:pPr>
    <w:rPr>
      <w:rFonts w:ascii="Calibri" w:hAnsi="Calibri"/>
      <w:kern w:val="0"/>
      <w:sz w:val="24"/>
      <w:szCs w:val="32"/>
      <w:lang w:eastAsia="en-US"/>
    </w:rPr>
  </w:style>
  <w:style w:type="paragraph" w:customStyle="1" w:styleId="32">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3">
    <w:name w:val="Quote"/>
    <w:basedOn w:val="1"/>
    <w:next w:val="1"/>
    <w:link w:val="34"/>
    <w:qFormat/>
    <w:uiPriority w:val="99"/>
    <w:pPr>
      <w:widowControl/>
      <w:jc w:val="left"/>
    </w:pPr>
    <w:rPr>
      <w:rFonts w:ascii="Calibri" w:hAnsi="Calibri"/>
      <w:i/>
      <w:kern w:val="0"/>
      <w:sz w:val="24"/>
    </w:rPr>
  </w:style>
  <w:style w:type="character" w:customStyle="1" w:styleId="34">
    <w:name w:val="引用 Char"/>
    <w:basedOn w:val="16"/>
    <w:link w:val="33"/>
    <w:qFormat/>
    <w:locked/>
    <w:uiPriority w:val="99"/>
    <w:rPr>
      <w:rFonts w:cs="Times New Roman"/>
      <w:i/>
      <w:sz w:val="24"/>
      <w:szCs w:val="24"/>
    </w:rPr>
  </w:style>
  <w:style w:type="paragraph" w:customStyle="1"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明显引用 Char"/>
    <w:basedOn w:val="16"/>
    <w:link w:val="35"/>
    <w:qFormat/>
    <w:locked/>
    <w:uiPriority w:val="99"/>
    <w:rPr>
      <w:rFonts w:cs="Times New Roman"/>
      <w:b/>
      <w:i/>
      <w:sz w:val="24"/>
    </w:rPr>
  </w:style>
  <w:style w:type="character" w:customStyle="1" w:styleId="37">
    <w:name w:val="不明显强调1"/>
    <w:basedOn w:val="16"/>
    <w:qFormat/>
    <w:uiPriority w:val="99"/>
    <w:rPr>
      <w:i/>
      <w:color w:val="5A5A5A"/>
    </w:rPr>
  </w:style>
  <w:style w:type="character" w:customStyle="1" w:styleId="38">
    <w:name w:val="明显强调1"/>
    <w:basedOn w:val="16"/>
    <w:qFormat/>
    <w:uiPriority w:val="99"/>
    <w:rPr>
      <w:rFonts w:cs="Times New Roman"/>
      <w:b/>
      <w:i/>
      <w:sz w:val="24"/>
      <w:szCs w:val="24"/>
      <w:u w:val="single"/>
    </w:rPr>
  </w:style>
  <w:style w:type="character" w:customStyle="1" w:styleId="39">
    <w:name w:val="不明显参考1"/>
    <w:basedOn w:val="16"/>
    <w:qFormat/>
    <w:uiPriority w:val="99"/>
    <w:rPr>
      <w:rFonts w:cs="Times New Roman"/>
      <w:sz w:val="24"/>
      <w:szCs w:val="24"/>
      <w:u w:val="single"/>
    </w:rPr>
  </w:style>
  <w:style w:type="character" w:customStyle="1" w:styleId="40">
    <w:name w:val="明显参考1"/>
    <w:basedOn w:val="16"/>
    <w:qFormat/>
    <w:uiPriority w:val="99"/>
    <w:rPr>
      <w:rFonts w:cs="Times New Roman"/>
      <w:b/>
      <w:sz w:val="24"/>
      <w:u w:val="single"/>
    </w:rPr>
  </w:style>
  <w:style w:type="character" w:customStyle="1" w:styleId="41">
    <w:name w:val="书籍标题1"/>
    <w:basedOn w:val="16"/>
    <w:qFormat/>
    <w:uiPriority w:val="99"/>
    <w:rPr>
      <w:rFonts w:ascii="Cambria" w:hAnsi="Cambria" w:eastAsia="宋体" w:cs="Times New Roman"/>
      <w:b/>
      <w:i/>
      <w:sz w:val="24"/>
      <w:szCs w:val="24"/>
    </w:rPr>
  </w:style>
  <w:style w:type="paragraph" w:customStyle="1" w:styleId="42">
    <w:name w:val="TOC 标题1"/>
    <w:basedOn w:val="2"/>
    <w:next w:val="1"/>
    <w:qFormat/>
    <w:uiPriority w:val="99"/>
    <w:pPr>
      <w:outlineLvl w:val="9"/>
    </w:pPr>
    <w:rPr>
      <w:lang w:eastAsia="en-US"/>
    </w:rPr>
  </w:style>
  <w:style w:type="character" w:customStyle="1" w:styleId="43">
    <w:name w:val="页眉 Char"/>
    <w:basedOn w:val="16"/>
    <w:link w:val="13"/>
    <w:qFormat/>
    <w:locked/>
    <w:uiPriority w:val="99"/>
    <w:rPr>
      <w:rFonts w:ascii="Calibri" w:hAnsi="Calibri" w:eastAsia="宋体" w:cs="Times New Roman"/>
      <w:kern w:val="2"/>
      <w:sz w:val="18"/>
      <w:szCs w:val="18"/>
    </w:rPr>
  </w:style>
  <w:style w:type="character" w:customStyle="1" w:styleId="44">
    <w:name w:val="页脚 Char"/>
    <w:basedOn w:val="16"/>
    <w:link w:val="12"/>
    <w:qFormat/>
    <w:locked/>
    <w:uiPriority w:val="99"/>
    <w:rPr>
      <w:rFonts w:ascii="Calibri" w:hAnsi="Calibri" w:eastAsia="宋体" w:cs="Times New Roman"/>
      <w:kern w:val="2"/>
      <w:sz w:val="18"/>
      <w:szCs w:val="18"/>
    </w:rPr>
  </w:style>
  <w:style w:type="character" w:customStyle="1" w:styleId="45">
    <w:name w:val="批注框文本 Char"/>
    <w:basedOn w:val="16"/>
    <w:link w:val="11"/>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Tuan</Company>
  <Pages>6</Pages>
  <Words>310</Words>
  <Characters>1768</Characters>
  <Lines>14</Lines>
  <Paragraphs>4</Paragraphs>
  <ScaleCrop>false</ScaleCrop>
  <LinksUpToDate>false</LinksUpToDate>
  <CharactersWithSpaces>2074</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2019-02-19T08:19:00Z</dcterms:created>
  <dc:creator>赵 恺（预算处）</dc:creator>
  <cp:lastModifiedBy>腊晓林</cp:lastModifiedBy>
  <cp:lastPrinted>2019-01-14T02:47:00Z</cp:lastPrinted>
  <dcterms:modified xsi:type="dcterms:W3CDTF">2019-08-26T05:58:31Z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