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 xml:space="preserve">  2018   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6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项目名称：下达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年自治区工作经费项目</w:t>
      </w:r>
    </w:p>
    <w:p>
      <w:pPr>
        <w:spacing w:line="56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实施单位（公章）：喀什地区农业机械管理局</w:t>
      </w:r>
    </w:p>
    <w:p>
      <w:pPr>
        <w:spacing w:line="56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>
      <w:pPr>
        <w:spacing w:line="56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项目负责人（签章）：司马义·吐尔逊</w:t>
      </w:r>
    </w:p>
    <w:p>
      <w:pPr>
        <w:spacing w:line="56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  2018  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 xml:space="preserve">  12   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 xml:space="preserve">   20  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6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6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喀什地区农机局贯彻执行国家、自治区及地区有关发展农业机械的方针、政策、法律、法规，根据自治区农机局制定的法规和规章，拟定我区贯彻落实的具体实施意见，并协调组织实施。负责农机化服务体系建设，指导、检查农机服务组织的服务，生产经营等综合服务活动，开展农机社会化服务。负责地区农机产品维修，农机作业质量的监督管理，指导农机维修网络建设，对农机装备结构的优化调整进行宏观调控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负责指导全地区机械化农业生产、设施农业工程、农机装备结构，对农业机械的技术状态进行监督检查；负责农机化服务体系建设，指导各级农机服务组织的生产经营活动和农机服务产业化工作，指导农机使用者协会的工作；组织重大的机械化生产项目的实施；负责农业机械用油的需求预测，指导农机供油网络建设；负责农用救灾用油的申报、分配、管理；负责农机行业的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生产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和劳动保护工作；负责农机维修网点的等级考核和维修人员的技能鉴定工作，农机维修市场、维修质量的监督管理投诉工作。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目前地区农机局内设办公室、生产管理科、科教科、市场监管科等</w:t>
      </w:r>
      <w:r>
        <w:rPr>
          <w:rFonts w:ascii="仿宋" w:hAnsi="仿宋" w:eastAsia="仿宋"/>
          <w:bCs/>
          <w:spacing w:val="-4"/>
          <w:sz w:val="32"/>
          <w:szCs w:val="32"/>
        </w:rPr>
        <w:t>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个职能科室，总编制数</w:t>
      </w:r>
      <w:r>
        <w:rPr>
          <w:rFonts w:ascii="仿宋" w:hAnsi="仿宋" w:eastAsia="仿宋"/>
          <w:bCs/>
          <w:spacing w:val="-4"/>
          <w:sz w:val="32"/>
          <w:szCs w:val="32"/>
        </w:rPr>
        <w:t>25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，实有干部职工</w:t>
      </w:r>
      <w:r>
        <w:rPr>
          <w:rFonts w:ascii="仿宋" w:hAnsi="仿宋" w:eastAsia="仿宋"/>
          <w:bCs/>
          <w:spacing w:val="-4"/>
          <w:sz w:val="32"/>
          <w:szCs w:val="32"/>
        </w:rPr>
        <w:t>14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名。离休干部</w:t>
      </w:r>
      <w:r>
        <w:rPr>
          <w:rFonts w:ascii="仿宋" w:hAnsi="仿宋" w:eastAsia="仿宋"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人，退休干部</w:t>
      </w:r>
      <w:r>
        <w:rPr>
          <w:rFonts w:ascii="仿宋" w:hAnsi="仿宋" w:eastAsia="仿宋"/>
          <w:bCs/>
          <w:spacing w:val="-4"/>
          <w:sz w:val="32"/>
          <w:szCs w:val="32"/>
        </w:rPr>
        <w:t>34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人。</w:t>
      </w:r>
    </w:p>
    <w:p>
      <w:pPr>
        <w:spacing w:line="56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仿宋" w:hAnsi="仿宋" w:eastAsia="仿宋"/>
          <w:spacing w:val="-4"/>
          <w:sz w:val="32"/>
          <w:szCs w:val="32"/>
        </w:rPr>
      </w:pPr>
      <w:r>
        <w:rPr>
          <w:rStyle w:val="18"/>
          <w:rFonts w:ascii="楷体" w:hAnsi="楷体" w:eastAsia="楷体"/>
          <w:spacing w:val="-4"/>
          <w:sz w:val="32"/>
          <w:szCs w:val="32"/>
        </w:rPr>
        <w:tab/>
      </w:r>
      <w:r>
        <w:rPr>
          <w:rFonts w:ascii="仿宋" w:hAnsi="仿宋" w:eastAsia="仿宋"/>
          <w:b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、项目预期目标及阶段性目标</w:t>
      </w:r>
    </w:p>
    <w:p>
      <w:pPr>
        <w:spacing w:line="560" w:lineRule="exact"/>
        <w:ind w:firstLine="624" w:firstLineChars="200"/>
        <w:jc w:val="left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覆盖深度贫困村数量</w:t>
      </w:r>
      <w:r>
        <w:rPr>
          <w:rFonts w:ascii="仿宋" w:hAnsi="仿宋" w:eastAsia="仿宋"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个，参加队员人数</w:t>
      </w:r>
      <w:r>
        <w:rPr>
          <w:rFonts w:ascii="仿宋" w:hAnsi="仿宋" w:eastAsia="仿宋"/>
          <w:bCs/>
          <w:spacing w:val="-4"/>
          <w:sz w:val="32"/>
          <w:szCs w:val="32"/>
        </w:rPr>
        <w:t>10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人，完成工作任务率≥</w:t>
      </w:r>
      <w:r>
        <w:rPr>
          <w:rFonts w:ascii="仿宋" w:hAnsi="仿宋" w:eastAsia="仿宋"/>
          <w:bCs/>
          <w:spacing w:val="-4"/>
          <w:sz w:val="32"/>
          <w:szCs w:val="32"/>
        </w:rPr>
        <w:t>95%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，工作经费支出时间</w:t>
      </w:r>
      <w:r>
        <w:rPr>
          <w:rFonts w:ascii="仿宋" w:hAnsi="仿宋" w:eastAsia="仿宋"/>
          <w:bCs/>
          <w:spacing w:val="-4"/>
          <w:sz w:val="32"/>
          <w:szCs w:val="32"/>
        </w:rPr>
        <w:t>2018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年</w:t>
      </w:r>
      <w:r>
        <w:rPr>
          <w:rFonts w:ascii="仿宋" w:hAnsi="仿宋" w:eastAsia="仿宋"/>
          <w:bCs/>
          <w:spacing w:val="-4"/>
          <w:sz w:val="32"/>
          <w:szCs w:val="32"/>
        </w:rPr>
        <w:t>12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月</w:t>
      </w:r>
      <w:r>
        <w:rPr>
          <w:rFonts w:ascii="仿宋" w:hAnsi="仿宋" w:eastAsia="仿宋"/>
          <w:bCs/>
          <w:spacing w:val="-4"/>
          <w:sz w:val="32"/>
          <w:szCs w:val="32"/>
        </w:rPr>
        <w:t>31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日前，开展工作及村委会所需办公费用≤</w:t>
      </w:r>
      <w:r>
        <w:rPr>
          <w:rFonts w:ascii="仿宋" w:hAnsi="仿宋" w:eastAsia="仿宋"/>
          <w:bCs/>
          <w:spacing w:val="-4"/>
          <w:sz w:val="32"/>
          <w:szCs w:val="32"/>
        </w:rPr>
        <w:t>1.5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万元，开展工作费用≤</w:t>
      </w:r>
      <w:r>
        <w:rPr>
          <w:rFonts w:ascii="仿宋" w:hAnsi="仿宋" w:eastAsia="仿宋"/>
          <w:bCs/>
          <w:spacing w:val="-4"/>
          <w:sz w:val="32"/>
          <w:szCs w:val="32"/>
        </w:rPr>
        <w:t>2.5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万元，群众对惠民政策知晓率≥</w:t>
      </w:r>
      <w:r>
        <w:rPr>
          <w:rFonts w:ascii="仿宋" w:hAnsi="仿宋" w:eastAsia="仿宋"/>
          <w:bCs/>
          <w:spacing w:val="-4"/>
          <w:sz w:val="32"/>
          <w:szCs w:val="32"/>
        </w:rPr>
        <w:t>90%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，困难群众感激党的惠民政策持续影响，村委会满意度≥</w:t>
      </w:r>
      <w:r>
        <w:rPr>
          <w:rFonts w:ascii="仿宋" w:hAnsi="仿宋" w:eastAsia="仿宋"/>
          <w:bCs/>
          <w:spacing w:val="-4"/>
          <w:sz w:val="32"/>
          <w:szCs w:val="32"/>
        </w:rPr>
        <w:t>90%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spacing w:line="560" w:lineRule="exact"/>
        <w:ind w:firstLine="627" w:firstLineChars="200"/>
        <w:jc w:val="left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本项目性质为新增项目。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本项目主要用于喀什地区农机局两个开展工作经费。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深度贫困村工作经费项目预算安排总额为</w:t>
      </w:r>
      <w:r>
        <w:rPr>
          <w:rFonts w:ascii="仿宋" w:hAnsi="仿宋" w:eastAsia="仿宋"/>
          <w:bCs/>
          <w:spacing w:val="-4"/>
          <w:sz w:val="32"/>
          <w:szCs w:val="32"/>
        </w:rPr>
        <w:t>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万元，其中财政资金</w:t>
      </w:r>
      <w:r>
        <w:rPr>
          <w:rFonts w:ascii="仿宋" w:hAnsi="仿宋" w:eastAsia="仿宋"/>
          <w:bCs/>
          <w:spacing w:val="-4"/>
          <w:sz w:val="32"/>
          <w:szCs w:val="32"/>
        </w:rPr>
        <w:t>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万元，自筹资金</w:t>
      </w:r>
      <w:r>
        <w:rPr>
          <w:rFonts w:ascii="仿宋" w:hAnsi="仿宋" w:eastAsia="仿宋"/>
          <w:bCs/>
          <w:spacing w:val="-4"/>
          <w:sz w:val="32"/>
          <w:szCs w:val="32"/>
        </w:rPr>
        <w:t>0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</w:t>
      </w:r>
      <w:r>
        <w:rPr>
          <w:rFonts w:ascii="仿宋" w:hAnsi="仿宋" w:eastAsia="仿宋"/>
          <w:bCs/>
          <w:spacing w:val="-4"/>
          <w:sz w:val="32"/>
          <w:szCs w:val="32"/>
        </w:rPr>
        <w:t>2018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年实际收到预算资金</w:t>
      </w:r>
      <w:r>
        <w:rPr>
          <w:rFonts w:ascii="仿宋" w:hAnsi="仿宋" w:eastAsia="仿宋"/>
          <w:bCs/>
          <w:spacing w:val="-4"/>
          <w:sz w:val="32"/>
          <w:szCs w:val="32"/>
        </w:rPr>
        <w:t>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万元。</w:t>
      </w:r>
    </w:p>
    <w:p>
      <w:pPr>
        <w:spacing w:line="56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758" w:firstLineChars="243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本项目实际支付资金</w:t>
      </w:r>
      <w:r>
        <w:rPr>
          <w:rFonts w:ascii="仿宋" w:hAnsi="仿宋" w:eastAsia="仿宋"/>
          <w:bCs/>
          <w:spacing w:val="-4"/>
          <w:sz w:val="32"/>
          <w:szCs w:val="32"/>
        </w:rPr>
        <w:t>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万元，预算执行率</w:t>
      </w:r>
      <w:r>
        <w:rPr>
          <w:rFonts w:ascii="仿宋" w:hAnsi="仿宋" w:eastAsia="仿宋"/>
          <w:bCs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。项目资金主要用于开展工作及村委会所需办公费用</w:t>
      </w:r>
      <w:r>
        <w:rPr>
          <w:rFonts w:ascii="仿宋" w:hAnsi="仿宋" w:eastAsia="仿宋"/>
          <w:bCs/>
          <w:spacing w:val="-4"/>
          <w:sz w:val="32"/>
          <w:szCs w:val="32"/>
        </w:rPr>
        <w:t>1.1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万元，开展工作费用</w:t>
      </w:r>
      <w:r>
        <w:rPr>
          <w:rFonts w:ascii="仿宋" w:hAnsi="仿宋" w:eastAsia="仿宋"/>
          <w:bCs/>
          <w:spacing w:val="-4"/>
          <w:sz w:val="32"/>
          <w:szCs w:val="32"/>
        </w:rPr>
        <w:t>2.9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万元。</w:t>
      </w:r>
    </w:p>
    <w:p>
      <w:pPr>
        <w:spacing w:line="56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支出符合喀什地区农机局相关财务管理制度，包括会计人员集中核算工作管理制度、财务收支审批制度、财务稽核制度、会计主管岗位职责等制度规定，资金的拨付有完整的审批程序和手续，不存在截留、挤占、挪用等情况。严格按照财务规定报销开支费用。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该项目属于经常性零星项目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,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没有达到招投标限额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,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本项目不存在检查验收程序。</w:t>
      </w:r>
    </w:p>
    <w:p>
      <w:pPr>
        <w:spacing w:line="56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项目的实施遵守相关法律法规和业务管理规定，项目资料齐全并及时归档。并不定期对项目进度情况进行督导检查，对检查过程中发现的问题及时督促整改，确保了项目按时保质完成。</w:t>
      </w:r>
    </w:p>
    <w:p>
      <w:pPr>
        <w:spacing w:line="56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ascii="黑体" w:hAnsi="黑体" w:eastAsia="黑体"/>
        </w:rPr>
        <w:t xml:space="preserve"> 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ascii="仿宋" w:hAnsi="仿宋" w:eastAsia="仿宋"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个，二级指标</w:t>
      </w:r>
      <w:r>
        <w:rPr>
          <w:rFonts w:ascii="仿宋" w:hAnsi="仿宋" w:eastAsia="仿宋"/>
          <w:bCs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个，三级指标</w:t>
      </w:r>
      <w:r>
        <w:rPr>
          <w:rFonts w:ascii="仿宋" w:hAnsi="仿宋" w:eastAsia="仿宋"/>
          <w:bCs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个，其中已完成三级指标</w:t>
      </w:r>
      <w:r>
        <w:rPr>
          <w:rFonts w:ascii="仿宋" w:hAnsi="仿宋" w:eastAsia="仿宋"/>
          <w:bCs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个，指标完成率为</w:t>
      </w:r>
      <w:r>
        <w:rPr>
          <w:rFonts w:ascii="仿宋" w:hAnsi="仿宋" w:eastAsia="仿宋"/>
          <w:bCs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经济性：本项目本着厉行节约的原则，做到严格按照预算执行，做到坚决不超预算。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效率性：本项目在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2018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年度内执行完毕。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效益性：通过本项目的实施</w:t>
      </w:r>
      <w:r>
        <w:rPr>
          <w:rStyle w:val="18"/>
          <w:rFonts w:hint="eastAsia" w:ascii="仿宋" w:hAnsi="仿宋" w:eastAsia="仿宋"/>
          <w:b w:val="0"/>
          <w:spacing w:val="-4"/>
        </w:rPr>
        <w:t>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群众对惠民政策知晓率达到</w:t>
      </w:r>
      <w:r>
        <w:rPr>
          <w:rFonts w:ascii="仿宋" w:hAnsi="仿宋" w:eastAsia="仿宋"/>
          <w:bCs/>
          <w:spacing w:val="-4"/>
          <w:sz w:val="32"/>
          <w:szCs w:val="32"/>
        </w:rPr>
        <w:t>95%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，困难群众感激党的惠民政策持续提升。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ascii="仿宋" w:hAnsi="仿宋" w:eastAsia="仿宋"/>
          <w:spacing w:val="-4"/>
          <w:sz w:val="32"/>
          <w:szCs w:val="32"/>
        </w:rPr>
        <w:t>2018</w:t>
      </w:r>
      <w:r>
        <w:rPr>
          <w:rFonts w:hint="eastAsia" w:ascii="仿宋" w:hAnsi="仿宋" w:eastAsia="仿宋"/>
          <w:spacing w:val="-4"/>
          <w:sz w:val="32"/>
          <w:szCs w:val="32"/>
        </w:rPr>
        <w:t>年本项目绩效目标全部达成，不存在未完成原因分析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本项目为一次性项目，不存在后续管理工作。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、主要经验及做法</w:t>
      </w:r>
    </w:p>
    <w:p>
      <w:pPr>
        <w:spacing w:line="560" w:lineRule="exact"/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一是细化预算编制工作。加强局内部机构的预算管理意识，严格按照预算编制的相关制度和要求进行预算编制。</w:t>
      </w:r>
    </w:p>
    <w:p>
      <w:pPr>
        <w:spacing w:line="560" w:lineRule="exact"/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二是优先保障固定性的、相对刚性的费用支出项目，尽量压缩变动性的、有控制空间的费用项目，进一步提高预算编制的科学性、严谨性和可控性。</w:t>
      </w:r>
    </w:p>
    <w:p>
      <w:pPr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三是紧扣时间节点，抓好项目进度。加强项目进度的跟踪，开展项目绩效评价，确保项目绩效目标的完成。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无其他说明内容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项目</w:t>
      </w:r>
      <w:r>
        <w:rPr>
          <w:rFonts w:hint="eastAsia" w:ascii="仿宋" w:hAnsi="仿宋" w:eastAsia="仿宋"/>
          <w:spacing w:val="-4"/>
          <w:sz w:val="32"/>
          <w:szCs w:val="32"/>
        </w:rPr>
        <w:t>资金的使用效率和效果，项目管理过程规范，完成了预期绩效目标。同时，通过开展自我评价来总结经验和教训，为今后的工作开展提供参考建议。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《自治区财政项目支出绩效自评表》</w:t>
      </w:r>
    </w:p>
    <w:sectPr>
      <w:footerReference r:id="rId3" w:type="default"/>
      <w:footerReference r:id="rId4" w:type="even"/>
      <w:pgSz w:w="11906" w:h="16838"/>
      <w:pgMar w:top="1440" w:right="1558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center" w:y="1"/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separate"/>
    </w:r>
    <w:r>
      <w:rPr>
        <w:rStyle w:val="19"/>
      </w:rPr>
      <w:t>1</w:t>
    </w:r>
    <w:r>
      <w:rPr>
        <w:rStyle w:val="19"/>
      </w:rPr>
      <w:fldChar w:fldCharType="end"/>
    </w:r>
  </w:p>
  <w:p>
    <w:pPr>
      <w:pStyle w:val="12"/>
      <w:jc w:val="center"/>
    </w:pPr>
  </w:p>
  <w:p>
    <w:pPr>
      <w:pStyle w:val="1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center" w:y="1"/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end"/>
    </w:r>
  </w:p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265BB"/>
    <w:multiLevelType w:val="singleLevel"/>
    <w:tmpl w:val="7B4265BB"/>
    <w:lvl w:ilvl="0" w:tentative="0">
      <w:start w:val="2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56465"/>
    <w:rsid w:val="000B2E1B"/>
    <w:rsid w:val="00121AE4"/>
    <w:rsid w:val="00146AAD"/>
    <w:rsid w:val="001B3A40"/>
    <w:rsid w:val="001C02DB"/>
    <w:rsid w:val="0036514A"/>
    <w:rsid w:val="00374C5C"/>
    <w:rsid w:val="003834CD"/>
    <w:rsid w:val="003D0901"/>
    <w:rsid w:val="00404DF0"/>
    <w:rsid w:val="00413605"/>
    <w:rsid w:val="004149F2"/>
    <w:rsid w:val="004207DC"/>
    <w:rsid w:val="004366A8"/>
    <w:rsid w:val="00440D11"/>
    <w:rsid w:val="00443959"/>
    <w:rsid w:val="004C7465"/>
    <w:rsid w:val="004D425C"/>
    <w:rsid w:val="00502BA7"/>
    <w:rsid w:val="005162F1"/>
    <w:rsid w:val="00535153"/>
    <w:rsid w:val="00554F82"/>
    <w:rsid w:val="0056390D"/>
    <w:rsid w:val="005719B0"/>
    <w:rsid w:val="005A6A23"/>
    <w:rsid w:val="005A7947"/>
    <w:rsid w:val="005D10D6"/>
    <w:rsid w:val="005D295A"/>
    <w:rsid w:val="005E58A0"/>
    <w:rsid w:val="00607FEF"/>
    <w:rsid w:val="00692462"/>
    <w:rsid w:val="006D63D7"/>
    <w:rsid w:val="007628BA"/>
    <w:rsid w:val="007655AD"/>
    <w:rsid w:val="007942FA"/>
    <w:rsid w:val="007F04C7"/>
    <w:rsid w:val="00834493"/>
    <w:rsid w:val="00855E3A"/>
    <w:rsid w:val="008B27D1"/>
    <w:rsid w:val="00922CB9"/>
    <w:rsid w:val="009A05CE"/>
    <w:rsid w:val="009C0251"/>
    <w:rsid w:val="009E5CD9"/>
    <w:rsid w:val="00A26421"/>
    <w:rsid w:val="00A4293B"/>
    <w:rsid w:val="00A67D50"/>
    <w:rsid w:val="00A849A4"/>
    <w:rsid w:val="00A8691A"/>
    <w:rsid w:val="00AC1946"/>
    <w:rsid w:val="00B40063"/>
    <w:rsid w:val="00B41F61"/>
    <w:rsid w:val="00B6117B"/>
    <w:rsid w:val="00B85A53"/>
    <w:rsid w:val="00BA46E6"/>
    <w:rsid w:val="00C15FB6"/>
    <w:rsid w:val="00C34146"/>
    <w:rsid w:val="00C56C72"/>
    <w:rsid w:val="00CA6457"/>
    <w:rsid w:val="00CB2D53"/>
    <w:rsid w:val="00CB51F0"/>
    <w:rsid w:val="00CD474A"/>
    <w:rsid w:val="00CD6D39"/>
    <w:rsid w:val="00CE51A4"/>
    <w:rsid w:val="00D17F2E"/>
    <w:rsid w:val="00D26341"/>
    <w:rsid w:val="00D27B29"/>
    <w:rsid w:val="00D30354"/>
    <w:rsid w:val="00D946A5"/>
    <w:rsid w:val="00DC7172"/>
    <w:rsid w:val="00DD5E09"/>
    <w:rsid w:val="00DF42A0"/>
    <w:rsid w:val="00E27153"/>
    <w:rsid w:val="00E769FE"/>
    <w:rsid w:val="00EA2CBE"/>
    <w:rsid w:val="00EE0F00"/>
    <w:rsid w:val="00F32FEE"/>
    <w:rsid w:val="00FB10BB"/>
    <w:rsid w:val="1FEA2E23"/>
    <w:rsid w:val="204034D9"/>
    <w:rsid w:val="35C076D0"/>
    <w:rsid w:val="5FCF45B3"/>
    <w:rsid w:val="6A50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0" w:semiHidden="0" w:name="toc 1"/>
    <w:lsdException w:uiPriority="0" w:semiHidden="0" w:name="toc 2"/>
    <w:lsdException w:uiPriority="0" w:semiHidden="0" w:name="toc 3"/>
    <w:lsdException w:uiPriority="0" w:semiHidden="0" w:name="toc 4"/>
    <w:lsdException w:uiPriority="0" w:semiHidden="0" w:name="toc 5"/>
    <w:lsdException w:uiPriority="0" w:semiHidden="0" w:name="toc 6"/>
    <w:lsdException w:uiPriority="0" w:semiHidden="0" w:name="toc 7"/>
    <w:lsdException w:uiPriority="0" w:semiHidden="0" w:name="toc 8"/>
    <w:lsdException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qFormat/>
    <w:uiPriority w:val="99"/>
    <w:rPr>
      <w:rFonts w:cs="Times New Roman"/>
      <w:b/>
      <w:bCs/>
    </w:rPr>
  </w:style>
  <w:style w:type="character" w:styleId="19">
    <w:name w:val="page number"/>
    <w:locked/>
    <w:uiPriority w:val="99"/>
    <w:rPr>
      <w:rFonts w:cs="Times New Roman"/>
    </w:rPr>
  </w:style>
  <w:style w:type="character" w:styleId="20">
    <w:name w:val="Emphasis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标题 1 Char"/>
    <w:link w:val="2"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link w:val="5"/>
    <w:semiHidden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link w:val="6"/>
    <w:semiHidden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link w:val="7"/>
    <w:semiHidden/>
    <w:locked/>
    <w:uiPriority w:val="99"/>
    <w:rPr>
      <w:rFonts w:cs="Times New Roman"/>
      <w:b/>
      <w:bCs/>
    </w:rPr>
  </w:style>
  <w:style w:type="character" w:customStyle="1" w:styleId="27">
    <w:name w:val="标题 7 Char"/>
    <w:link w:val="8"/>
    <w:semiHidden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link w:val="9"/>
    <w:semiHidden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link w:val="10"/>
    <w:semiHidden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link w:val="11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link w:val="12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link w:val="13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link w:val="14"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link w:val="15"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Char"/>
    <w:link w:val="37"/>
    <w:locked/>
    <w:uiPriority w:val="99"/>
    <w:rPr>
      <w:rFonts w:cs="Times New Roman"/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Char"/>
    <w:link w:val="39"/>
    <w:locked/>
    <w:uiPriority w:val="99"/>
    <w:rPr>
      <w:rFonts w:cs="Times New Roman"/>
      <w:b/>
      <w:i/>
      <w:sz w:val="24"/>
    </w:rPr>
  </w:style>
  <w:style w:type="character" w:customStyle="1" w:styleId="41">
    <w:name w:val="Subtle Emphasis1"/>
    <w:uiPriority w:val="99"/>
    <w:rPr>
      <w:i/>
      <w:color w:val="5A5A5A"/>
    </w:rPr>
  </w:style>
  <w:style w:type="character" w:customStyle="1" w:styleId="42">
    <w:name w:val="Intense Emphasis1"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Subtle Reference1"/>
    <w:uiPriority w:val="99"/>
    <w:rPr>
      <w:rFonts w:cs="Times New Roman"/>
      <w:sz w:val="24"/>
      <w:szCs w:val="24"/>
      <w:u w:val="single"/>
    </w:rPr>
  </w:style>
  <w:style w:type="character" w:customStyle="1" w:styleId="44">
    <w:name w:val="Intense Reference1"/>
    <w:uiPriority w:val="99"/>
    <w:rPr>
      <w:rFonts w:cs="Times New Roman"/>
      <w:b/>
      <w:sz w:val="24"/>
      <w:u w:val="single"/>
    </w:rPr>
  </w:style>
  <w:style w:type="character" w:customStyle="1" w:styleId="45">
    <w:name w:val="Book Title1"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Heading1"/>
    <w:basedOn w:val="2"/>
    <w:next w:val="1"/>
    <w:semiHidden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303</Words>
  <Characters>1733</Characters>
  <Lines>14</Lines>
  <Paragraphs>4</Paragraphs>
  <TotalTime>2</TotalTime>
  <ScaleCrop>false</ScaleCrop>
  <LinksUpToDate>false</LinksUpToDate>
  <CharactersWithSpaces>2032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2019-02-19T10:48:00Z</dcterms:created>
  <dc:creator>赵 恺（预算处）</dc:creator>
  <cp:lastModifiedBy>Administrator</cp:lastModifiedBy>
  <cp:lastPrinted>2018-12-31T10:56:00Z</cp:lastPrinted>
  <dcterms:modified xsi:type="dcterms:W3CDTF">2021-05-21T08:54:35Z</dcterms:modified>
  <dc:title>自治区财政项目支出绩效自评报告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