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bookmarkStart w:id="0" w:name="_GoBack"/>
      <w:bookmarkEnd w:id="0"/>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 xml:space="preserve">  2018   </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项目名称：抽调莎车县艾力西湖镇工作经费项目</w:t>
      </w: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实施单位（公章）：喀什地区农业机械管理局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项目负责人（签章）：司马义·吐尔逊</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 xml:space="preserve">   2018  </w:t>
      </w:r>
      <w:r>
        <w:rPr>
          <w:rFonts w:hint="eastAsia" w:hAnsi="宋体" w:eastAsia="仿宋_GB2312" w:cs="宋体"/>
          <w:kern w:val="0"/>
          <w:sz w:val="36"/>
          <w:szCs w:val="36"/>
        </w:rPr>
        <w:t>年</w:t>
      </w:r>
      <w:r>
        <w:rPr>
          <w:rFonts w:hAnsi="宋体" w:eastAsia="仿宋_GB2312" w:cs="宋体"/>
          <w:kern w:val="0"/>
          <w:sz w:val="36"/>
          <w:szCs w:val="36"/>
        </w:rPr>
        <w:t xml:space="preserve">  12   </w:t>
      </w:r>
      <w:r>
        <w:rPr>
          <w:rFonts w:hint="eastAsia" w:hAnsi="宋体" w:eastAsia="仿宋_GB2312" w:cs="宋体"/>
          <w:kern w:val="0"/>
          <w:sz w:val="36"/>
          <w:szCs w:val="36"/>
        </w:rPr>
        <w:t>月</w:t>
      </w:r>
      <w:r>
        <w:rPr>
          <w:rFonts w:hAnsi="宋体" w:eastAsia="仿宋_GB2312" w:cs="宋体"/>
          <w:kern w:val="0"/>
          <w:sz w:val="36"/>
          <w:szCs w:val="36"/>
        </w:rPr>
        <w:t xml:space="preserve">   20  </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喀什地区农机局贯彻执行国家、自治区及地区有关发展农业机械的方针、政策、法律、法规，根据自治区农机局制定的法规和规章，拟定我区贯彻落实的具体实施意见，并协调组织实施。负责农机化服务体系建设，指导、检查农机服务组织的服务，生产经营等综合服务活动，开展农机社会化服务。负责地区农机产品维修，农机作业质量的监督管理，指导农机维修网络建设，对农机装备结构的优化调整进行宏观调控。</w:t>
      </w:r>
    </w:p>
    <w:p>
      <w:pPr>
        <w:adjustRightInd w:val="0"/>
        <w:snapToGrid w:val="0"/>
        <w:spacing w:line="560" w:lineRule="exact"/>
        <w:ind w:firstLine="624" w:firstLineChars="200"/>
        <w:rPr>
          <w:rFonts w:ascii="仿宋" w:hAnsi="仿宋" w:eastAsia="仿宋"/>
          <w:b/>
        </w:rPr>
      </w:pPr>
      <w:r>
        <w:rPr>
          <w:rFonts w:hint="eastAsia" w:ascii="仿宋" w:hAnsi="仿宋" w:eastAsia="仿宋"/>
          <w:bCs/>
          <w:spacing w:val="-4"/>
          <w:sz w:val="32"/>
          <w:szCs w:val="32"/>
        </w:rPr>
        <w:t>负责指导全地区机械化农业生产、设施农业工程、农机装备结构，对农业机械的技术状态进行监督检查；负责农机化服务体系建设，指导各级农机服务组织的生产经营活动和农机服务产业化工作，指导农机使用者协会的工作；组织重大的机械化生产项目的实施；负责农业机械用油的需求预测，指导农机供油网络建设；负责农用救灾用油的申报、分配、管理；负责农机行业的</w:t>
      </w:r>
      <w:r>
        <w:rPr>
          <w:rFonts w:hint="eastAsia" w:ascii="仿宋" w:hAnsi="仿宋" w:eastAsia="仿宋"/>
          <w:bCs/>
          <w:spacing w:val="-4"/>
          <w:sz w:val="32"/>
          <w:szCs w:val="32"/>
          <w:lang w:eastAsia="zh-CN"/>
        </w:rPr>
        <w:t>生产</w:t>
      </w:r>
      <w:r>
        <w:rPr>
          <w:rFonts w:hint="eastAsia" w:ascii="仿宋" w:hAnsi="仿宋" w:eastAsia="仿宋"/>
          <w:bCs/>
          <w:spacing w:val="-4"/>
          <w:sz w:val="32"/>
          <w:szCs w:val="32"/>
        </w:rPr>
        <w:t>和劳动保护工作；负责农机维修网点的等级考核和维修人员的技能鉴定工作，农机维修市场、维修质量的监督管理投诉工作。</w:t>
      </w:r>
    </w:p>
    <w:p>
      <w:pPr>
        <w:adjustRightInd w:val="0"/>
        <w:snapToGrid w:val="0"/>
        <w:spacing w:line="560" w:lineRule="exact"/>
        <w:ind w:firstLine="624" w:firstLineChars="200"/>
        <w:rPr>
          <w:rStyle w:val="18"/>
          <w:rFonts w:ascii="仿宋" w:hAnsi="仿宋" w:eastAsia="仿宋"/>
          <w:b w:val="0"/>
          <w:spacing w:val="-4"/>
          <w:sz w:val="32"/>
          <w:szCs w:val="32"/>
        </w:rPr>
      </w:pPr>
      <w:r>
        <w:rPr>
          <w:rFonts w:hint="eastAsia" w:ascii="仿宋" w:hAnsi="仿宋" w:eastAsia="仿宋"/>
          <w:bCs/>
          <w:spacing w:val="-4"/>
          <w:sz w:val="32"/>
          <w:szCs w:val="32"/>
        </w:rPr>
        <w:t>目前地区农机局内设办公室、生产管理科、科教科、市场监管科等</w:t>
      </w:r>
      <w:r>
        <w:rPr>
          <w:rFonts w:ascii="仿宋" w:hAnsi="仿宋" w:eastAsia="仿宋"/>
          <w:bCs/>
          <w:spacing w:val="-4"/>
          <w:sz w:val="32"/>
          <w:szCs w:val="32"/>
        </w:rPr>
        <w:t>4</w:t>
      </w:r>
      <w:r>
        <w:rPr>
          <w:rFonts w:hint="eastAsia" w:ascii="仿宋" w:hAnsi="仿宋" w:eastAsia="仿宋"/>
          <w:bCs/>
          <w:spacing w:val="-4"/>
          <w:sz w:val="32"/>
          <w:szCs w:val="32"/>
        </w:rPr>
        <w:t>个职能科室，总编制数</w:t>
      </w:r>
      <w:r>
        <w:rPr>
          <w:rFonts w:ascii="仿宋" w:hAnsi="仿宋" w:eastAsia="仿宋"/>
          <w:bCs/>
          <w:spacing w:val="-4"/>
          <w:sz w:val="32"/>
          <w:szCs w:val="32"/>
        </w:rPr>
        <w:t>25</w:t>
      </w:r>
      <w:r>
        <w:rPr>
          <w:rFonts w:hint="eastAsia" w:ascii="仿宋" w:hAnsi="仿宋" w:eastAsia="仿宋"/>
          <w:bCs/>
          <w:spacing w:val="-4"/>
          <w:sz w:val="32"/>
          <w:szCs w:val="32"/>
        </w:rPr>
        <w:t>，实有干部职工</w:t>
      </w:r>
      <w:r>
        <w:rPr>
          <w:rFonts w:ascii="仿宋" w:hAnsi="仿宋" w:eastAsia="仿宋"/>
          <w:bCs/>
          <w:spacing w:val="-4"/>
          <w:sz w:val="32"/>
          <w:szCs w:val="32"/>
        </w:rPr>
        <w:t>14</w:t>
      </w:r>
      <w:r>
        <w:rPr>
          <w:rFonts w:hint="eastAsia" w:ascii="仿宋" w:hAnsi="仿宋" w:eastAsia="仿宋"/>
          <w:bCs/>
          <w:spacing w:val="-4"/>
          <w:sz w:val="32"/>
          <w:szCs w:val="32"/>
        </w:rPr>
        <w:t>名。离休干部</w:t>
      </w:r>
      <w:r>
        <w:rPr>
          <w:rFonts w:ascii="仿宋" w:hAnsi="仿宋" w:eastAsia="仿宋"/>
          <w:bCs/>
          <w:spacing w:val="-4"/>
          <w:sz w:val="32"/>
          <w:szCs w:val="32"/>
        </w:rPr>
        <w:t>2</w:t>
      </w:r>
      <w:r>
        <w:rPr>
          <w:rFonts w:hint="eastAsia" w:ascii="仿宋" w:hAnsi="仿宋" w:eastAsia="仿宋"/>
          <w:bCs/>
          <w:spacing w:val="-4"/>
          <w:sz w:val="32"/>
          <w:szCs w:val="32"/>
        </w:rPr>
        <w:t>人，退休干部</w:t>
      </w:r>
      <w:r>
        <w:rPr>
          <w:rFonts w:ascii="仿宋" w:hAnsi="仿宋" w:eastAsia="仿宋"/>
          <w:bCs/>
          <w:spacing w:val="-4"/>
          <w:sz w:val="32"/>
          <w:szCs w:val="32"/>
        </w:rPr>
        <w:t>34</w:t>
      </w:r>
      <w:r>
        <w:rPr>
          <w:rFonts w:hint="eastAsia" w:ascii="仿宋" w:hAnsi="仿宋" w:eastAsia="仿宋"/>
          <w:bCs/>
          <w:spacing w:val="-4"/>
          <w:sz w:val="32"/>
          <w:szCs w:val="32"/>
        </w:rPr>
        <w:t>人。</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（二）项目预算绩效目标设定情况</w:t>
      </w:r>
    </w:p>
    <w:p>
      <w:pPr>
        <w:adjustRightInd w:val="0"/>
        <w:snapToGrid w:val="0"/>
        <w:spacing w:line="560" w:lineRule="exact"/>
        <w:ind w:firstLine="627" w:firstLineChars="200"/>
        <w:rPr>
          <w:rStyle w:val="18"/>
          <w:rFonts w:ascii="仿宋" w:hAnsi="仿宋" w:eastAsia="仿宋"/>
          <w:spacing w:val="-4"/>
          <w:sz w:val="32"/>
          <w:szCs w:val="32"/>
        </w:rPr>
      </w:pPr>
      <w:r>
        <w:rPr>
          <w:rStyle w:val="18"/>
          <w:rFonts w:ascii="楷体" w:hAnsi="楷体" w:eastAsia="楷体"/>
          <w:spacing w:val="-4"/>
          <w:sz w:val="32"/>
          <w:szCs w:val="32"/>
        </w:rPr>
        <w:tab/>
      </w:r>
      <w:r>
        <w:rPr>
          <w:rFonts w:ascii="仿宋" w:hAnsi="仿宋" w:eastAsia="仿宋"/>
          <w:b/>
          <w:bCs/>
          <w:spacing w:val="-4"/>
          <w:sz w:val="32"/>
          <w:szCs w:val="32"/>
        </w:rPr>
        <w:t>1</w:t>
      </w:r>
      <w:r>
        <w:rPr>
          <w:rFonts w:hint="eastAsia" w:ascii="仿宋" w:hAnsi="仿宋" w:eastAsia="仿宋"/>
          <w:b/>
          <w:bCs/>
          <w:spacing w:val="-4"/>
          <w:sz w:val="32"/>
          <w:szCs w:val="32"/>
        </w:rPr>
        <w:t>、项目预期目标及阶段性目标</w:t>
      </w:r>
    </w:p>
    <w:p>
      <w:pPr>
        <w:tabs>
          <w:tab w:val="left" w:pos="1275"/>
        </w:tabs>
        <w:spacing w:line="540" w:lineRule="exact"/>
        <w:ind w:firstLine="564" w:firstLineChars="181"/>
        <w:rPr>
          <w:rFonts w:ascii="仿宋" w:hAnsi="仿宋" w:eastAsia="仿宋"/>
          <w:bCs/>
          <w:spacing w:val="-4"/>
          <w:sz w:val="32"/>
          <w:szCs w:val="32"/>
        </w:rPr>
      </w:pPr>
      <w:r>
        <w:rPr>
          <w:rFonts w:hint="eastAsia" w:ascii="仿宋" w:hAnsi="仿宋" w:eastAsia="仿宋"/>
          <w:bCs/>
          <w:spacing w:val="-4"/>
          <w:sz w:val="32"/>
          <w:szCs w:val="32"/>
        </w:rPr>
        <w:t>抽调至莎车县艾力西湖镇工作人数</w:t>
      </w:r>
      <w:r>
        <w:rPr>
          <w:rFonts w:ascii="仿宋" w:hAnsi="仿宋" w:eastAsia="仿宋"/>
          <w:bCs/>
          <w:spacing w:val="-4"/>
          <w:sz w:val="32"/>
          <w:szCs w:val="32"/>
        </w:rPr>
        <w:t>1</w:t>
      </w:r>
      <w:r>
        <w:rPr>
          <w:rFonts w:hint="eastAsia" w:ascii="仿宋" w:hAnsi="仿宋" w:eastAsia="仿宋"/>
          <w:bCs/>
          <w:spacing w:val="-4"/>
          <w:sz w:val="32"/>
          <w:szCs w:val="32"/>
        </w:rPr>
        <w:t>人，慰问贫困户人数≥</w:t>
      </w:r>
      <w:r>
        <w:rPr>
          <w:rFonts w:ascii="仿宋" w:hAnsi="仿宋" w:eastAsia="仿宋"/>
          <w:bCs/>
          <w:spacing w:val="-4"/>
          <w:sz w:val="32"/>
          <w:szCs w:val="32"/>
        </w:rPr>
        <w:t>200</w:t>
      </w:r>
      <w:r>
        <w:rPr>
          <w:rFonts w:hint="eastAsia" w:ascii="仿宋" w:hAnsi="仿宋" w:eastAsia="仿宋"/>
          <w:bCs/>
          <w:spacing w:val="-4"/>
          <w:sz w:val="32"/>
          <w:szCs w:val="32"/>
        </w:rPr>
        <w:t>人，抽调至莎车县艾力西湖镇各项工作任务完成率≥</w:t>
      </w:r>
      <w:r>
        <w:rPr>
          <w:rFonts w:ascii="仿宋" w:hAnsi="仿宋" w:eastAsia="仿宋"/>
          <w:bCs/>
          <w:spacing w:val="-4"/>
          <w:sz w:val="32"/>
          <w:szCs w:val="32"/>
        </w:rPr>
        <w:t>95%</w:t>
      </w:r>
      <w:r>
        <w:rPr>
          <w:rFonts w:hint="eastAsia" w:ascii="仿宋" w:hAnsi="仿宋" w:eastAsia="仿宋"/>
          <w:bCs/>
          <w:spacing w:val="-4"/>
          <w:sz w:val="32"/>
          <w:szCs w:val="32"/>
        </w:rPr>
        <w:t>，贫困户覆盖率≥</w:t>
      </w:r>
      <w:r>
        <w:rPr>
          <w:rFonts w:ascii="仿宋" w:hAnsi="仿宋" w:eastAsia="仿宋"/>
          <w:bCs/>
          <w:spacing w:val="-4"/>
          <w:sz w:val="32"/>
          <w:szCs w:val="32"/>
        </w:rPr>
        <w:t>90%</w:t>
      </w:r>
      <w:r>
        <w:rPr>
          <w:rFonts w:hint="eastAsia" w:ascii="仿宋" w:hAnsi="仿宋" w:eastAsia="仿宋"/>
          <w:bCs/>
          <w:spacing w:val="-4"/>
          <w:sz w:val="32"/>
          <w:szCs w:val="32"/>
        </w:rPr>
        <w:t>，工作经费支出时间</w:t>
      </w:r>
      <w:r>
        <w:rPr>
          <w:rFonts w:ascii="仿宋" w:hAnsi="仿宋" w:eastAsia="仿宋"/>
          <w:bCs/>
          <w:spacing w:val="-4"/>
          <w:sz w:val="32"/>
          <w:szCs w:val="32"/>
        </w:rPr>
        <w:t>2018</w:t>
      </w:r>
      <w:r>
        <w:rPr>
          <w:rFonts w:hint="eastAsia" w:ascii="仿宋" w:hAnsi="仿宋" w:eastAsia="仿宋"/>
          <w:bCs/>
          <w:spacing w:val="-4"/>
          <w:sz w:val="32"/>
          <w:szCs w:val="32"/>
        </w:rPr>
        <w:t>年</w:t>
      </w:r>
      <w:r>
        <w:rPr>
          <w:rFonts w:ascii="仿宋" w:hAnsi="仿宋" w:eastAsia="仿宋"/>
          <w:bCs/>
          <w:spacing w:val="-4"/>
          <w:sz w:val="32"/>
          <w:szCs w:val="32"/>
        </w:rPr>
        <w:t>12</w:t>
      </w:r>
      <w:r>
        <w:rPr>
          <w:rFonts w:hint="eastAsia" w:ascii="仿宋" w:hAnsi="仿宋" w:eastAsia="仿宋"/>
          <w:bCs/>
          <w:spacing w:val="-4"/>
          <w:sz w:val="32"/>
          <w:szCs w:val="32"/>
        </w:rPr>
        <w:t>月</w:t>
      </w:r>
      <w:r>
        <w:rPr>
          <w:rFonts w:ascii="仿宋" w:hAnsi="仿宋" w:eastAsia="仿宋"/>
          <w:bCs/>
          <w:spacing w:val="-4"/>
          <w:sz w:val="32"/>
          <w:szCs w:val="32"/>
        </w:rPr>
        <w:t>31</w:t>
      </w:r>
      <w:r>
        <w:rPr>
          <w:rFonts w:hint="eastAsia" w:ascii="仿宋" w:hAnsi="仿宋" w:eastAsia="仿宋"/>
          <w:bCs/>
          <w:spacing w:val="-4"/>
          <w:sz w:val="32"/>
          <w:szCs w:val="32"/>
        </w:rPr>
        <w:t>日前，开展工作购买三新活动用品费用≤</w:t>
      </w:r>
      <w:r>
        <w:rPr>
          <w:rFonts w:ascii="仿宋" w:hAnsi="仿宋" w:eastAsia="仿宋"/>
          <w:bCs/>
          <w:spacing w:val="-4"/>
          <w:sz w:val="32"/>
          <w:szCs w:val="32"/>
        </w:rPr>
        <w:t>1</w:t>
      </w:r>
      <w:r>
        <w:rPr>
          <w:rFonts w:hint="eastAsia" w:ascii="仿宋" w:hAnsi="仿宋" w:eastAsia="仿宋"/>
          <w:bCs/>
          <w:spacing w:val="-4"/>
          <w:sz w:val="32"/>
          <w:szCs w:val="32"/>
        </w:rPr>
        <w:t>万元，群众对惠民政策知晓率≥</w:t>
      </w:r>
      <w:r>
        <w:rPr>
          <w:rFonts w:ascii="仿宋" w:hAnsi="仿宋" w:eastAsia="仿宋"/>
          <w:bCs/>
          <w:spacing w:val="-4"/>
          <w:sz w:val="32"/>
          <w:szCs w:val="32"/>
        </w:rPr>
        <w:t>90%</w:t>
      </w:r>
      <w:r>
        <w:rPr>
          <w:rFonts w:hint="eastAsia" w:ascii="仿宋" w:hAnsi="仿宋" w:eastAsia="仿宋"/>
          <w:bCs/>
          <w:spacing w:val="-4"/>
          <w:sz w:val="32"/>
          <w:szCs w:val="32"/>
        </w:rPr>
        <w:t>，困难群众感激党的惠民政策持续影响，服务困难群众满意度≥</w:t>
      </w:r>
      <w:r>
        <w:rPr>
          <w:rFonts w:ascii="仿宋" w:hAnsi="仿宋" w:eastAsia="仿宋"/>
          <w:bCs/>
          <w:spacing w:val="-4"/>
          <w:sz w:val="32"/>
          <w:szCs w:val="32"/>
        </w:rPr>
        <w:t>90%</w:t>
      </w:r>
      <w:r>
        <w:rPr>
          <w:rFonts w:hint="eastAsia" w:ascii="仿宋" w:hAnsi="仿宋" w:eastAsia="仿宋"/>
          <w:bCs/>
          <w:spacing w:val="-4"/>
          <w:sz w:val="32"/>
          <w:szCs w:val="32"/>
        </w:rPr>
        <w:t>。</w:t>
      </w:r>
    </w:p>
    <w:p>
      <w:pPr>
        <w:spacing w:line="700" w:lineRule="exact"/>
        <w:ind w:firstLine="627" w:firstLineChars="200"/>
        <w:jc w:val="left"/>
        <w:rPr>
          <w:rFonts w:ascii="仿宋" w:hAnsi="仿宋" w:eastAsia="仿宋"/>
          <w:b/>
          <w:bCs/>
          <w:spacing w:val="-4"/>
          <w:sz w:val="32"/>
          <w:szCs w:val="32"/>
        </w:rPr>
      </w:pPr>
      <w:r>
        <w:rPr>
          <w:rFonts w:ascii="仿宋" w:hAnsi="仿宋" w:eastAsia="仿宋"/>
          <w:b/>
          <w:bCs/>
          <w:spacing w:val="-4"/>
          <w:sz w:val="32"/>
          <w:szCs w:val="32"/>
        </w:rPr>
        <w:t>2</w:t>
      </w:r>
      <w:r>
        <w:rPr>
          <w:rFonts w:hint="eastAsia" w:ascii="仿宋" w:hAnsi="仿宋" w:eastAsia="仿宋"/>
          <w:b/>
          <w:bCs/>
          <w:spacing w:val="-4"/>
          <w:sz w:val="32"/>
          <w:szCs w:val="32"/>
        </w:rPr>
        <w:t>、项目基本性质</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本项目性质为新增项目。</w:t>
      </w:r>
    </w:p>
    <w:p>
      <w:pPr>
        <w:adjustRightInd w:val="0"/>
        <w:snapToGrid w:val="0"/>
        <w:spacing w:line="560" w:lineRule="exact"/>
        <w:ind w:firstLine="627" w:firstLineChars="200"/>
        <w:rPr>
          <w:rFonts w:ascii="仿宋" w:hAnsi="仿宋" w:eastAsia="仿宋"/>
          <w:b/>
          <w:bCs/>
          <w:spacing w:val="-4"/>
          <w:sz w:val="32"/>
          <w:szCs w:val="32"/>
        </w:rPr>
      </w:pPr>
      <w:r>
        <w:rPr>
          <w:rFonts w:ascii="仿宋" w:hAnsi="仿宋" w:eastAsia="仿宋"/>
          <w:b/>
          <w:bCs/>
          <w:spacing w:val="-4"/>
          <w:sz w:val="32"/>
          <w:szCs w:val="32"/>
        </w:rPr>
        <w:t>3</w:t>
      </w:r>
      <w:r>
        <w:rPr>
          <w:rFonts w:hint="eastAsia" w:ascii="仿宋" w:hAnsi="仿宋" w:eastAsia="仿宋"/>
          <w:b/>
          <w:bCs/>
          <w:spacing w:val="-4"/>
          <w:sz w:val="32"/>
          <w:szCs w:val="32"/>
        </w:rPr>
        <w:t>、项目用途及范围</w:t>
      </w:r>
    </w:p>
    <w:p>
      <w:pPr>
        <w:adjustRightInd w:val="0"/>
        <w:snapToGrid w:val="0"/>
        <w:spacing w:line="560" w:lineRule="exact"/>
        <w:ind w:firstLine="624" w:firstLineChars="200"/>
        <w:rPr>
          <w:rStyle w:val="18"/>
          <w:rFonts w:ascii="仿宋" w:hAnsi="仿宋" w:eastAsia="仿宋"/>
          <w:b w:val="0"/>
          <w:spacing w:val="-4"/>
          <w:sz w:val="32"/>
          <w:szCs w:val="32"/>
        </w:rPr>
      </w:pPr>
      <w:r>
        <w:rPr>
          <w:rFonts w:hint="eastAsia" w:ascii="仿宋" w:hAnsi="仿宋" w:eastAsia="仿宋"/>
          <w:bCs/>
          <w:spacing w:val="-4"/>
          <w:sz w:val="32"/>
          <w:szCs w:val="32"/>
        </w:rPr>
        <w:t>本项目主要用于喀什地区农机局抽调至莎车县艾力西湖开展工作经费。</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抽调莎车县艾力西湖镇工作经费项目预算安排总额为</w:t>
      </w:r>
      <w:r>
        <w:rPr>
          <w:rFonts w:ascii="仿宋" w:hAnsi="仿宋" w:eastAsia="仿宋"/>
          <w:bCs/>
          <w:spacing w:val="-4"/>
          <w:sz w:val="32"/>
          <w:szCs w:val="32"/>
        </w:rPr>
        <w:t>1</w:t>
      </w:r>
      <w:r>
        <w:rPr>
          <w:rFonts w:hint="eastAsia" w:ascii="仿宋" w:hAnsi="仿宋" w:eastAsia="仿宋"/>
          <w:bCs/>
          <w:spacing w:val="-4"/>
          <w:sz w:val="32"/>
          <w:szCs w:val="32"/>
        </w:rPr>
        <w:t>万元，其中财政资金</w:t>
      </w:r>
      <w:r>
        <w:rPr>
          <w:rFonts w:ascii="仿宋" w:hAnsi="仿宋" w:eastAsia="仿宋"/>
          <w:bCs/>
          <w:spacing w:val="-4"/>
          <w:sz w:val="32"/>
          <w:szCs w:val="32"/>
        </w:rPr>
        <w:t>1</w:t>
      </w:r>
      <w:r>
        <w:rPr>
          <w:rFonts w:hint="eastAsia" w:ascii="仿宋" w:hAnsi="仿宋" w:eastAsia="仿宋"/>
          <w:bCs/>
          <w:spacing w:val="-4"/>
          <w:sz w:val="32"/>
          <w:szCs w:val="32"/>
        </w:rPr>
        <w:t>万元，自筹资金</w:t>
      </w:r>
      <w:r>
        <w:rPr>
          <w:rFonts w:ascii="仿宋" w:hAnsi="仿宋" w:eastAsia="仿宋"/>
          <w:bCs/>
          <w:spacing w:val="-4"/>
          <w:sz w:val="32"/>
          <w:szCs w:val="32"/>
        </w:rPr>
        <w:t>0</w:t>
      </w:r>
      <w:r>
        <w:rPr>
          <w:rFonts w:hint="eastAsia" w:ascii="仿宋" w:hAnsi="仿宋" w:eastAsia="仿宋"/>
          <w:bCs/>
          <w:spacing w:val="-4"/>
          <w:sz w:val="32"/>
          <w:szCs w:val="32"/>
        </w:rPr>
        <w:t>万元，</w:t>
      </w:r>
      <w:r>
        <w:rPr>
          <w:rFonts w:ascii="仿宋" w:hAnsi="仿宋" w:eastAsia="仿宋"/>
          <w:bCs/>
          <w:spacing w:val="-4"/>
          <w:sz w:val="32"/>
          <w:szCs w:val="32"/>
        </w:rPr>
        <w:t>2018</w:t>
      </w:r>
      <w:r>
        <w:rPr>
          <w:rFonts w:hint="eastAsia" w:ascii="仿宋" w:hAnsi="仿宋" w:eastAsia="仿宋"/>
          <w:bCs/>
          <w:spacing w:val="-4"/>
          <w:sz w:val="32"/>
          <w:szCs w:val="32"/>
        </w:rPr>
        <w:t>年实际收到预算资金</w:t>
      </w:r>
      <w:r>
        <w:rPr>
          <w:rFonts w:ascii="仿宋" w:hAnsi="仿宋" w:eastAsia="仿宋"/>
          <w:bCs/>
          <w:spacing w:val="-4"/>
          <w:sz w:val="32"/>
          <w:szCs w:val="32"/>
        </w:rPr>
        <w:t>1</w:t>
      </w:r>
      <w:r>
        <w:rPr>
          <w:rFonts w:hint="eastAsia" w:ascii="仿宋" w:hAnsi="仿宋" w:eastAsia="仿宋"/>
          <w:bCs/>
          <w:spacing w:val="-4"/>
          <w:sz w:val="32"/>
          <w:szCs w:val="32"/>
        </w:rPr>
        <w:t>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spacing w:line="540" w:lineRule="exact"/>
        <w:ind w:firstLine="758" w:firstLineChars="243"/>
        <w:rPr>
          <w:rStyle w:val="18"/>
          <w:rFonts w:ascii="宋体" w:cs="方正仿宋简体"/>
          <w:b w:val="0"/>
          <w:spacing w:val="-4"/>
          <w:sz w:val="32"/>
          <w:szCs w:val="32"/>
        </w:rPr>
      </w:pPr>
      <w:r>
        <w:rPr>
          <w:rFonts w:hint="eastAsia" w:ascii="仿宋" w:hAnsi="仿宋" w:eastAsia="仿宋"/>
          <w:bCs/>
          <w:spacing w:val="-4"/>
          <w:sz w:val="32"/>
          <w:szCs w:val="32"/>
        </w:rPr>
        <w:t>本项目实际支付资金</w:t>
      </w:r>
      <w:r>
        <w:rPr>
          <w:rFonts w:ascii="仿宋" w:hAnsi="仿宋" w:eastAsia="仿宋"/>
          <w:bCs/>
          <w:spacing w:val="-4"/>
          <w:sz w:val="32"/>
          <w:szCs w:val="32"/>
        </w:rPr>
        <w:t>1</w:t>
      </w:r>
      <w:r>
        <w:rPr>
          <w:rFonts w:hint="eastAsia" w:ascii="仿宋" w:hAnsi="仿宋" w:eastAsia="仿宋"/>
          <w:bCs/>
          <w:spacing w:val="-4"/>
          <w:sz w:val="32"/>
          <w:szCs w:val="32"/>
        </w:rPr>
        <w:t>万元，预算执行率</w:t>
      </w:r>
      <w:r>
        <w:rPr>
          <w:rFonts w:ascii="仿宋" w:hAnsi="仿宋" w:eastAsia="仿宋"/>
          <w:bCs/>
          <w:spacing w:val="-4"/>
          <w:sz w:val="32"/>
          <w:szCs w:val="32"/>
        </w:rPr>
        <w:t>100%</w:t>
      </w:r>
      <w:r>
        <w:rPr>
          <w:rFonts w:hint="eastAsia" w:ascii="仿宋" w:hAnsi="仿宋" w:eastAsia="仿宋"/>
          <w:bCs/>
          <w:spacing w:val="-4"/>
          <w:sz w:val="32"/>
          <w:szCs w:val="32"/>
        </w:rPr>
        <w:t>。项目资金主要用于支付开展工作购买三新活动用品费用</w:t>
      </w:r>
      <w:r>
        <w:rPr>
          <w:rFonts w:ascii="仿宋" w:hAnsi="仿宋" w:eastAsia="仿宋"/>
          <w:bCs/>
          <w:spacing w:val="-4"/>
          <w:sz w:val="32"/>
          <w:szCs w:val="32"/>
        </w:rPr>
        <w:t>1</w:t>
      </w:r>
      <w:r>
        <w:rPr>
          <w:rFonts w:hint="eastAsia" w:ascii="仿宋" w:hAnsi="仿宋" w:eastAsia="仿宋"/>
          <w:bCs/>
          <w:spacing w:val="-4"/>
          <w:sz w:val="32"/>
          <w:szCs w:val="32"/>
        </w:rPr>
        <w:t>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支出符合喀什地区农机局相关财务管理制度，包括会计人员集中核算工作管理制度、财务收支审批制度、财务稽核制度、会计主管岗位职责等制度规定，资金的拨付有完整的审批程序和手续，不存在截留、挤占、挪用等情况。严格按照财务规定报销开支费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adjustRightInd w:val="0"/>
        <w:snapToGrid w:val="0"/>
        <w:spacing w:line="56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该项目属于经常性零星项目</w:t>
      </w:r>
      <w:r>
        <w:rPr>
          <w:rStyle w:val="18"/>
          <w:rFonts w:ascii="仿宋" w:hAnsi="仿宋" w:eastAsia="仿宋"/>
          <w:b w:val="0"/>
          <w:spacing w:val="-4"/>
          <w:sz w:val="32"/>
          <w:szCs w:val="32"/>
        </w:rPr>
        <w:t>,</w:t>
      </w:r>
      <w:r>
        <w:rPr>
          <w:rStyle w:val="18"/>
          <w:rFonts w:hint="eastAsia" w:ascii="仿宋" w:hAnsi="仿宋" w:eastAsia="仿宋"/>
          <w:b w:val="0"/>
          <w:spacing w:val="-4"/>
          <w:sz w:val="32"/>
          <w:szCs w:val="32"/>
        </w:rPr>
        <w:t>没有达到招投标限额</w:t>
      </w:r>
      <w:r>
        <w:rPr>
          <w:rStyle w:val="18"/>
          <w:rFonts w:ascii="仿宋" w:hAnsi="仿宋" w:eastAsia="仿宋"/>
          <w:b w:val="0"/>
          <w:spacing w:val="-4"/>
          <w:sz w:val="32"/>
          <w:szCs w:val="32"/>
        </w:rPr>
        <w:t>,</w:t>
      </w:r>
      <w:r>
        <w:rPr>
          <w:rStyle w:val="18"/>
          <w:rFonts w:hint="eastAsia" w:ascii="仿宋" w:hAnsi="仿宋" w:eastAsia="仿宋"/>
          <w:b w:val="0"/>
          <w:spacing w:val="-4"/>
          <w:sz w:val="32"/>
          <w:szCs w:val="32"/>
        </w:rPr>
        <w:t>由本单位自行组织实施。实施过程均按照本单位制定的管理制度执行。</w:t>
      </w:r>
    </w:p>
    <w:p>
      <w:pPr>
        <w:adjustRightInd w:val="0"/>
        <w:snapToGrid w:val="0"/>
        <w:spacing w:line="56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本项目不存在调整情况。</w:t>
      </w:r>
    </w:p>
    <w:p>
      <w:pPr>
        <w:adjustRightInd w:val="0"/>
        <w:snapToGrid w:val="0"/>
        <w:spacing w:line="56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本项目不存在检查验收程序。</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adjustRightInd w:val="0"/>
        <w:snapToGrid w:val="0"/>
        <w:spacing w:line="560" w:lineRule="exact"/>
        <w:ind w:firstLine="624" w:firstLineChars="200"/>
        <w:rPr>
          <w:rStyle w:val="18"/>
          <w:rFonts w:ascii="仿宋" w:hAnsi="仿宋" w:eastAsia="仿宋"/>
          <w:b w:val="0"/>
          <w:spacing w:val="-4"/>
        </w:rPr>
      </w:pPr>
      <w:r>
        <w:rPr>
          <w:rFonts w:hint="eastAsia" w:ascii="仿宋" w:hAnsi="仿宋" w:eastAsia="仿宋"/>
          <w:bCs/>
          <w:spacing w:val="-4"/>
          <w:sz w:val="32"/>
          <w:szCs w:val="32"/>
        </w:rPr>
        <w:t>项目的实施遵守相关法律法规和业务管理规定，项目资料齐全并及时归档。并不定期对项目进度情况进行督导检查，对检查过程中发现的问题及时督促整改，确保了项目按时保质完成。</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本项目共设置一级指标</w:t>
      </w:r>
      <w:r>
        <w:rPr>
          <w:rFonts w:ascii="仿宋" w:hAnsi="仿宋" w:eastAsia="仿宋"/>
          <w:bCs/>
          <w:spacing w:val="-4"/>
          <w:sz w:val="32"/>
          <w:szCs w:val="32"/>
        </w:rPr>
        <w:t>3</w:t>
      </w:r>
      <w:r>
        <w:rPr>
          <w:rFonts w:hint="eastAsia" w:ascii="仿宋" w:hAnsi="仿宋" w:eastAsia="仿宋"/>
          <w:bCs/>
          <w:spacing w:val="-4"/>
          <w:sz w:val="32"/>
          <w:szCs w:val="32"/>
        </w:rPr>
        <w:t>个，二级指标</w:t>
      </w:r>
      <w:r>
        <w:rPr>
          <w:rFonts w:ascii="仿宋" w:hAnsi="仿宋" w:eastAsia="仿宋"/>
          <w:bCs/>
          <w:spacing w:val="-4"/>
          <w:sz w:val="32"/>
          <w:szCs w:val="32"/>
        </w:rPr>
        <w:t>9</w:t>
      </w:r>
      <w:r>
        <w:rPr>
          <w:rFonts w:hint="eastAsia" w:ascii="仿宋" w:hAnsi="仿宋" w:eastAsia="仿宋"/>
          <w:bCs/>
          <w:spacing w:val="-4"/>
          <w:sz w:val="32"/>
          <w:szCs w:val="32"/>
        </w:rPr>
        <w:t>个，三级指标</w:t>
      </w:r>
      <w:r>
        <w:rPr>
          <w:rFonts w:ascii="仿宋" w:hAnsi="仿宋" w:eastAsia="仿宋"/>
          <w:bCs/>
          <w:spacing w:val="-4"/>
          <w:sz w:val="32"/>
          <w:szCs w:val="32"/>
        </w:rPr>
        <w:t>9</w:t>
      </w:r>
      <w:r>
        <w:rPr>
          <w:rFonts w:hint="eastAsia" w:ascii="仿宋" w:hAnsi="仿宋" w:eastAsia="仿宋"/>
          <w:bCs/>
          <w:spacing w:val="-4"/>
          <w:sz w:val="32"/>
          <w:szCs w:val="32"/>
        </w:rPr>
        <w:t>个，其中已完成三级指标</w:t>
      </w:r>
      <w:r>
        <w:rPr>
          <w:rFonts w:ascii="仿宋" w:hAnsi="仿宋" w:eastAsia="仿宋"/>
          <w:bCs/>
          <w:spacing w:val="-4"/>
          <w:sz w:val="32"/>
          <w:szCs w:val="32"/>
        </w:rPr>
        <w:t>9</w:t>
      </w:r>
      <w:r>
        <w:rPr>
          <w:rFonts w:hint="eastAsia" w:ascii="仿宋" w:hAnsi="仿宋" w:eastAsia="仿宋"/>
          <w:bCs/>
          <w:spacing w:val="-4"/>
          <w:sz w:val="32"/>
          <w:szCs w:val="32"/>
        </w:rPr>
        <w:t>个，指标完成率为</w:t>
      </w:r>
      <w:r>
        <w:rPr>
          <w:rFonts w:ascii="仿宋" w:hAnsi="仿宋" w:eastAsia="仿宋"/>
          <w:bCs/>
          <w:spacing w:val="-4"/>
          <w:sz w:val="32"/>
          <w:szCs w:val="32"/>
        </w:rPr>
        <w:t>100%</w:t>
      </w:r>
      <w:r>
        <w:rPr>
          <w:rFonts w:hint="eastAsia" w:ascii="仿宋" w:hAnsi="仿宋" w:eastAsia="仿宋"/>
          <w:bCs/>
          <w:spacing w:val="-4"/>
          <w:sz w:val="32"/>
          <w:szCs w:val="32"/>
        </w:rPr>
        <w:t>。</w:t>
      </w:r>
    </w:p>
    <w:p>
      <w:pPr>
        <w:adjustRightInd w:val="0"/>
        <w:snapToGrid w:val="0"/>
        <w:spacing w:line="56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经济性：本项目本着厉行节约的原则，做到严格按照预算执行，做到坚决不超预算。</w:t>
      </w:r>
    </w:p>
    <w:p>
      <w:pPr>
        <w:adjustRightInd w:val="0"/>
        <w:snapToGrid w:val="0"/>
        <w:spacing w:line="56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效率性：本项目在</w:t>
      </w:r>
      <w:r>
        <w:rPr>
          <w:rStyle w:val="18"/>
          <w:rFonts w:ascii="仿宋" w:hAnsi="仿宋" w:eastAsia="仿宋"/>
          <w:b w:val="0"/>
          <w:spacing w:val="-4"/>
          <w:sz w:val="32"/>
          <w:szCs w:val="32"/>
        </w:rPr>
        <w:t>2018</w:t>
      </w:r>
      <w:r>
        <w:rPr>
          <w:rStyle w:val="18"/>
          <w:rFonts w:hint="eastAsia" w:ascii="仿宋" w:hAnsi="仿宋" w:eastAsia="仿宋"/>
          <w:b w:val="0"/>
          <w:spacing w:val="-4"/>
          <w:sz w:val="32"/>
          <w:szCs w:val="32"/>
        </w:rPr>
        <w:t>年度内执行完毕。</w:t>
      </w:r>
    </w:p>
    <w:p>
      <w:pPr>
        <w:adjustRightInd w:val="0"/>
        <w:snapToGrid w:val="0"/>
        <w:spacing w:line="560" w:lineRule="exact"/>
        <w:ind w:firstLine="624" w:firstLineChars="200"/>
        <w:rPr>
          <w:rFonts w:ascii="仿宋" w:hAnsi="仿宋" w:eastAsia="仿宋"/>
          <w:bCs/>
          <w:spacing w:val="-4"/>
          <w:sz w:val="32"/>
          <w:szCs w:val="32"/>
        </w:rPr>
      </w:pPr>
      <w:r>
        <w:rPr>
          <w:rStyle w:val="18"/>
          <w:rFonts w:hint="eastAsia" w:ascii="仿宋" w:hAnsi="仿宋" w:eastAsia="仿宋"/>
          <w:b w:val="0"/>
          <w:spacing w:val="-4"/>
          <w:sz w:val="32"/>
          <w:szCs w:val="32"/>
        </w:rPr>
        <w:t>效益性：通过本项目的实施</w:t>
      </w:r>
      <w:r>
        <w:rPr>
          <w:rStyle w:val="18"/>
          <w:rFonts w:hint="eastAsia" w:ascii="仿宋" w:hAnsi="仿宋" w:eastAsia="仿宋"/>
          <w:b w:val="0"/>
          <w:spacing w:val="-4"/>
        </w:rPr>
        <w:t>，</w:t>
      </w:r>
      <w:r>
        <w:rPr>
          <w:rFonts w:hint="eastAsia" w:ascii="仿宋" w:hAnsi="仿宋" w:eastAsia="仿宋"/>
          <w:bCs/>
          <w:spacing w:val="-4"/>
          <w:sz w:val="32"/>
          <w:szCs w:val="32"/>
        </w:rPr>
        <w:t>群众对惠民政策知晓率达到</w:t>
      </w:r>
      <w:r>
        <w:rPr>
          <w:rFonts w:ascii="仿宋" w:hAnsi="仿宋" w:eastAsia="仿宋"/>
          <w:bCs/>
          <w:spacing w:val="-4"/>
          <w:sz w:val="32"/>
          <w:szCs w:val="32"/>
        </w:rPr>
        <w:t>95%</w:t>
      </w:r>
      <w:r>
        <w:rPr>
          <w:rFonts w:hint="eastAsia" w:ascii="仿宋" w:hAnsi="仿宋" w:eastAsia="仿宋"/>
          <w:bCs/>
          <w:spacing w:val="-4"/>
          <w:sz w:val="32"/>
          <w:szCs w:val="32"/>
        </w:rPr>
        <w:t>，困难群众感激党的惠民政策持续提升。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rPr>
          <w:rFonts w:ascii="仿宋" w:hAnsi="仿宋" w:eastAsia="仿宋"/>
          <w:spacing w:val="-4"/>
          <w:sz w:val="32"/>
          <w:szCs w:val="32"/>
        </w:rPr>
      </w:pPr>
      <w:r>
        <w:rPr>
          <w:rFonts w:ascii="仿宋" w:hAnsi="仿宋" w:eastAsia="仿宋"/>
          <w:spacing w:val="-4"/>
          <w:sz w:val="32"/>
          <w:szCs w:val="32"/>
        </w:rPr>
        <w:t>2018</w:t>
      </w:r>
      <w:r>
        <w:rPr>
          <w:rFonts w:hint="eastAsia" w:ascii="仿宋" w:hAnsi="仿宋" w:eastAsia="仿宋"/>
          <w:spacing w:val="-4"/>
          <w:sz w:val="32"/>
          <w:szCs w:val="32"/>
        </w:rPr>
        <w:t>年本项目绩效目标全部达成，不存在未完成原因分析</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624" w:firstLineChars="200"/>
        <w:outlineLvl w:val="0"/>
        <w:rPr>
          <w:rFonts w:ascii="仿宋" w:hAnsi="仿宋" w:eastAsia="仿宋"/>
          <w:bCs/>
          <w:spacing w:val="-4"/>
          <w:sz w:val="32"/>
          <w:szCs w:val="32"/>
        </w:rPr>
      </w:pPr>
      <w:r>
        <w:rPr>
          <w:rFonts w:hint="eastAsia" w:ascii="仿宋" w:hAnsi="仿宋" w:eastAsia="仿宋"/>
          <w:bCs/>
          <w:spacing w:val="-4"/>
          <w:sz w:val="32"/>
          <w:szCs w:val="32"/>
        </w:rPr>
        <w:t>本项目为一次性项目，不存在后续管理工作。</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4" w:firstLineChars="200"/>
        <w:rPr>
          <w:rFonts w:ascii="仿宋" w:hAnsi="仿宋" w:eastAsia="仿宋"/>
          <w:bCs/>
          <w:spacing w:val="-4"/>
          <w:sz w:val="32"/>
          <w:szCs w:val="32"/>
        </w:rPr>
      </w:pPr>
      <w:r>
        <w:rPr>
          <w:rFonts w:ascii="仿宋" w:hAnsi="仿宋" w:eastAsia="仿宋"/>
          <w:bCs/>
          <w:spacing w:val="-4"/>
          <w:sz w:val="32"/>
          <w:szCs w:val="32"/>
        </w:rPr>
        <w:t>1</w:t>
      </w:r>
      <w:r>
        <w:rPr>
          <w:rFonts w:hint="eastAsia" w:ascii="仿宋" w:hAnsi="仿宋" w:eastAsia="仿宋"/>
          <w:bCs/>
          <w:spacing w:val="-4"/>
          <w:sz w:val="32"/>
          <w:szCs w:val="32"/>
        </w:rPr>
        <w:t>、主要经验及做法</w:t>
      </w:r>
    </w:p>
    <w:p>
      <w:pPr>
        <w:spacing w:line="540" w:lineRule="exact"/>
        <w:ind w:firstLine="624" w:firstLineChars="200"/>
        <w:rPr>
          <w:rFonts w:ascii="仿宋" w:hAnsi="仿宋" w:eastAsia="仿宋" w:cs="仿宋"/>
          <w:spacing w:val="-4"/>
          <w:sz w:val="32"/>
          <w:szCs w:val="32"/>
        </w:rPr>
      </w:pPr>
      <w:r>
        <w:rPr>
          <w:rFonts w:hint="eastAsia" w:ascii="仿宋" w:hAnsi="仿宋" w:eastAsia="仿宋" w:cs="仿宋"/>
          <w:spacing w:val="-4"/>
          <w:sz w:val="32"/>
          <w:szCs w:val="32"/>
        </w:rPr>
        <w:t>一是细化预算编制工作。加强局内部机构的预算管理意识，严格按照预算编制的相关制度和要求进行预算编制。</w:t>
      </w:r>
    </w:p>
    <w:p>
      <w:pPr>
        <w:spacing w:line="540" w:lineRule="exact"/>
        <w:ind w:firstLine="624" w:firstLineChars="200"/>
        <w:rPr>
          <w:rFonts w:ascii="仿宋" w:hAnsi="仿宋" w:eastAsia="仿宋" w:cs="仿宋"/>
          <w:spacing w:val="-4"/>
          <w:sz w:val="32"/>
          <w:szCs w:val="32"/>
        </w:rPr>
      </w:pPr>
      <w:r>
        <w:rPr>
          <w:rFonts w:hint="eastAsia" w:ascii="仿宋" w:hAnsi="仿宋" w:eastAsia="仿宋" w:cs="仿宋"/>
          <w:spacing w:val="-4"/>
          <w:sz w:val="32"/>
          <w:szCs w:val="32"/>
        </w:rPr>
        <w:t>二是优先保障固定性的、相对刚性的费用支出项目，尽量压缩变动性的、有控制空间的费用项目，进一步提高预算编制的科学性、严谨性和可控性。</w:t>
      </w:r>
    </w:p>
    <w:p>
      <w:pPr>
        <w:spacing w:line="540" w:lineRule="exact"/>
        <w:ind w:firstLine="624" w:firstLineChars="200"/>
        <w:rPr>
          <w:rFonts w:ascii="仿宋" w:hAnsi="仿宋" w:eastAsia="仿宋"/>
          <w:bCs/>
          <w:spacing w:val="-4"/>
          <w:sz w:val="32"/>
          <w:szCs w:val="32"/>
        </w:rPr>
      </w:pPr>
      <w:r>
        <w:rPr>
          <w:rFonts w:hint="eastAsia" w:ascii="仿宋" w:hAnsi="仿宋" w:eastAsia="仿宋" w:cs="仿宋"/>
          <w:spacing w:val="-4"/>
          <w:sz w:val="32"/>
          <w:szCs w:val="32"/>
        </w:rPr>
        <w:t>三是紧扣时间节点，抓好项目进度。加强项目进度的跟踪，开展项目绩效评价，确保项目绩效目标的完成。</w:t>
      </w:r>
    </w:p>
    <w:p>
      <w:pPr>
        <w:numPr>
          <w:ilvl w:val="0"/>
          <w:numId w:val="1"/>
        </w:num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存在的问题</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无</w:t>
      </w:r>
    </w:p>
    <w:p>
      <w:pPr>
        <w:numPr>
          <w:ilvl w:val="0"/>
          <w:numId w:val="1"/>
        </w:num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建议</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无其他说明内容</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本次评价通过文件研读、实地调研、数据分析等方式，全面了解</w:t>
      </w:r>
      <w:r>
        <w:rPr>
          <w:rFonts w:hint="eastAsia" w:ascii="仿宋" w:hAnsi="仿宋" w:eastAsia="仿宋"/>
          <w:bCs/>
          <w:spacing w:val="-4"/>
          <w:sz w:val="32"/>
          <w:szCs w:val="32"/>
        </w:rPr>
        <w:t>工作经费项目</w:t>
      </w:r>
      <w:r>
        <w:rPr>
          <w:rFonts w:hint="eastAsia" w:ascii="仿宋" w:hAnsi="仿宋" w:eastAsia="仿宋"/>
          <w:spacing w:val="-4"/>
          <w:sz w:val="32"/>
          <w:szCs w:val="32"/>
        </w:rPr>
        <w:t>资金的使用效率和效果，项目管理过程规范，完成了预期绩效目标。同时，通过开展自我评价来总结经验和教训，为今后的工作开展提供参考建议。</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《自治区财政项目支出绩效自评表》</w:t>
      </w:r>
    </w:p>
    <w:sectPr>
      <w:footerReference r:id="rId3" w:type="default"/>
      <w:footerReference r:id="rId4" w:type="even"/>
      <w:pgSz w:w="11906" w:h="16838"/>
      <w:pgMar w:top="1440" w:right="1558" w:bottom="1440" w:left="1800" w:header="851" w:footer="992"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19"/>
      </w:rPr>
    </w:pPr>
    <w:r>
      <w:rPr>
        <w:rStyle w:val="19"/>
      </w:rPr>
      <w:fldChar w:fldCharType="begin"/>
    </w:r>
    <w:r>
      <w:rPr>
        <w:rStyle w:val="19"/>
      </w:rPr>
      <w:instrText xml:space="preserve">PAGE  </w:instrText>
    </w:r>
    <w:r>
      <w:rPr>
        <w:rStyle w:val="19"/>
      </w:rPr>
      <w:fldChar w:fldCharType="separate"/>
    </w:r>
    <w:r>
      <w:rPr>
        <w:rStyle w:val="19"/>
      </w:rPr>
      <w:t>4</w:t>
    </w:r>
    <w:r>
      <w:rPr>
        <w:rStyle w:val="19"/>
      </w:rPr>
      <w:fldChar w:fldCharType="end"/>
    </w:r>
  </w:p>
  <w:p>
    <w:pPr>
      <w:pStyle w:val="12"/>
      <w:jc w:val="center"/>
    </w:pPr>
  </w:p>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19"/>
      </w:rPr>
    </w:pPr>
    <w:r>
      <w:rPr>
        <w:rStyle w:val="19"/>
      </w:rPr>
      <w:fldChar w:fldCharType="begin"/>
    </w:r>
    <w:r>
      <w:rPr>
        <w:rStyle w:val="19"/>
      </w:rPr>
      <w:instrText xml:space="preserve">PAGE  </w:instrText>
    </w:r>
    <w:r>
      <w:rPr>
        <w:rStyle w:val="19"/>
      </w:rPr>
      <w:fldChar w:fldCharType="end"/>
    </w:r>
  </w:p>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4265BB"/>
    <w:multiLevelType w:val="singleLevel"/>
    <w:tmpl w:val="7B4265BB"/>
    <w:lvl w:ilvl="0" w:tentative="0">
      <w:start w:val="2"/>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56465"/>
    <w:rsid w:val="000B2E1B"/>
    <w:rsid w:val="00121AE4"/>
    <w:rsid w:val="00146AAD"/>
    <w:rsid w:val="001B3A40"/>
    <w:rsid w:val="00274569"/>
    <w:rsid w:val="00292945"/>
    <w:rsid w:val="0036514A"/>
    <w:rsid w:val="003834CD"/>
    <w:rsid w:val="00401342"/>
    <w:rsid w:val="004366A8"/>
    <w:rsid w:val="00502BA7"/>
    <w:rsid w:val="005162F1"/>
    <w:rsid w:val="00535153"/>
    <w:rsid w:val="00554F82"/>
    <w:rsid w:val="0056390D"/>
    <w:rsid w:val="005719B0"/>
    <w:rsid w:val="005A1FDC"/>
    <w:rsid w:val="005D10D6"/>
    <w:rsid w:val="005D6D61"/>
    <w:rsid w:val="005E0000"/>
    <w:rsid w:val="00607FEF"/>
    <w:rsid w:val="006D63D7"/>
    <w:rsid w:val="007628BA"/>
    <w:rsid w:val="007655AD"/>
    <w:rsid w:val="007B4E80"/>
    <w:rsid w:val="00855E3A"/>
    <w:rsid w:val="00862D7F"/>
    <w:rsid w:val="00922CB9"/>
    <w:rsid w:val="009E5CD9"/>
    <w:rsid w:val="00A26421"/>
    <w:rsid w:val="00A4293B"/>
    <w:rsid w:val="00A67D50"/>
    <w:rsid w:val="00A8691A"/>
    <w:rsid w:val="00AC1946"/>
    <w:rsid w:val="00AE7AEA"/>
    <w:rsid w:val="00B40063"/>
    <w:rsid w:val="00B41F61"/>
    <w:rsid w:val="00BA46E6"/>
    <w:rsid w:val="00C50AB9"/>
    <w:rsid w:val="00C56C72"/>
    <w:rsid w:val="00C71240"/>
    <w:rsid w:val="00CA6457"/>
    <w:rsid w:val="00CB2D53"/>
    <w:rsid w:val="00CE51A4"/>
    <w:rsid w:val="00D17F2E"/>
    <w:rsid w:val="00D26341"/>
    <w:rsid w:val="00D30354"/>
    <w:rsid w:val="00DA0888"/>
    <w:rsid w:val="00DC740F"/>
    <w:rsid w:val="00DD5E09"/>
    <w:rsid w:val="00DF42A0"/>
    <w:rsid w:val="00E6140A"/>
    <w:rsid w:val="00E65389"/>
    <w:rsid w:val="00E769FE"/>
    <w:rsid w:val="00EA2CBE"/>
    <w:rsid w:val="00ED3821"/>
    <w:rsid w:val="00F32FEE"/>
    <w:rsid w:val="00FB10BB"/>
    <w:rsid w:val="15383332"/>
    <w:rsid w:val="204034D9"/>
    <w:rsid w:val="327155F8"/>
    <w:rsid w:val="35C076D0"/>
    <w:rsid w:val="3630282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nhideWhenUsed="0" w:uiPriority="99"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7">
    <w:name w:val="Default Paragraph Font"/>
    <w:semiHidden/>
    <w:uiPriority w:val="99"/>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30"/>
    <w:semiHidden/>
    <w:qFormat/>
    <w:uiPriority w:val="99"/>
    <w:rPr>
      <w:sz w:val="18"/>
      <w:szCs w:val="18"/>
    </w:rPr>
  </w:style>
  <w:style w:type="paragraph" w:styleId="12">
    <w:name w:val="footer"/>
    <w:basedOn w:val="1"/>
    <w:link w:val="31"/>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2"/>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kern w:val="0"/>
      <w:sz w:val="24"/>
    </w:rPr>
  </w:style>
  <w:style w:type="paragraph" w:styleId="15">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8">
    <w:name w:val="Strong"/>
    <w:basedOn w:val="17"/>
    <w:qFormat/>
    <w:uiPriority w:val="99"/>
    <w:rPr>
      <w:rFonts w:cs="Times New Roman"/>
      <w:b/>
      <w:bCs/>
    </w:rPr>
  </w:style>
  <w:style w:type="character" w:styleId="19">
    <w:name w:val="page number"/>
    <w:basedOn w:val="17"/>
    <w:locked/>
    <w:uiPriority w:val="99"/>
    <w:rPr>
      <w:rFonts w:cs="Times New Roman"/>
    </w:rPr>
  </w:style>
  <w:style w:type="character" w:styleId="20">
    <w:name w:val="Emphasis"/>
    <w:basedOn w:val="17"/>
    <w:qFormat/>
    <w:uiPriority w:val="99"/>
    <w:rPr>
      <w:rFonts w:ascii="Calibri" w:hAnsi="Calibri" w:cs="Times New Roman"/>
      <w:b/>
      <w:i/>
      <w:iCs/>
    </w:rPr>
  </w:style>
  <w:style w:type="character" w:customStyle="1" w:styleId="21">
    <w:name w:val="Heading 1 Char"/>
    <w:basedOn w:val="17"/>
    <w:link w:val="2"/>
    <w:qFormat/>
    <w:locked/>
    <w:uiPriority w:val="99"/>
    <w:rPr>
      <w:rFonts w:ascii="Cambria" w:hAnsi="Cambria" w:eastAsia="宋体" w:cs="Times New Roman"/>
      <w:b/>
      <w:bCs/>
      <w:kern w:val="32"/>
      <w:sz w:val="32"/>
      <w:szCs w:val="32"/>
    </w:rPr>
  </w:style>
  <w:style w:type="character" w:customStyle="1" w:styleId="22">
    <w:name w:val="Heading 2 Char"/>
    <w:basedOn w:val="17"/>
    <w:link w:val="3"/>
    <w:semiHidden/>
    <w:locked/>
    <w:uiPriority w:val="99"/>
    <w:rPr>
      <w:rFonts w:ascii="Cambria" w:hAnsi="Cambria" w:eastAsia="宋体" w:cs="Times New Roman"/>
      <w:b/>
      <w:bCs/>
      <w:i/>
      <w:iCs/>
      <w:sz w:val="28"/>
      <w:szCs w:val="28"/>
    </w:rPr>
  </w:style>
  <w:style w:type="character" w:customStyle="1" w:styleId="23">
    <w:name w:val="Heading 3 Char"/>
    <w:basedOn w:val="17"/>
    <w:link w:val="4"/>
    <w:semiHidden/>
    <w:qFormat/>
    <w:locked/>
    <w:uiPriority w:val="99"/>
    <w:rPr>
      <w:rFonts w:ascii="Cambria" w:hAnsi="Cambria" w:eastAsia="宋体" w:cs="Times New Roman"/>
      <w:b/>
      <w:bCs/>
      <w:sz w:val="26"/>
      <w:szCs w:val="26"/>
    </w:rPr>
  </w:style>
  <w:style w:type="character" w:customStyle="1" w:styleId="24">
    <w:name w:val="Heading 4 Char"/>
    <w:basedOn w:val="17"/>
    <w:link w:val="5"/>
    <w:semiHidden/>
    <w:locked/>
    <w:uiPriority w:val="99"/>
    <w:rPr>
      <w:rFonts w:cs="Times New Roman"/>
      <w:b/>
      <w:bCs/>
      <w:sz w:val="28"/>
      <w:szCs w:val="28"/>
    </w:rPr>
  </w:style>
  <w:style w:type="character" w:customStyle="1" w:styleId="25">
    <w:name w:val="Heading 5 Char"/>
    <w:basedOn w:val="17"/>
    <w:link w:val="6"/>
    <w:semiHidden/>
    <w:locked/>
    <w:uiPriority w:val="99"/>
    <w:rPr>
      <w:rFonts w:cs="Times New Roman"/>
      <w:b/>
      <w:bCs/>
      <w:i/>
      <w:iCs/>
      <w:sz w:val="26"/>
      <w:szCs w:val="26"/>
    </w:rPr>
  </w:style>
  <w:style w:type="character" w:customStyle="1" w:styleId="26">
    <w:name w:val="Heading 6 Char"/>
    <w:basedOn w:val="17"/>
    <w:link w:val="7"/>
    <w:semiHidden/>
    <w:locked/>
    <w:uiPriority w:val="99"/>
    <w:rPr>
      <w:rFonts w:cs="Times New Roman"/>
      <w:b/>
      <w:bCs/>
    </w:rPr>
  </w:style>
  <w:style w:type="character" w:customStyle="1" w:styleId="27">
    <w:name w:val="Heading 7 Char"/>
    <w:basedOn w:val="17"/>
    <w:link w:val="8"/>
    <w:semiHidden/>
    <w:locked/>
    <w:uiPriority w:val="99"/>
    <w:rPr>
      <w:rFonts w:cs="Times New Roman"/>
      <w:sz w:val="24"/>
      <w:szCs w:val="24"/>
    </w:rPr>
  </w:style>
  <w:style w:type="character" w:customStyle="1" w:styleId="28">
    <w:name w:val="Heading 8 Char"/>
    <w:basedOn w:val="17"/>
    <w:link w:val="9"/>
    <w:semiHidden/>
    <w:locked/>
    <w:uiPriority w:val="99"/>
    <w:rPr>
      <w:rFonts w:cs="Times New Roman"/>
      <w:i/>
      <w:iCs/>
      <w:sz w:val="24"/>
      <w:szCs w:val="24"/>
    </w:rPr>
  </w:style>
  <w:style w:type="character" w:customStyle="1" w:styleId="29">
    <w:name w:val="Heading 9 Char"/>
    <w:basedOn w:val="17"/>
    <w:link w:val="10"/>
    <w:semiHidden/>
    <w:qFormat/>
    <w:locked/>
    <w:uiPriority w:val="99"/>
    <w:rPr>
      <w:rFonts w:ascii="Cambria" w:hAnsi="Cambria" w:eastAsia="宋体" w:cs="Times New Roman"/>
    </w:rPr>
  </w:style>
  <w:style w:type="character" w:customStyle="1" w:styleId="30">
    <w:name w:val="Balloon Text Char"/>
    <w:basedOn w:val="17"/>
    <w:link w:val="11"/>
    <w:semiHidden/>
    <w:qFormat/>
    <w:locked/>
    <w:uiPriority w:val="99"/>
    <w:rPr>
      <w:rFonts w:ascii="Times New Roman" w:hAnsi="Times New Roman" w:eastAsia="宋体" w:cs="Times New Roman"/>
      <w:kern w:val="2"/>
      <w:sz w:val="18"/>
      <w:szCs w:val="18"/>
    </w:rPr>
  </w:style>
  <w:style w:type="character" w:customStyle="1" w:styleId="31">
    <w:name w:val="Footer Char"/>
    <w:basedOn w:val="17"/>
    <w:link w:val="12"/>
    <w:locked/>
    <w:uiPriority w:val="99"/>
    <w:rPr>
      <w:rFonts w:ascii="Calibri" w:hAnsi="Calibri" w:eastAsia="宋体" w:cs="Times New Roman"/>
      <w:kern w:val="2"/>
      <w:sz w:val="18"/>
      <w:szCs w:val="18"/>
    </w:rPr>
  </w:style>
  <w:style w:type="character" w:customStyle="1" w:styleId="32">
    <w:name w:val="Header Char"/>
    <w:basedOn w:val="17"/>
    <w:link w:val="13"/>
    <w:locked/>
    <w:uiPriority w:val="99"/>
    <w:rPr>
      <w:rFonts w:ascii="Calibri" w:hAnsi="Calibri" w:eastAsia="宋体" w:cs="Times New Roman"/>
      <w:kern w:val="2"/>
      <w:sz w:val="18"/>
      <w:szCs w:val="18"/>
    </w:rPr>
  </w:style>
  <w:style w:type="character" w:customStyle="1" w:styleId="33">
    <w:name w:val="Subtitle Char"/>
    <w:basedOn w:val="17"/>
    <w:link w:val="14"/>
    <w:qFormat/>
    <w:locked/>
    <w:uiPriority w:val="99"/>
    <w:rPr>
      <w:rFonts w:ascii="Cambria" w:hAnsi="Cambria" w:eastAsia="宋体" w:cs="Times New Roman"/>
      <w:sz w:val="24"/>
      <w:szCs w:val="24"/>
    </w:rPr>
  </w:style>
  <w:style w:type="character" w:customStyle="1" w:styleId="34">
    <w:name w:val="Title Char"/>
    <w:basedOn w:val="17"/>
    <w:link w:val="15"/>
    <w:locked/>
    <w:uiPriority w:val="99"/>
    <w:rPr>
      <w:rFonts w:ascii="Cambria" w:hAnsi="Cambria" w:eastAsia="宋体" w:cs="Times New Roman"/>
      <w:b/>
      <w:bCs/>
      <w:kern w:val="28"/>
      <w:sz w:val="32"/>
      <w:szCs w:val="32"/>
    </w:rPr>
  </w:style>
  <w:style w:type="paragraph" w:styleId="35">
    <w:name w:val="No Spacing"/>
    <w:basedOn w:val="1"/>
    <w:qFormat/>
    <w:uiPriority w:val="99"/>
    <w:pPr>
      <w:widowControl/>
      <w:jc w:val="left"/>
    </w:pPr>
    <w:rPr>
      <w:rFonts w:ascii="Calibri" w:hAnsi="Calibri"/>
      <w:kern w:val="0"/>
      <w:sz w:val="24"/>
      <w:szCs w:val="32"/>
      <w:lang w:eastAsia="en-US"/>
    </w:rPr>
  </w:style>
  <w:style w:type="paragraph" w:styleId="36">
    <w:name w:val="List Paragraph"/>
    <w:basedOn w:val="1"/>
    <w:qFormat/>
    <w:uiPriority w:val="99"/>
    <w:pPr>
      <w:widowControl/>
      <w:ind w:left="720"/>
      <w:contextualSpacing/>
      <w:jc w:val="left"/>
    </w:pPr>
    <w:rPr>
      <w:rFonts w:ascii="Calibri" w:hAnsi="Calibri"/>
      <w:kern w:val="0"/>
      <w:sz w:val="24"/>
      <w:lang w:eastAsia="en-US"/>
    </w:rPr>
  </w:style>
  <w:style w:type="paragraph" w:styleId="37">
    <w:name w:val="Quote"/>
    <w:basedOn w:val="1"/>
    <w:next w:val="1"/>
    <w:link w:val="38"/>
    <w:qFormat/>
    <w:uiPriority w:val="99"/>
    <w:pPr>
      <w:widowControl/>
      <w:jc w:val="left"/>
    </w:pPr>
    <w:rPr>
      <w:rFonts w:ascii="Calibri" w:hAnsi="Calibri"/>
      <w:i/>
      <w:kern w:val="0"/>
      <w:sz w:val="24"/>
    </w:rPr>
  </w:style>
  <w:style w:type="character" w:customStyle="1" w:styleId="38">
    <w:name w:val="Quote Char"/>
    <w:basedOn w:val="17"/>
    <w:link w:val="37"/>
    <w:locked/>
    <w:uiPriority w:val="99"/>
    <w:rPr>
      <w:rFonts w:cs="Times New Roman"/>
      <w:i/>
      <w:sz w:val="24"/>
      <w:szCs w:val="24"/>
    </w:rPr>
  </w:style>
  <w:style w:type="paragraph" w:styleId="39">
    <w:name w:val="Intense Quote"/>
    <w:basedOn w:val="1"/>
    <w:next w:val="1"/>
    <w:link w:val="40"/>
    <w:qFormat/>
    <w:uiPriority w:val="99"/>
    <w:pPr>
      <w:widowControl/>
      <w:ind w:left="720" w:right="720"/>
      <w:jc w:val="left"/>
    </w:pPr>
    <w:rPr>
      <w:rFonts w:ascii="Calibri" w:hAnsi="Calibri"/>
      <w:b/>
      <w:i/>
      <w:kern w:val="0"/>
      <w:sz w:val="24"/>
      <w:szCs w:val="22"/>
    </w:rPr>
  </w:style>
  <w:style w:type="character" w:customStyle="1" w:styleId="40">
    <w:name w:val="Intense Quote Char"/>
    <w:basedOn w:val="17"/>
    <w:link w:val="39"/>
    <w:locked/>
    <w:uiPriority w:val="99"/>
    <w:rPr>
      <w:rFonts w:cs="Times New Roman"/>
      <w:b/>
      <w:i/>
      <w:sz w:val="24"/>
    </w:rPr>
  </w:style>
  <w:style w:type="character" w:customStyle="1" w:styleId="41">
    <w:name w:val="Subtle Emphasis1"/>
    <w:uiPriority w:val="99"/>
    <w:rPr>
      <w:i/>
      <w:color w:val="5A5A5A"/>
    </w:rPr>
  </w:style>
  <w:style w:type="character" w:customStyle="1" w:styleId="42">
    <w:name w:val="Intense Emphasis1"/>
    <w:basedOn w:val="17"/>
    <w:uiPriority w:val="99"/>
    <w:rPr>
      <w:rFonts w:cs="Times New Roman"/>
      <w:b/>
      <w:i/>
      <w:sz w:val="24"/>
      <w:szCs w:val="24"/>
      <w:u w:val="single"/>
    </w:rPr>
  </w:style>
  <w:style w:type="character" w:customStyle="1" w:styleId="43">
    <w:name w:val="Subtle Reference1"/>
    <w:basedOn w:val="17"/>
    <w:uiPriority w:val="99"/>
    <w:rPr>
      <w:rFonts w:cs="Times New Roman"/>
      <w:sz w:val="24"/>
      <w:szCs w:val="24"/>
      <w:u w:val="single"/>
    </w:rPr>
  </w:style>
  <w:style w:type="character" w:customStyle="1" w:styleId="44">
    <w:name w:val="Intense Reference1"/>
    <w:basedOn w:val="17"/>
    <w:uiPriority w:val="99"/>
    <w:rPr>
      <w:rFonts w:cs="Times New Roman"/>
      <w:b/>
      <w:sz w:val="24"/>
      <w:u w:val="single"/>
    </w:rPr>
  </w:style>
  <w:style w:type="character" w:customStyle="1" w:styleId="45">
    <w:name w:val="Book Title1"/>
    <w:basedOn w:val="17"/>
    <w:uiPriority w:val="99"/>
    <w:rPr>
      <w:rFonts w:ascii="Cambria" w:hAnsi="Cambria" w:eastAsia="宋体" w:cs="Times New Roman"/>
      <w:b/>
      <w:i/>
      <w:sz w:val="24"/>
      <w:szCs w:val="24"/>
    </w:rPr>
  </w:style>
  <w:style w:type="paragraph" w:customStyle="1" w:styleId="46">
    <w:name w:val="TOC Heading1"/>
    <w:basedOn w:val="2"/>
    <w:next w:val="1"/>
    <w:semiHidden/>
    <w:uiPriority w:val="99"/>
    <w:pPr>
      <w:outlineLvl w:val="9"/>
    </w:pPr>
    <w:rPr>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5</Pages>
  <Words>303</Words>
  <Characters>1729</Characters>
  <Lines>0</Lines>
  <Paragraphs>0</Paragraphs>
  <TotalTime>1</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2019-02-19T10:03:00Z</dcterms:created>
  <dc:creator>赵 恺（预算处）</dc:creator>
  <cp:lastModifiedBy>Administrator</cp:lastModifiedBy>
  <cp:lastPrinted>2018-12-31T10:56:00Z</cp:lastPrinted>
  <dcterms:modified xsi:type="dcterms:W3CDTF">2021-05-21T08:53:52Z</dcterms:modified>
  <dc:title>自治区财政项目支出绩效自评报告</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