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2018年度新疆喀什地区农业机械管理局部门决算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喀什地区农机局贯彻执行国家、自治区及地区有关发展农业机械的方针、政策、法律、法规，根据自治区农机局制定的法规和规章，拟定我区贯彻落实的具体实施意见，并协调组织实施。负责农机化服务体系建设，指导、检查农机服务组织的服务，生产经营等综合服务活动，开展农机社会化服务。负责地区农机产品维修，农机作业质量的监督管理，指导农机维修网络建设，对农机装备结构的优化调整进行宏观调控。负责指导全地区机械化农业生产、设施农业工程、农机装备结构，对农业机械的技术状态进行监督检查；负责农机化服务体系建设，指导各级农机服务组织的生产经营活动和农机服务产业化工作，指导农机使用者协会的工作；组织重大的机械化生产项目的实施；负责农业机械用油的需求预测，指导农机供油网络建设；负责农用救灾用油的申报、分配、管理；负责农机行业的</w:t>
      </w:r>
      <w:r>
        <w:rPr>
          <w:rFonts w:hint="eastAsia" w:ascii="仿宋_GB2312" w:eastAsia="仿宋_GB2312"/>
          <w:sz w:val="32"/>
          <w:szCs w:val="32"/>
          <w:lang w:eastAsia="zh-CN"/>
        </w:rPr>
        <w:t>生产</w:t>
      </w:r>
      <w:r>
        <w:rPr>
          <w:rFonts w:hint="eastAsia" w:ascii="仿宋_GB2312" w:eastAsia="仿宋_GB2312"/>
          <w:sz w:val="32"/>
          <w:szCs w:val="32"/>
        </w:rPr>
        <w:t xml:space="preserve">和劳动保护工作；负责农机维修网点的等级考核和维修人员的技能鉴定工作，农机维修市场、维修质量的监督管理投诉工作。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新疆喀什地区农业机械管理局</w:t>
      </w:r>
      <w:r>
        <w:rPr>
          <w:rFonts w:hint="eastAsia" w:ascii="仿宋_GB2312" w:eastAsia="仿宋_GB2312"/>
          <w:sz w:val="32"/>
          <w:szCs w:val="32"/>
        </w:rPr>
        <w:t>部门决算包括：</w:t>
      </w:r>
      <w:r>
        <w:rPr>
          <w:rFonts w:ascii="仿宋_GB2312" w:eastAsia="仿宋_GB2312"/>
          <w:sz w:val="32"/>
          <w:szCs w:val="32"/>
        </w:rPr>
        <w:t>新疆喀什地区农业机械管理局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新疆喀什地区农业机械管理局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bookmarkStart w:id="92" w:name="_GoBack"/>
      <w:bookmarkEnd w:id="92"/>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新疆喀什地区农业机械管理局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699.19</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，与上年相比，增加270.85万元，增长63.23%，增加的主要原因是：</w:t>
      </w:r>
      <w:r>
        <w:rPr>
          <w:rFonts w:hint="eastAsia" w:ascii="仿宋_GB2312" w:eastAsia="仿宋_GB2312"/>
          <w:color w:val="000000" w:themeColor="text1"/>
          <w:sz w:val="32"/>
          <w:szCs w:val="32"/>
        </w:rPr>
        <w:t>财政安排大型工程机械平台建设项目资金233万元；工作经费比上年增加；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684.19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，与上年相比，增加255.85万元，增长59.73%，增加的主要原因是：</w:t>
      </w:r>
      <w:r>
        <w:rPr>
          <w:rFonts w:hint="eastAsia" w:ascii="仿宋_GB2312" w:eastAsia="仿宋_GB2312"/>
          <w:color w:val="000000" w:themeColor="text1"/>
          <w:sz w:val="32"/>
          <w:szCs w:val="32"/>
        </w:rPr>
        <w:t>财政安排大型工程机械平台建设项目资金233万元；工作经费比上年增加；</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15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，与上年相比，增加15万元，增长100%，增加的主要原因是：</w:t>
      </w:r>
      <w:r>
        <w:rPr>
          <w:rFonts w:ascii="仿宋_GB2312" w:eastAsia="仿宋_GB2312"/>
          <w:color w:val="000000" w:themeColor="text1"/>
          <w:sz w:val="32"/>
          <w:szCs w:val="32"/>
        </w:rPr>
        <w:t>比上年增加援疆资金15万元，到年底未支出形成结余。</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699.19</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684.19</w:t>
      </w:r>
      <w:r>
        <w:rPr>
          <w:rFonts w:hint="eastAsia" w:ascii="仿宋_GB2312" w:eastAsia="仿宋_GB2312"/>
          <w:color w:val="000000" w:themeColor="text1"/>
          <w:sz w:val="32"/>
          <w:szCs w:val="32"/>
        </w:rPr>
        <w:t>万元，占</w:t>
      </w:r>
      <w:r>
        <w:rPr>
          <w:rFonts w:hint="eastAsia" w:ascii="仿宋_GB2312" w:eastAsia="仿宋_GB2312"/>
          <w:sz w:val="32"/>
          <w:szCs w:val="32"/>
        </w:rPr>
        <w:t>97.85%</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15</w:t>
      </w:r>
      <w:r>
        <w:rPr>
          <w:rFonts w:hint="eastAsia" w:ascii="仿宋_GB2312" w:eastAsia="仿宋_GB2312"/>
          <w:color w:val="000000" w:themeColor="text1"/>
          <w:sz w:val="32"/>
          <w:szCs w:val="32"/>
        </w:rPr>
        <w:t>万元，占</w:t>
      </w:r>
      <w:r>
        <w:rPr>
          <w:rFonts w:hint="eastAsia" w:ascii="仿宋_GB2312" w:eastAsia="仿宋_GB2312"/>
          <w:sz w:val="32"/>
          <w:szCs w:val="32"/>
        </w:rPr>
        <w:t>2.15%</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况：本年收入年初预算数408.35万元</w:t>
      </w:r>
      <w:r>
        <w:rPr>
          <w:rFonts w:hint="eastAsia" w:ascii="仿宋_GB2312" w:eastAsia="仿宋_GB2312"/>
          <w:sz w:val="32"/>
          <w:szCs w:val="32"/>
        </w:rPr>
        <w:t>，决算数699.19万元</w:t>
      </w:r>
      <w:r>
        <w:rPr>
          <w:rFonts w:ascii="仿宋_GB2312" w:eastAsia="仿宋_GB2312"/>
          <w:sz w:val="32"/>
          <w:szCs w:val="32"/>
        </w:rPr>
        <w:t>，预决算差异率71.22%，差异主要原因是:财政安排大型工程机械平台建设项目资金233万元。</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684.19</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398.42</w:t>
      </w:r>
      <w:r>
        <w:rPr>
          <w:rFonts w:hint="eastAsia" w:ascii="仿宋_GB2312" w:eastAsia="仿宋_GB2312"/>
          <w:color w:val="000000" w:themeColor="text1"/>
          <w:sz w:val="32"/>
          <w:szCs w:val="32"/>
        </w:rPr>
        <w:t>万元，占</w:t>
      </w:r>
      <w:r>
        <w:rPr>
          <w:rFonts w:hint="eastAsia" w:ascii="仿宋_GB2312" w:eastAsia="仿宋_GB2312"/>
          <w:sz w:val="32"/>
          <w:szCs w:val="32"/>
        </w:rPr>
        <w:t>58.23%</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285.77</w:t>
      </w:r>
      <w:r>
        <w:rPr>
          <w:rFonts w:hint="eastAsia" w:ascii="仿宋_GB2312" w:eastAsia="仿宋_GB2312"/>
          <w:color w:val="000000" w:themeColor="text1"/>
          <w:sz w:val="32"/>
          <w:szCs w:val="32"/>
        </w:rPr>
        <w:t>万元，占</w:t>
      </w:r>
      <w:r>
        <w:rPr>
          <w:rFonts w:hint="eastAsia" w:ascii="仿宋_GB2312" w:eastAsia="仿宋_GB2312"/>
          <w:sz w:val="32"/>
          <w:szCs w:val="32"/>
        </w:rPr>
        <w:t>41.77%</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与年初预算数相比情况：本年支出年初预算数439.06万元，</w:t>
      </w:r>
      <w:r>
        <w:rPr>
          <w:rFonts w:hint="eastAsia" w:ascii="仿宋_GB2312" w:eastAsia="仿宋_GB2312"/>
          <w:sz w:val="32"/>
          <w:szCs w:val="32"/>
        </w:rPr>
        <w:t>决算数684.19万元</w:t>
      </w:r>
      <w:r>
        <w:rPr>
          <w:rFonts w:ascii="仿宋_GB2312" w:eastAsia="仿宋_GB2312"/>
          <w:sz w:val="32"/>
          <w:szCs w:val="32"/>
        </w:rPr>
        <w:t>，预决算差异率55.83%，差异主要原因是:财政安排大型工程机械平台建设项目资金233万元。</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684.19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，与上年相比，增加273.15万元，增长66.45%，增加的主要原因是：财政安排大型工程机械平台建设项目资金233万元。</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684.19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，与上年相比，增加273.15万元，增长66.45%，增加的主要原因是：</w:t>
      </w:r>
      <w:r>
        <w:rPr>
          <w:rFonts w:ascii="仿宋_GB2312" w:eastAsia="仿宋_GB2312"/>
          <w:sz w:val="32"/>
          <w:szCs w:val="32"/>
        </w:rPr>
        <w:t>财政安排大型工程机械平台建设项目资金233万元。</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398.42</w:t>
      </w:r>
      <w:r>
        <w:rPr>
          <w:rFonts w:hint="eastAsia" w:ascii="仿宋_GB2312" w:eastAsia="仿宋_GB2312"/>
          <w:color w:val="000000" w:themeColor="text1"/>
          <w:sz w:val="32"/>
          <w:szCs w:val="32"/>
        </w:rPr>
        <w:t>万元，项目支出</w:t>
      </w:r>
      <w:r>
        <w:rPr>
          <w:rFonts w:hint="eastAsia" w:ascii="仿宋_GB2312" w:eastAsia="仿宋_GB2312"/>
          <w:sz w:val="32"/>
          <w:szCs w:val="32"/>
        </w:rPr>
        <w:t>285.77</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408.35</w:t>
      </w:r>
      <w:r>
        <w:rPr>
          <w:rFonts w:hint="eastAsia" w:ascii="仿宋_GB2312" w:eastAsia="仿宋_GB2312"/>
          <w:color w:val="000000" w:themeColor="text1"/>
          <w:sz w:val="32"/>
          <w:szCs w:val="32"/>
        </w:rPr>
        <w:t>万元，决算数</w:t>
      </w:r>
      <w:r>
        <w:rPr>
          <w:rFonts w:hint="eastAsia" w:ascii="仿宋_GB2312" w:eastAsia="仿宋_GB2312"/>
          <w:sz w:val="32"/>
          <w:szCs w:val="32"/>
        </w:rPr>
        <w:t>684.19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，预决算差异率67.55%，差异主要原因是:财政安排大型工程机械平台建设项目资金233万元。</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439.06</w:t>
      </w:r>
      <w:r>
        <w:rPr>
          <w:rFonts w:hint="eastAsia" w:ascii="仿宋_GB2312" w:eastAsia="仿宋_GB2312"/>
          <w:color w:val="000000" w:themeColor="text1"/>
          <w:sz w:val="32"/>
          <w:szCs w:val="32"/>
        </w:rPr>
        <w:t>万元，决算数</w:t>
      </w:r>
      <w:r>
        <w:rPr>
          <w:rFonts w:hint="eastAsia" w:ascii="仿宋_GB2312" w:eastAsia="仿宋_GB2312"/>
          <w:sz w:val="32"/>
          <w:szCs w:val="32"/>
        </w:rPr>
        <w:t>684.19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，预决算差异率55.83%，差异主要原因是:财政安排大型工程机械平台建设项目资金233万元。</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684.19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，与上年相比，增加273.15万元，增长66.45%，增加的主要原因是：财政安排大型工程机械平台建设项目资金233万元。</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684.19</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，与上年相比，增加273.15万元，增长66.45%，增加的主要原因是：财政安排大型工程机械平台建设项目资金233万元。</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住房保障支出15.91万元,农林水支出611.51万元,教育支出6.24万元,其他支出26.13万元,社会保障和就业支出24.4万元。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工资福利支出293.09万元,商品和服务支出294.83万元,对个人和家庭的补助96.02万元,资本性支出0.26万元。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408.35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684.19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，预决算差异率67.55%，差异主要原因是:财政安排大型工程机械平台建设项目资金233万元。</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439.06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684.19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，预决算差异率55.83%，差异主要原因是:财政安排大型工程机械平台建设项目资金233万元。</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，与上年相比，增加0万元，增长0%，主要原因是：本单位无政府性基金预算收入。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，与上年相比，增加0万元，增长0%，主要原因是：本单位无政府性基金预算支出。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，预决算差异率0%，差异主要原因是:本单位无政府性基金预算收入。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，预决算差异率0%，差异主要原因是:本单位无政府性基金预算支出。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15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。与上年相比，增加15万元，增长100%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，与上年相比，减少1.8万元，下降100%，减少的主要原因是：报废一辆汽车，所以减少公务用车运行维护费。</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0%，与上年相比，增加0万元，增长0%，主要原因是：本单位无因公出国（境）费支出；</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0%，与上年相比，减少1.8万元，下降100%，减少的主要原因是：报废一辆汽车，所以减少公务用车运行维护费；</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0%，与上年相比，增加0万元，增长0%，主要原因是：本单位无公务接待费开支。</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新疆喀什地区农业机械管理局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本单位无因公出国（境）费支出。</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本单位无公务用车购置及运行维护费支出</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本单位无公务接待费开支</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新疆喀什地区农业机械管理局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，预决算差异率0%，差异主要原因是:本单位无“三公”经费预算及支出。</w:t>
      </w:r>
      <w:bookmarkEnd w:id="80"/>
      <w:bookmarkStart w:id="81" w:name="OLE_LINK86"/>
      <w:bookmarkStart w:id="82"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，预决算差异率0%，差异主要原因是:本单位无因公出国（境）费预算及支出；</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，预决算差异率0%，差异主要原因是:本单位无公务用车购置及支出；</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，预决算差异率0%，差异主要原因是:本单位无公务用车运行费预算及支出；</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本单位无公务接待费预算及支出。</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新疆喀什地区农业机械管理局日常公用经费9.32万元，与上年相比，减少24.22万元，下降72.21%，减少的主要原因是：2018年个人补助费由商品和服务支出调整为对个人和家庭补助支出，所以2018年日常公用经费减少。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1.12</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1.12</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3</w:t>
      </w:r>
      <w:r>
        <w:rPr>
          <w:rFonts w:hint="eastAsia" w:ascii="仿宋_GB2312" w:eastAsia="仿宋_GB2312"/>
          <w:color w:val="000000" w:themeColor="text1"/>
          <w:sz w:val="32"/>
          <w:szCs w:val="32"/>
        </w:rPr>
        <w:t>辆，价值</w:t>
      </w:r>
      <w:r>
        <w:rPr>
          <w:rFonts w:hint="eastAsia" w:ascii="仿宋_GB2312" w:eastAsia="仿宋_GB2312"/>
          <w:sz w:val="32"/>
          <w:szCs w:val="32"/>
        </w:rPr>
        <w:t>67.72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3</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2018年一般公务用车调整为其他用车，主要是用于单位开展下乡指导业务工作；</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保障14名公职人员的基本工资、津贴补贴、奖金、机关事业单位养老保险、其他社会保障缴费、住房公积金、人员补助、生活补助、其他对个人和家庭补助和公用经费按时足额拨付发放到位，防止吃空饷等事项发生。保障单位数量1个，人员14人，个人部分按时足额发放到位，补助发放及时率100%。经济收入明显增长，单位职工满意度≥99%，防止吃空饷等事项发生。人员考核合格率100。</w:t>
      </w:r>
    </w:p>
    <w:p>
      <w:pPr>
        <w:spacing w:line="540" w:lineRule="exact"/>
        <w:ind w:left="-1" w:right="-1" w:firstLine="646"/>
        <w:jc w:val="left"/>
      </w:pPr>
      <w:r>
        <w:rPr>
          <w:rFonts w:ascii="仿宋_GB2312" w:hAnsi="仿宋_GB2312" w:eastAsia="仿宋_GB2312" w:cs="仿宋_GB2312"/>
          <w:b w:val="0"/>
          <w:color w:val="auto"/>
          <w:sz w:val="32"/>
          <w:u w:val="none"/>
        </w:rPr>
        <w:t>1、下达2018年自治区工作经费项目绩效自评综述：根据年初设定的绩效目标，该项目绩效自评得分为91分。项目全年预算数为4万元，执行数为4万元，完成预算的100%。主要产出和效果：覆盖深度贫困村数量2个，参加人数10人，完成工作任务率98%，工作经费支出时间2018年12月31日前，村委会所需办公费用1.1万元，开展工作费用2.9万元，群众对惠民政策知晓率90%，困难群众感激党的惠民政策持续影响，队员及村委会满意度95%。发现的问题及原因：2018年本项目绩效目标全部达成，不存在未完成原因分析。下一步改进措施： 无。</w:t>
      </w:r>
    </w:p>
    <w:p>
      <w:pPr>
        <w:spacing w:line="540" w:lineRule="exact"/>
        <w:ind w:left="-1" w:right="-1" w:firstLine="646"/>
        <w:jc w:val="left"/>
      </w:pPr>
      <w:r>
        <w:rPr>
          <w:rFonts w:ascii="仿宋_GB2312" w:hAnsi="仿宋_GB2312" w:eastAsia="仿宋_GB2312" w:cs="仿宋_GB2312"/>
          <w:b w:val="0"/>
          <w:color w:val="auto"/>
          <w:sz w:val="32"/>
          <w:u w:val="none"/>
        </w:rPr>
        <w:t>2、财政扶持农机化发展专项资金项目绩效自评综述：根据年初设定的绩效目标，该项目绩效自评得分为85.9分。项目全年预算数为25万元，执行数为16.29万元，完成预算的65.16%。主要产出和效果：全年组织各项业务检查指导次数10次，全年开展业务人员培训次数3次，业务检查指导范围12县（市），参加培训人员业务能力提升率30%，开展检查指导工作时间2018年12月31日前，开展工作所需办公费用3.66万元，开展工作所需出差及加油费用10.45万元，开展培训工作所需培训费用2.18万元，我区农机化发展服务能力持续提升，全区农业机械化水平增长持续提高，全区农机手满意度91%。发现的问题及原因：根据项目计划安排，拟进行15次检查及培训活动，因现阶段业务人员人手不足，只进行了10次，无法按照项目计划开展相应次数的检查培训工作。下一步改进措施： 强化项目推进力度，完善项目推进机制。</w:t>
      </w:r>
    </w:p>
    <w:p>
      <w:pPr>
        <w:spacing w:line="540" w:lineRule="exact"/>
        <w:ind w:left="-1" w:right="-1" w:firstLine="646"/>
        <w:jc w:val="left"/>
      </w:pPr>
      <w:r>
        <w:rPr>
          <w:rFonts w:ascii="仿宋_GB2312" w:hAnsi="仿宋_GB2312" w:eastAsia="仿宋_GB2312" w:cs="仿宋_GB2312"/>
          <w:b w:val="0"/>
          <w:color w:val="auto"/>
          <w:sz w:val="32"/>
          <w:u w:val="none"/>
        </w:rPr>
        <w:t>3、农机网络租赁使用项目绩效自评综述：根据年初设定的绩效目标，该项目绩效自评得分为90分。项目全年预算数为6.6万元，执行数为6.6万元，完成预算的100%。主要产出和效果：确保我局所有通信网络线路正常连接，提高网络安全性，53个上网点正常开展业务，系统故障率小于10%，网络线路租用费6.6万元。档案录入时间节省率达到30%，提高网络安全性，保障信息系统网络连接效果明显，网络使用人员满意度达到90%。发现的问题及原因：2018年本项目绩效目标全部达成，不存在未完成原因分析。下一步改进措施： 无。</w:t>
      </w:r>
    </w:p>
    <w:p>
      <w:pPr>
        <w:spacing w:line="540" w:lineRule="exact"/>
        <w:ind w:left="-1" w:right="-1" w:firstLine="646"/>
        <w:jc w:val="left"/>
      </w:pPr>
      <w:r>
        <w:rPr>
          <w:rFonts w:ascii="仿宋_GB2312" w:hAnsi="仿宋_GB2312" w:eastAsia="仿宋_GB2312" w:cs="仿宋_GB2312"/>
          <w:b w:val="0"/>
          <w:color w:val="auto"/>
          <w:sz w:val="32"/>
          <w:u w:val="none"/>
        </w:rPr>
        <w:t>4、农机科技培训项目绩效自评综述：根据年初设定的绩效目标，该项目绩效自评得分为91分。项目全年预算数为3.74万元，执行数为3.74万元，完成预算的100%。主要产出和效果：开展各类培训每次培训3天、每次30人，共培训3次。培训培训合格率达到80%，培训人员持证上岗率达到90%，持续提高提高我区专业技术人员知识水平，专业技术人员培训满意度达到90%。发现的问题及原因：2018年本项目绩效目标全部达成，不存在未完成原因分析。下一步改进措施： 无。</w:t>
      </w:r>
    </w:p>
    <w:p>
      <w:pPr>
        <w:spacing w:line="540" w:lineRule="exact"/>
        <w:ind w:left="-1" w:right="-1" w:firstLine="646"/>
        <w:jc w:val="left"/>
      </w:pPr>
      <w:r>
        <w:rPr>
          <w:rFonts w:ascii="仿宋_GB2312" w:hAnsi="仿宋_GB2312" w:eastAsia="仿宋_GB2312" w:cs="仿宋_GB2312"/>
          <w:b w:val="0"/>
          <w:color w:val="auto"/>
          <w:sz w:val="32"/>
          <w:u w:val="none"/>
        </w:rPr>
        <w:t>5、农机化质量及购置补贴监管能力提升项目绩效自评综述：根据年初设定的绩效目标，该项目绩效自评得分为90分。项目全年预算数为0万元，执行数为0万元，完成预算的100%。主要产出和效果：办理农机投诉案件批次12批次，组织购置补贴检查次数4次，案件办结率达到90%，购置补贴抽查率达到30%，投入资金5万元，市场销售农业机械质量合格率逐渐提高，对促进农机销售市场的规范化作用有明显效果，投诉群众满意率达到90%。发现的问题及原因：2018年本项目绩效目标全部达成，不存在未完成原因分析。下一步改进措施： 无。</w:t>
      </w:r>
    </w:p>
    <w:p>
      <w:pPr>
        <w:spacing w:line="540" w:lineRule="exact"/>
        <w:ind w:left="-1" w:right="-1" w:firstLine="646"/>
        <w:jc w:val="left"/>
      </w:pPr>
      <w:r>
        <w:rPr>
          <w:rFonts w:ascii="仿宋_GB2312" w:hAnsi="仿宋_GB2312" w:eastAsia="仿宋_GB2312" w:cs="仿宋_GB2312"/>
          <w:b w:val="0"/>
          <w:color w:val="auto"/>
          <w:sz w:val="32"/>
          <w:u w:val="none"/>
        </w:rPr>
        <w:t>6、农机化管理能力提升项目绩效自评综述：根据年初设定的绩效目标，该项目绩效自评得分为78.4分。项目全年预算数为10万元，执行数为0.75万元，完成预算的7.5%。主要产出和效果：全年开展检查次数3次，核实机具合格率达到93%，农机挂牌率达到98%，政策知晓率达到88%，投入资金1万元，农民了解国家惠农政策效果明显，预防农机事故发生 ，维护社会和谐明显加强 ，广大农机用户满意率达到90%。发现的问题及原因：一是项目进度偏低；二是项目资金使用率有待提升。下一步改进措施： 一是强化项目推进力度，完善项目推进机制。二是充分发挥专项资金的使用效率。</w:t>
      </w:r>
    </w:p>
    <w:p>
      <w:pPr>
        <w:spacing w:line="540" w:lineRule="exact"/>
        <w:ind w:left="-1" w:right="-1" w:firstLine="646"/>
        <w:jc w:val="left"/>
      </w:pPr>
      <w:r>
        <w:rPr>
          <w:rFonts w:ascii="仿宋_GB2312" w:hAnsi="仿宋_GB2312" w:eastAsia="仿宋_GB2312" w:cs="仿宋_GB2312"/>
          <w:b w:val="0"/>
          <w:color w:val="auto"/>
          <w:sz w:val="32"/>
          <w:u w:val="none"/>
        </w:rPr>
        <w:t>7、工作经费项目绩效自评综述：根据年初设定的绩效目标，该项目绩效自评得分为90分。项目全年预算数为0万元，执行数为0万元，完成预算的100%。主要产出和效果：覆盖数量2个，贫困户覆盖率大于90%，购买米面油等慰问品1.97万元,给贫困户解决困难，减轻负担效果明显,群众对惠民政策知晓率大于90%,服务困难群众满意度达到90%以上。发现的问题及原因：2018年本项目绩效目标全部达成，不存在未完成原因分析。下一步改进措施： 无。</w:t>
      </w:r>
    </w:p>
    <w:p>
      <w:pPr>
        <w:spacing w:line="540" w:lineRule="exact"/>
        <w:ind w:left="-1" w:right="-1" w:firstLine="646"/>
        <w:jc w:val="left"/>
      </w:pPr>
      <w:r>
        <w:rPr>
          <w:rFonts w:ascii="仿宋_GB2312" w:hAnsi="仿宋_GB2312" w:eastAsia="仿宋_GB2312" w:cs="仿宋_GB2312"/>
          <w:b w:val="0"/>
          <w:color w:val="auto"/>
          <w:sz w:val="32"/>
          <w:u w:val="none"/>
        </w:rPr>
        <w:t>8、抽调莎车县艾力西湖镇工作经费项目绩效自评综述：根据年初设定的绩效目标，该项目绩效自评得分为93分。项目全年预算数为1万元，执行数为1万元，完成预算的100%。主要产出和效果：抽调至莎车县艾力西湖镇工作人数1人，慰问贫困户人数220人，抽调至莎车县艾力西湖镇各项工作任务完成率98%，贫困户覆盖率95%，工作经费支出时间2018年10月31日，开展工作购买三新活动用品费用1万元，群众对惠民政策知晓率95%，困难群众感激党的惠民政策持续影响，服务困难群众满意度95%。发现的问题及原因：2018年本项目绩效目标全部达成，不存在未完成原因分析。下一步改进措施： 无。</w:t>
      </w:r>
    </w:p>
    <w:p>
      <w:pPr>
        <w:spacing w:line="540" w:lineRule="exact"/>
        <w:ind w:left="-1" w:right="-1" w:firstLine="646"/>
        <w:jc w:val="left"/>
      </w:pPr>
      <w:r>
        <w:rPr>
          <w:rFonts w:ascii="仿宋_GB2312" w:hAnsi="仿宋_GB2312" w:eastAsia="仿宋_GB2312" w:cs="仿宋_GB2312"/>
          <w:b w:val="0"/>
          <w:color w:val="auto"/>
          <w:sz w:val="32"/>
          <w:u w:val="none"/>
        </w:rPr>
        <w:t>9、下达2018年自治区工作经费（为民办实事经费）项目绩效自评综述：根据年初设定的绩效目标，该项目绩效自评得分为90.2分。项目全年预算数为10万元，执行数为9.22万元，完成预算的92.2%。主要产出和效果：覆盖深度贫困村数量2个，慰问贫困户户数420户，贫困户覆盖率98%，工作经费支出时间2018年12月31日前，开展为民办实事劳务费3.73万元，开展为民办实事购买物品款3.79万元，开展为民办实事买煤款1.7万元，群众对惠民政策知晓率95%，困难群众感激党的惠民政策持续影响，服务困难群众满意度95%。发现的问题及原因：2018年本项目预算数10万元，实际执行数9.22万元，未完成0.78万元，主要原因为2018年12月19日开出的一张转账支票，由于收款单位未及时办理，导致年底过了清算时间。下一步改进措施： 及时加快资金支付力度。</w:t>
      </w:r>
    </w:p>
    <w:p>
      <w:pPr>
        <w:spacing w:line="540" w:lineRule="exact"/>
        <w:ind w:left="-1" w:right="-1" w:firstLine="646"/>
        <w:jc w:val="left"/>
      </w:pPr>
      <w:r>
        <w:rPr>
          <w:rFonts w:ascii="仿宋_GB2312" w:hAnsi="仿宋_GB2312" w:eastAsia="仿宋_GB2312" w:cs="仿宋_GB2312"/>
          <w:b w:val="0"/>
          <w:color w:val="auto"/>
          <w:sz w:val="32"/>
          <w:u w:val="none"/>
        </w:rPr>
        <w:t>10、下达2018年自治区工作经费（深度贫困村工作经费）项目绩效自评综述：根据年初设定的绩效目标，该项目绩效自评得分为92分。项目全年预算数为4万元，执行数为4万元，完成预算的100%。主要产出和效果：覆盖深度贫困村数量2个，慰问贫困户人数580人，贫困户覆盖率98%，工作经费支出时间2018年12月31日前，慰问贫困大学生奖学金0.8万元，慰问贫困户购买物品3.2万元，群众对惠民政策知晓率≥90%，困难群众感激党的惠民政策持续影响，服务困难群众满意度≥90%。发现的问题及原因：2018年本项目绩效目标全部达成，不存在未完成原因分析。下一步改进措施： 无。</w:t>
      </w:r>
    </w:p>
    <w:p>
      <w:pPr>
        <w:spacing w:line="540" w:lineRule="exact"/>
        <w:ind w:left="-1" w:right="-1" w:firstLine="646"/>
        <w:jc w:val="left"/>
      </w:pPr>
      <w:r>
        <w:rPr>
          <w:rFonts w:ascii="仿宋_GB2312" w:hAnsi="仿宋_GB2312" w:eastAsia="仿宋_GB2312" w:cs="仿宋_GB2312"/>
          <w:b w:val="0"/>
          <w:color w:val="auto"/>
          <w:sz w:val="32"/>
          <w:u w:val="none"/>
        </w:rPr>
        <w:t>11、大型工程机械设备和车辆安全监管平台项目绩效自评综述：根据年初设定的绩效目标，该项目绩效自评得分为89分。项目全年预算数为233.2万元，执行数为233.2万元，完成预算的100%。主要产出和效果：通过大型工程机械设备和车辆安全监管平台项目的实施，一是建立了全区大型工程机械设备和车辆的牌证管理体系，大型工程机械设备监管平台普及率达到99%，平台覆盖率达到99%，平台故障运行率小于5%，重大信息泄露事件发生次数0次，网络故障处理及时率达到90%，开发成本节约率达到5%，平均业务处理效率提高率达到20%，平台监管使用人员满意度达到95%。发现的问题及原因：2018年本项目绩效目标全部达成，不存在未完成原因分析。下一步改进措施： 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205（类）02（款）01（项）指：学前教育。213（类）01（款）01（项）指：行政运行。213（类）01（款）02（项）指：一般行政管理事务。229（类）99（款）01（项）指：其他支出。208（类）05（款）05（项）指：机关事业单位基本养老保险缴费支出。213（类）01（款）22（项）指：农业生产支持补贴。</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p5hYJKeIiDF/kkKIdcUb4A/UVH4=" w:salt="yo2xRH6VRHfHg/Oa0630G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2E52A1E"/>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6E13FD"/>
    <w:rsid w:val="30E210D2"/>
    <w:rsid w:val="311371D6"/>
    <w:rsid w:val="31EB64C9"/>
    <w:rsid w:val="336D0D6F"/>
    <w:rsid w:val="352E4BEC"/>
    <w:rsid w:val="37DD5594"/>
    <w:rsid w:val="38F24FA8"/>
    <w:rsid w:val="3A98342A"/>
    <w:rsid w:val="3AB6780E"/>
    <w:rsid w:val="3AD56D70"/>
    <w:rsid w:val="3B2920C2"/>
    <w:rsid w:val="3BE41ABD"/>
    <w:rsid w:val="3C5421A9"/>
    <w:rsid w:val="3D095D37"/>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D587E94"/>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B483A44"/>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283</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2021-05-21T08:50:15Z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