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2018年度新疆喀什地区农机技术推广站部门决算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喀什地区农业机械技术推广站主要工作职责为编制我区农业机械技术推广工作规划、计划，提出农机推广措施建议；研究、拟定地区农机作业服务规范和标准；引进农机化新技术、新机具，并组织安排试验、示范、推广；承担农机化技术项目的立项、规划、实施、监督检查和管理；组织开展本地区重大农机科技成果和先进技术的推广应用、经验总结、技术交流等工作；组织农机技术培训和继续教育工作；指导下级农机化技术推广机构的工作，协调其横向合作关系；开展农机信息咨询服务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新疆喀什地区农机技术推广站</w:t>
      </w:r>
      <w:r>
        <w:rPr>
          <w:rFonts w:hint="eastAsia" w:ascii="仿宋_GB2312" w:eastAsia="仿宋_GB2312"/>
          <w:sz w:val="32"/>
          <w:szCs w:val="32"/>
        </w:rPr>
        <w:t>部门决算包括：</w:t>
      </w:r>
      <w:r>
        <w:rPr>
          <w:rFonts w:ascii="仿宋_GB2312" w:eastAsia="仿宋_GB2312"/>
          <w:sz w:val="32"/>
          <w:szCs w:val="32"/>
        </w:rPr>
        <w:t>新疆喀什地区农机技术推广站</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新疆喀什地区农机技术推广站</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新疆喀什地区农机技术推广站</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207.81</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，与上年相比，增加13.29万元，增长6.83%，增加的主要原因是：</w:t>
      </w:r>
      <w:r>
        <w:rPr>
          <w:rFonts w:hint="eastAsia" w:ascii="仿宋_GB2312" w:eastAsia="仿宋_GB2312"/>
          <w:color w:val="000000" w:themeColor="text1"/>
          <w:sz w:val="32"/>
          <w:szCs w:val="32"/>
        </w:rPr>
        <w:t>比上年增加</w:t>
      </w:r>
      <w:r>
        <w:rPr>
          <w:rFonts w:hint="eastAsia" w:ascii="仿宋_GB2312" w:eastAsia="仿宋_GB2312"/>
          <w:color w:val="000000" w:themeColor="text1"/>
          <w:sz w:val="32"/>
          <w:szCs w:val="32"/>
          <w:lang w:eastAsia="zh-CN"/>
        </w:rPr>
        <w:t>花</w:t>
      </w:r>
      <w:r>
        <w:rPr>
          <w:rFonts w:hint="eastAsia" w:ascii="仿宋_GB2312" w:eastAsia="仿宋_GB2312"/>
          <w:color w:val="000000" w:themeColor="text1"/>
          <w:sz w:val="32"/>
          <w:szCs w:val="32"/>
        </w:rPr>
        <w:t>残膜回收机研制项目；</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207.81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，与上年相比，增加13.29万元，增长6.83%，增加的主要原因是：</w:t>
      </w:r>
      <w:r>
        <w:rPr>
          <w:rFonts w:hint="eastAsia" w:ascii="仿宋_GB2312" w:eastAsia="仿宋_GB2312"/>
          <w:color w:val="000000" w:themeColor="text1"/>
          <w:sz w:val="32"/>
          <w:szCs w:val="32"/>
        </w:rPr>
        <w:t>比上年增加</w:t>
      </w:r>
      <w:r>
        <w:rPr>
          <w:rFonts w:hint="eastAsia" w:ascii="仿宋_GB2312" w:eastAsia="仿宋_GB2312"/>
          <w:color w:val="000000" w:themeColor="text1"/>
          <w:sz w:val="32"/>
          <w:szCs w:val="32"/>
          <w:lang w:eastAsia="zh-CN"/>
        </w:rPr>
        <w:t>花</w:t>
      </w:r>
      <w:r>
        <w:rPr>
          <w:rFonts w:hint="eastAsia" w:ascii="仿宋_GB2312" w:eastAsia="仿宋_GB2312"/>
          <w:color w:val="000000" w:themeColor="text1"/>
          <w:sz w:val="32"/>
          <w:szCs w:val="32"/>
        </w:rPr>
        <w:t>残膜回收机研制项目；</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207.81</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207.81</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2" w:name="_GoBack"/>
      <w:bookmarkEnd w:id="92"/>
      <w:r>
        <w:rPr>
          <w:rFonts w:hint="eastAsia" w:ascii="仿宋_GB2312" w:eastAsia="仿宋_GB2312"/>
          <w:color w:val="000000" w:themeColor="text1"/>
          <w:sz w:val="32"/>
          <w:szCs w:val="32"/>
        </w:rPr>
        <w:t>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况：本年收入年初预算数179.35万元</w:t>
      </w:r>
      <w:r>
        <w:rPr>
          <w:rFonts w:hint="eastAsia" w:ascii="仿宋_GB2312" w:eastAsia="仿宋_GB2312"/>
          <w:sz w:val="32"/>
          <w:szCs w:val="32"/>
        </w:rPr>
        <w:t>，决算数207.81万元</w:t>
      </w:r>
      <w:r>
        <w:rPr>
          <w:rFonts w:ascii="仿宋_GB2312" w:eastAsia="仿宋_GB2312"/>
          <w:sz w:val="32"/>
          <w:szCs w:val="32"/>
        </w:rPr>
        <w:t>，预决算差异率15.87%，差异主要原因是:比预算增加</w:t>
      </w:r>
      <w:r>
        <w:rPr>
          <w:rFonts w:hint="eastAsia" w:ascii="仿宋_GB2312" w:eastAsia="仿宋_GB2312"/>
          <w:sz w:val="32"/>
          <w:szCs w:val="32"/>
          <w:lang w:eastAsia="zh-CN"/>
        </w:rPr>
        <w:t>花</w:t>
      </w:r>
      <w:r>
        <w:rPr>
          <w:rFonts w:ascii="仿宋_GB2312" w:eastAsia="仿宋_GB2312"/>
          <w:sz w:val="32"/>
          <w:szCs w:val="32"/>
        </w:rPr>
        <w:t>残膜回收机研制项目。</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207.81</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186.14</w:t>
      </w:r>
      <w:r>
        <w:rPr>
          <w:rFonts w:hint="eastAsia" w:ascii="仿宋_GB2312" w:eastAsia="仿宋_GB2312"/>
          <w:color w:val="000000" w:themeColor="text1"/>
          <w:sz w:val="32"/>
          <w:szCs w:val="32"/>
        </w:rPr>
        <w:t>万元，占</w:t>
      </w:r>
      <w:r>
        <w:rPr>
          <w:rFonts w:hint="eastAsia" w:ascii="仿宋_GB2312" w:eastAsia="仿宋_GB2312"/>
          <w:sz w:val="32"/>
          <w:szCs w:val="32"/>
        </w:rPr>
        <w:t>89.57%</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21.67</w:t>
      </w:r>
      <w:r>
        <w:rPr>
          <w:rFonts w:hint="eastAsia" w:ascii="仿宋_GB2312" w:eastAsia="仿宋_GB2312"/>
          <w:color w:val="000000" w:themeColor="text1"/>
          <w:sz w:val="32"/>
          <w:szCs w:val="32"/>
        </w:rPr>
        <w:t>万元，占</w:t>
      </w:r>
      <w:r>
        <w:rPr>
          <w:rFonts w:hint="eastAsia" w:ascii="仿宋_GB2312" w:eastAsia="仿宋_GB2312"/>
          <w:sz w:val="32"/>
          <w:szCs w:val="32"/>
        </w:rPr>
        <w:t>10.43%</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与年初预算数相比情况：本年支出年初预算数219.35万元，</w:t>
      </w:r>
      <w:r>
        <w:rPr>
          <w:rFonts w:hint="eastAsia" w:ascii="仿宋_GB2312" w:eastAsia="仿宋_GB2312"/>
          <w:sz w:val="32"/>
          <w:szCs w:val="32"/>
        </w:rPr>
        <w:t>决算数207.81万元</w:t>
      </w:r>
      <w:r>
        <w:rPr>
          <w:rFonts w:ascii="仿宋_GB2312" w:eastAsia="仿宋_GB2312"/>
          <w:sz w:val="32"/>
          <w:szCs w:val="32"/>
        </w:rPr>
        <w:t>，预决算差异率-5.26%，差异主要原因是:年初预算数安排的财政扶持农机化发展资金未支出完。</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207.81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，与上年相比，增加26.49万元，增长14.61%，增加的主要原因是：比上年增加</w:t>
      </w:r>
      <w:r>
        <w:rPr>
          <w:rFonts w:hint="eastAsia" w:ascii="仿宋_GB2312" w:eastAsia="仿宋_GB2312"/>
          <w:sz w:val="32"/>
          <w:szCs w:val="32"/>
          <w:lang w:eastAsia="zh-CN"/>
        </w:rPr>
        <w:t>花</w:t>
      </w:r>
      <w:r>
        <w:rPr>
          <w:rFonts w:hint="eastAsia" w:ascii="仿宋_GB2312" w:eastAsia="仿宋_GB2312"/>
          <w:sz w:val="32"/>
          <w:szCs w:val="32"/>
        </w:rPr>
        <w:t>残膜回收机研制项目。</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207.81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，与上年相比，增加26.49万元，增长14.61%，增加的主要原因是：</w:t>
      </w:r>
      <w:r>
        <w:rPr>
          <w:rFonts w:ascii="仿宋_GB2312" w:eastAsia="仿宋_GB2312"/>
          <w:sz w:val="32"/>
          <w:szCs w:val="32"/>
        </w:rPr>
        <w:t>比上年增加</w:t>
      </w:r>
      <w:r>
        <w:rPr>
          <w:rFonts w:hint="eastAsia" w:ascii="仿宋_GB2312" w:eastAsia="仿宋_GB2312"/>
          <w:sz w:val="32"/>
          <w:szCs w:val="32"/>
          <w:lang w:eastAsia="zh-CN"/>
        </w:rPr>
        <w:t>花</w:t>
      </w:r>
      <w:r>
        <w:rPr>
          <w:rFonts w:ascii="仿宋_GB2312" w:eastAsia="仿宋_GB2312"/>
          <w:sz w:val="32"/>
          <w:szCs w:val="32"/>
        </w:rPr>
        <w:t>残膜回收机研制项目。</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186.14</w:t>
      </w:r>
      <w:r>
        <w:rPr>
          <w:rFonts w:hint="eastAsia" w:ascii="仿宋_GB2312" w:eastAsia="仿宋_GB2312"/>
          <w:color w:val="000000" w:themeColor="text1"/>
          <w:sz w:val="32"/>
          <w:szCs w:val="32"/>
        </w:rPr>
        <w:t>万元，项目支出</w:t>
      </w:r>
      <w:r>
        <w:rPr>
          <w:rFonts w:hint="eastAsia" w:ascii="仿宋_GB2312" w:eastAsia="仿宋_GB2312"/>
          <w:sz w:val="32"/>
          <w:szCs w:val="32"/>
        </w:rPr>
        <w:t>21.67</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179.35</w:t>
      </w:r>
      <w:r>
        <w:rPr>
          <w:rFonts w:hint="eastAsia" w:ascii="仿宋_GB2312" w:eastAsia="仿宋_GB2312"/>
          <w:color w:val="000000" w:themeColor="text1"/>
          <w:sz w:val="32"/>
          <w:szCs w:val="32"/>
        </w:rPr>
        <w:t>万元，决算数</w:t>
      </w:r>
      <w:r>
        <w:rPr>
          <w:rFonts w:hint="eastAsia" w:ascii="仿宋_GB2312" w:eastAsia="仿宋_GB2312"/>
          <w:sz w:val="32"/>
          <w:szCs w:val="32"/>
        </w:rPr>
        <w:t>207.81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，预决算差异率15.87%，差异主要原因是:比预算增加</w:t>
      </w:r>
      <w:r>
        <w:rPr>
          <w:rFonts w:hint="eastAsia" w:ascii="仿宋_GB2312" w:eastAsia="仿宋_GB2312"/>
          <w:color w:val="000000" w:themeColor="text1"/>
          <w:sz w:val="32"/>
          <w:szCs w:val="32"/>
          <w:lang w:eastAsia="zh-CN"/>
        </w:rPr>
        <w:t>花</w:t>
      </w:r>
      <w:r>
        <w:rPr>
          <w:rFonts w:ascii="仿宋_GB2312" w:eastAsia="仿宋_GB2312"/>
          <w:color w:val="000000" w:themeColor="text1"/>
          <w:sz w:val="32"/>
          <w:szCs w:val="32"/>
        </w:rPr>
        <w:t>残膜回收机研制项目。</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219.35</w:t>
      </w:r>
      <w:r>
        <w:rPr>
          <w:rFonts w:hint="eastAsia" w:ascii="仿宋_GB2312" w:eastAsia="仿宋_GB2312"/>
          <w:color w:val="000000" w:themeColor="text1"/>
          <w:sz w:val="32"/>
          <w:szCs w:val="32"/>
        </w:rPr>
        <w:t>万元，决算数</w:t>
      </w:r>
      <w:r>
        <w:rPr>
          <w:rFonts w:hint="eastAsia" w:ascii="仿宋_GB2312" w:eastAsia="仿宋_GB2312"/>
          <w:sz w:val="32"/>
          <w:szCs w:val="32"/>
        </w:rPr>
        <w:t>207.81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，预决算差异率-5.26%，差异主要原因是:年初预算数安排的财政扶持农机化发展资金未支出完。</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207.81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，与上年相比，增加26.49万元，增长14.61%，增加的主要原因是：比上年增加</w:t>
      </w:r>
      <w:r>
        <w:rPr>
          <w:rFonts w:hint="eastAsia" w:ascii="仿宋_GB2312" w:eastAsia="仿宋_GB2312"/>
          <w:color w:val="000000" w:themeColor="text1"/>
          <w:sz w:val="32"/>
          <w:szCs w:val="32"/>
          <w:lang w:eastAsia="zh-CN"/>
        </w:rPr>
        <w:t>花</w:t>
      </w:r>
      <w:r>
        <w:rPr>
          <w:rFonts w:ascii="仿宋_GB2312" w:eastAsia="仿宋_GB2312"/>
          <w:color w:val="000000" w:themeColor="text1"/>
          <w:sz w:val="32"/>
          <w:szCs w:val="32"/>
        </w:rPr>
        <w:t>残膜回收机研制项目。</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207.81</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，与上年相比，增加26.49万元，增长14.61%，增加的主要原因是：比上年增加</w:t>
      </w:r>
      <w:r>
        <w:rPr>
          <w:rFonts w:hint="eastAsia" w:ascii="仿宋_GB2312" w:eastAsia="仿宋_GB2312"/>
          <w:sz w:val="32"/>
          <w:szCs w:val="32"/>
          <w:lang w:eastAsia="zh-CN"/>
        </w:rPr>
        <w:t>花</w:t>
      </w:r>
      <w:r>
        <w:rPr>
          <w:rFonts w:hint="eastAsia" w:ascii="仿宋_GB2312" w:eastAsia="仿宋_GB2312"/>
          <w:sz w:val="32"/>
          <w:szCs w:val="32"/>
        </w:rPr>
        <w:t>残膜回收机研制项目。</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住房保障支出12.49万元,农林水支出176.19万元,社会保障和就业支出19.13万元。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工资福利支出182.36万元,商品和服务支出25万元,对个人和家庭的补助0.45万元。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179.35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207.81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，预决算差异率15.87%，差异主要原因是:比预算增加</w:t>
      </w:r>
      <w:r>
        <w:rPr>
          <w:rFonts w:hint="eastAsia" w:ascii="仿宋_GB2312" w:eastAsia="仿宋_GB2312"/>
          <w:color w:val="000000" w:themeColor="text1"/>
          <w:sz w:val="32"/>
          <w:szCs w:val="32"/>
          <w:lang w:eastAsia="zh-CN"/>
        </w:rPr>
        <w:t>花</w:t>
      </w:r>
      <w:r>
        <w:rPr>
          <w:rFonts w:ascii="仿宋_GB2312" w:eastAsia="仿宋_GB2312"/>
          <w:color w:val="000000" w:themeColor="text1"/>
          <w:sz w:val="32"/>
          <w:szCs w:val="32"/>
        </w:rPr>
        <w:t>残膜回收机研制项目。</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219.35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207.81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，预决算差异率-5.26%，差异主要原因是:年初预算数安排的财政扶持农机化发展资金未支出完。</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，与上年相比，增加0万元，增长0%，主要原因是：本单位无政府性基金预算收入。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，与上年相比，增加0万元，增长0%，主要原因是：本单位无政府性基金预算支出。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，预决算差异率0%，差异主要原因是:本单位无政府性基金预算收入。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，预决算差异率0%，差异主要原因是:本单位无政府性基金预算支出。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，与上年相比，增加0万元，增长0%，主要原因是：本单位无“三公”支出。</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0%，与上年相比，增加0万元，增长0%，主要原因是：本单位无因公出国（境）费支出；</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0%，与上年相比，增加0万元，增长0%，主要原因是：本单位无公务用车购置及运行维护费支出；</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0%，与上年相比，增加0万元，增长0%，主要原因是：本单位无公务接待费开支。</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新疆喀什地区农机技术推广站</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本单位无因公出国（境）费支出。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公务用车，但本单位无公务用车</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本单位无公务接待费开支</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新疆喀什地区农机技术推广站</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，预决算差异率0%，差异主要原因是:本单位无“三公”经费预算及支出，无差异。</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，预决算差异率0%，差异主要原因是:本单位无因公出国（境）费预算及支出；</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，预决算差异率0%，差异主要原因是:本单位无公务用车购置及支出；</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，预决算差异率0%，差异主要原因是:本单位无公务用车运行费预算及支出；</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本单位无公务接待费预算及支出。</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新疆喀什地区农机技术推广站日常公用经费3.33万元，与上年相比，减少0.3万元，下降8.26%，减少的主要原因是：压缩公用经费开支。</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27.8</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27.8</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0</w:t>
      </w:r>
      <w:r>
        <w:rPr>
          <w:rFonts w:hint="eastAsia" w:ascii="仿宋_GB2312" w:eastAsia="仿宋_GB2312"/>
          <w:color w:val="000000" w:themeColor="text1"/>
          <w:sz w:val="32"/>
          <w:szCs w:val="32"/>
        </w:rPr>
        <w:t>辆，价值</w:t>
      </w:r>
      <w:r>
        <w:rPr>
          <w:rFonts w:hint="eastAsia" w:ascii="仿宋_GB2312" w:eastAsia="仿宋_GB2312"/>
          <w:sz w:val="32"/>
          <w:szCs w:val="32"/>
        </w:rPr>
        <w:t>0</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无其他用车；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保障12名公职人员的基本工资、津贴补贴、奖金、机关事业单位养老保险、其他社会保障缴费、住房公积金、生活补助、其他对个人和家庭补助和公用经费按时足额拨付发放到位，防止吃空饷等事项发生。保障单位数量1个，人员12人，个人部分按时足额发放到位，补助发放及时率100%。经济收入明显增长，单位职工满意度达到99%，防止吃空饷等事项发生。人员考核合格率100。</w:t>
      </w:r>
    </w:p>
    <w:p>
      <w:pPr>
        <w:spacing w:line="540" w:lineRule="exact"/>
        <w:ind w:left="-1" w:right="-1" w:firstLine="646"/>
        <w:jc w:val="left"/>
      </w:pPr>
      <w:r>
        <w:rPr>
          <w:rFonts w:ascii="仿宋_GB2312" w:hAnsi="仿宋_GB2312" w:eastAsia="仿宋_GB2312" w:cs="仿宋_GB2312"/>
          <w:b w:val="0"/>
          <w:color w:val="auto"/>
          <w:sz w:val="32"/>
          <w:u w:val="none"/>
        </w:rPr>
        <w:t>1、农机化技术服务能力建设项目绩效自评综述：根据年初设定的绩效目标，该项目绩效自评得分为73.72分。项目全年预算数为10万元，执行数为3.38万元，完成预算的33.8%。主要产出和效果：下乡开展技术服务次数5次，检查新机具推广率达到20%，新机具推广使农民减少人工劳动力效果明显，广大新农机具使用人满意度达到80%。发现的问题及原因：按照项目计划开展下乡开展技术服务20次，只开展了4次下乡技术服务工作；推广大、中型农机具需通过召开农业机械现场演示会、现场会开展，今年未开展此项工作。主要原因为我单位农机技术推广队伍人员少，现有技术人员业务能力不强，导致农机技术推广工作无法正常有序开展。下一步改进措施： 及时开展工作，加快资金支付力度。</w:t>
      </w:r>
    </w:p>
    <w:p>
      <w:pPr>
        <w:spacing w:line="540" w:lineRule="exact"/>
        <w:ind w:left="-1" w:right="-1" w:firstLine="646"/>
        <w:jc w:val="left"/>
      </w:pPr>
      <w:r>
        <w:rPr>
          <w:rFonts w:ascii="仿宋_GB2312" w:hAnsi="仿宋_GB2312" w:eastAsia="仿宋_GB2312" w:cs="仿宋_GB2312"/>
          <w:b w:val="0"/>
          <w:color w:val="auto"/>
          <w:sz w:val="32"/>
          <w:u w:val="none"/>
        </w:rPr>
        <w:t>2、</w:t>
      </w:r>
      <w:r>
        <w:rPr>
          <w:rFonts w:hint="eastAsia" w:ascii="仿宋_GB2312" w:hAnsi="仿宋_GB2312" w:eastAsia="仿宋_GB2312" w:cs="仿宋_GB2312"/>
          <w:b w:val="0"/>
          <w:color w:val="auto"/>
          <w:sz w:val="32"/>
          <w:u w:val="none"/>
          <w:lang w:eastAsia="zh-CN"/>
        </w:rPr>
        <w:t>花</w:t>
      </w:r>
      <w:r>
        <w:rPr>
          <w:rFonts w:ascii="仿宋_GB2312" w:hAnsi="仿宋_GB2312" w:eastAsia="仿宋_GB2312" w:cs="仿宋_GB2312"/>
          <w:b w:val="0"/>
          <w:color w:val="auto"/>
          <w:sz w:val="32"/>
          <w:u w:val="none"/>
        </w:rPr>
        <w:t>残膜回收机研制项目绩效自评综述：根据年初设定的绩效目标，该项目绩效自评得分为75.45分。项目全年预算数为30万元，执行数为16.68万元，完成预算的55.6%。主要产出和效果：与本地实际研发能力较强的农机企业合作，研制</w:t>
      </w:r>
      <w:r>
        <w:rPr>
          <w:rFonts w:hint="eastAsia" w:ascii="仿宋_GB2312" w:hAnsi="仿宋_GB2312" w:eastAsia="仿宋_GB2312" w:cs="仿宋_GB2312"/>
          <w:b w:val="0"/>
          <w:color w:val="auto"/>
          <w:sz w:val="32"/>
          <w:u w:val="none"/>
          <w:lang w:eastAsia="zh-CN"/>
        </w:rPr>
        <w:t>花</w:t>
      </w:r>
      <w:r>
        <w:rPr>
          <w:rFonts w:ascii="仿宋_GB2312" w:hAnsi="仿宋_GB2312" w:eastAsia="仿宋_GB2312" w:cs="仿宋_GB2312"/>
          <w:b w:val="0"/>
          <w:color w:val="auto"/>
          <w:sz w:val="32"/>
          <w:u w:val="none"/>
        </w:rPr>
        <w:t>秸秆粉碎还田残膜回收联合作业机，目前还处于研发阶段。发现的问题及原因：项目未执行完，主要原因是1、时间紧，完成招投标晚；2、机具研制难度较大。下一步改进措施： 针对</w:t>
      </w:r>
      <w:r>
        <w:rPr>
          <w:rFonts w:hint="eastAsia" w:ascii="仿宋_GB2312" w:hAnsi="仿宋_GB2312" w:eastAsia="仿宋_GB2312" w:cs="仿宋_GB2312"/>
          <w:b w:val="0"/>
          <w:color w:val="auto"/>
          <w:sz w:val="32"/>
          <w:u w:val="none"/>
          <w:lang w:eastAsia="zh-CN"/>
        </w:rPr>
        <w:t>花</w:t>
      </w:r>
      <w:r>
        <w:rPr>
          <w:rFonts w:ascii="仿宋_GB2312" w:hAnsi="仿宋_GB2312" w:eastAsia="仿宋_GB2312" w:cs="仿宋_GB2312"/>
          <w:b w:val="0"/>
          <w:color w:val="auto"/>
          <w:sz w:val="32"/>
          <w:u w:val="none"/>
        </w:rPr>
        <w:t>秸秆还田及残膜回收联合作业机需要攻克的技术难点难度高，环节多的情况，下一步工作中我单位将组织农机专业技术人员深入一线调研，为机具研发工作提供有效、真实的数据资料。</w:t>
      </w:r>
    </w:p>
    <w:p>
      <w:pPr>
        <w:spacing w:line="540" w:lineRule="exact"/>
        <w:ind w:left="-1" w:right="-1" w:firstLine="646"/>
        <w:jc w:val="left"/>
      </w:pPr>
      <w:r>
        <w:rPr>
          <w:rFonts w:ascii="仿宋_GB2312" w:hAnsi="仿宋_GB2312" w:eastAsia="仿宋_GB2312" w:cs="仿宋_GB2312"/>
          <w:b w:val="0"/>
          <w:color w:val="auto"/>
          <w:sz w:val="32"/>
          <w:u w:val="none"/>
        </w:rPr>
        <w:t>3、机电系列继续教育培训项目绩效自评综述：根据年初设定的绩效目标，该项目绩效自评得分为87.2分。项目全年预算数为1.8万元，执行数为1.61万元，完成预算的89.44%。主要产出和效果：全年培训继续教育1次，继续教育培训合格率达到90%，场地租用费0.3万元,讲课费1.25万元,继续教育人员持证上岗率达到90%,持续提高提高我区专业技术人员知识水平,专业技术人员继续教育学员满意度达到85%。发现的问题及原因：2018年本项目绩效目标全部达成，不存在未完成原因分析。下一步改进措施： 无建议。</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213（类）01（款）06（项）指：科技转化与推广服务。221（类）02（款）01（项）指：住房公积金。208（类）05（款）05（项）指：机关事业单位基本养老保险缴费支出。213（类）01（款）22（项）指：农业生产支持补贴。</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2DD0D97"/>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283</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2021-05-21T08:47:39Z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