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新疆喀什地区国土资源规划院2019年度部门决算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受地区国土资源局委托，承担地区土地利用总体规划、矿产资源总体规划和土地整治工作；承担地区土地调查、1:1万基础测绘数据管理、国土资源数据库建设等工作；承担喀什地区土地、矿产资源窗口办文工作；承担国家、及自治区项目的土地确权划界变更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新疆喀什地区国土资源规划院2</w:t>
      </w:r>
      <w:r>
        <w:rPr>
          <w:rFonts w:ascii="仿宋_GB2312" w:eastAsia="仿宋_GB2312"/>
          <w:sz w:val="32"/>
          <w:szCs w:val="32"/>
        </w:rPr>
        <w:t>019</w:t>
      </w:r>
      <w:r>
        <w:rPr>
          <w:rFonts w:hint="eastAsia" w:ascii="仿宋_GB2312" w:eastAsia="仿宋_GB2312"/>
          <w:sz w:val="32"/>
          <w:szCs w:val="32"/>
        </w:rPr>
        <w:t>年度，实有人数37人，其中：在职人员25人，离休人员0人，退休人员12人。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从部门决算单位构成看，新疆喀什地区国土资源规划院部门决算包括：新疆喀什地区国土资源规划院决算。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2019年度本年收入866.50万元，与上年相比，减少49.78万元，下降5.43%，主要原因是：</w:t>
      </w:r>
      <w:r>
        <w:rPr>
          <w:rFonts w:hint="eastAsia" w:ascii="仿宋_GB2312" w:eastAsia="仿宋_GB2312"/>
          <w:color w:val="000000" w:themeColor="text1"/>
          <w:sz w:val="32"/>
          <w:szCs w:val="32"/>
          <w14:textFill>
            <w14:solidFill>
              <w14:schemeClr w14:val="tx1"/>
            </w14:solidFill>
          </w14:textFill>
        </w:rPr>
        <w:t>本年度土地利用总体规划项目、国土资源系统维护改造项目、土地整治规划项目减少，收入减少。</w:t>
      </w:r>
      <w:r>
        <w:rPr>
          <w:rFonts w:hint="eastAsia" w:ascii="仿宋_GB2312" w:eastAsia="仿宋_GB2312"/>
          <w:sz w:val="32"/>
          <w:szCs w:val="32"/>
        </w:rPr>
        <w:t>本年支出1,081.78万元，与上年相比，减少894.37万元，下降45.26%，主要原因是：</w:t>
      </w:r>
      <w:r>
        <w:rPr>
          <w:rFonts w:hint="eastAsia" w:ascii="仿宋_GB2312" w:eastAsia="仿宋_GB2312"/>
          <w:color w:val="000000" w:themeColor="text1"/>
          <w:sz w:val="32"/>
          <w:szCs w:val="32"/>
          <w14:textFill>
            <w14:solidFill>
              <w14:schemeClr w14:val="tx1"/>
            </w14:solidFill>
          </w14:textFill>
        </w:rPr>
        <w:t>本年度土地利用总体规划项目、国土资源系统维护改造项目、土地整治规划项目减少，支出减少。</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年度本年收入866.50万元，其中：财政拨款收入840.55万元，占97.01%；上级补助收入0万元，占0%；事业收入0万元，占0%；经营收入0万元，占0%；附属单位上缴收入0万元，占0%；其他收入25.94万元，占2.99%。</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2019年度本年支出1,081.78万元，其中：基本支出460.78万元，占42.59%；项目支出621万元，占57.41%；上缴上级支出0万元，占0%；经营支出0万元，占0%；对附属单位补助支出0万元，占0%。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840.55万元，与上年相比，增加591.26万元，增长237.18%，主要原因是：年中单位资金性质调整将其他收入调整为一般公共预算；财政拨款收入增加。财政拨款支出840.55万元，与上年相比，增加591.26万元，增长237.18%，主要原因是：</w:t>
      </w:r>
      <w:r>
        <w:rPr>
          <w:rFonts w:ascii="仿宋_GB2312" w:eastAsia="仿宋_GB2312"/>
          <w:sz w:val="32"/>
          <w:szCs w:val="32"/>
        </w:rPr>
        <w:t>年中单位资金性质调整将其他收入调整为一般公共预算；财政拨款收入增加，对应一般公共预算支出增加。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266.12</w:t>
      </w:r>
      <w:r>
        <w:rPr>
          <w:rFonts w:hint="eastAsia" w:ascii="仿宋_GB2312" w:eastAsia="仿宋_GB2312"/>
          <w:sz w:val="32"/>
          <w:szCs w:val="32"/>
        </w:rPr>
        <w:t>万元，决算数840.55万元</w:t>
      </w:r>
      <w:r>
        <w:rPr>
          <w:rFonts w:ascii="仿宋_GB2312" w:eastAsia="仿宋_GB2312"/>
          <w:color w:val="000000" w:themeColor="text1"/>
          <w:sz w:val="32"/>
          <w:szCs w:val="32"/>
          <w14:textFill>
            <w14:solidFill>
              <w14:schemeClr w14:val="tx1"/>
            </w14:solidFill>
          </w14:textFill>
        </w:rPr>
        <w:t>，预决算差异率215.85%，主要原因是：年中单位资金性质调整将其他收入调整为一般公共预算；财政拨款收入增加。</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266.12</w:t>
      </w:r>
      <w:r>
        <w:rPr>
          <w:rFonts w:hint="eastAsia" w:ascii="仿宋_GB2312" w:eastAsia="仿宋_GB2312"/>
          <w:sz w:val="32"/>
          <w:szCs w:val="32"/>
        </w:rPr>
        <w:t>万元，决算数840.55万元</w:t>
      </w:r>
      <w:r>
        <w:rPr>
          <w:rFonts w:ascii="仿宋_GB2312" w:eastAsia="仿宋_GB2312"/>
          <w:color w:val="000000" w:themeColor="text1"/>
          <w:sz w:val="32"/>
          <w:szCs w:val="32"/>
          <w14:textFill>
            <w14:solidFill>
              <w14:schemeClr w14:val="tx1"/>
            </w14:solidFill>
          </w14:textFill>
        </w:rPr>
        <w:t>，预决算差异率215.85%，主要原因是：年中单位资金性质调整将其他收入调整为一般公共预算；财政拨款收入增加，对应一般公共预算支出增加。</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年度一般公共预算财政拨款支出840.55万元。按功能分类科目项级科目公开，其中：</w:t>
      </w:r>
    </w:p>
    <w:p>
      <w:pPr>
        <w:rPr>
          <w:rFonts w:ascii="仿宋_GB2312" w:eastAsia="仿宋_GB2312"/>
          <w:sz w:val="32"/>
          <w:szCs w:val="32"/>
        </w:rPr>
      </w:pPr>
      <w:r>
        <w:rPr>
          <w:rFonts w:ascii="仿宋_GB2312" w:eastAsia="仿宋_GB2312"/>
          <w:sz w:val="32"/>
          <w:szCs w:val="32"/>
        </w:rPr>
        <w:t xml:space="preserve">   2080505机关事业单位基本养老保险缴费支出22.23万元；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2080506机关事业单位职业年金缴费支出6.46万元；</w:t>
      </w:r>
      <w:r>
        <w:rPr>
          <w:rFonts w:ascii="仿宋_GB2312" w:eastAsia="仿宋_GB2312"/>
          <w:sz w:val="32"/>
          <w:szCs w:val="32"/>
        </w:rPr>
        <w:br w:type="textWrapping"/>
      </w:r>
      <w:r>
        <w:rPr>
          <w:rFonts w:ascii="仿宋_GB2312" w:eastAsia="仿宋_GB2312"/>
          <w:sz w:val="32"/>
          <w:szCs w:val="32"/>
        </w:rPr>
        <w:t xml:space="preserve">   2200105土地资源调查支出231.27万元；</w:t>
      </w:r>
      <w:r>
        <w:rPr>
          <w:rFonts w:ascii="仿宋_GB2312" w:eastAsia="仿宋_GB2312"/>
          <w:sz w:val="32"/>
          <w:szCs w:val="32"/>
        </w:rPr>
        <w:br w:type="textWrapping"/>
      </w:r>
      <w:r>
        <w:rPr>
          <w:rFonts w:ascii="仿宋_GB2312" w:eastAsia="仿宋_GB2312"/>
          <w:sz w:val="32"/>
          <w:szCs w:val="32"/>
        </w:rPr>
        <w:t xml:space="preserve">   2200109自然资源调查支出174.44万元；</w:t>
      </w:r>
      <w:r>
        <w:rPr>
          <w:rFonts w:ascii="仿宋_GB2312" w:eastAsia="仿宋_GB2312"/>
          <w:sz w:val="32"/>
          <w:szCs w:val="32"/>
        </w:rPr>
        <w:br w:type="textWrapping"/>
      </w:r>
      <w:r>
        <w:rPr>
          <w:rFonts w:ascii="仿宋_GB2312" w:eastAsia="仿宋_GB2312"/>
          <w:sz w:val="32"/>
          <w:szCs w:val="32"/>
        </w:rPr>
        <w:t xml:space="preserve">   2200150事业运行支出382.98万元；</w:t>
      </w:r>
      <w:r>
        <w:rPr>
          <w:rFonts w:ascii="仿宋_GB2312" w:eastAsia="仿宋_GB2312"/>
          <w:sz w:val="32"/>
          <w:szCs w:val="32"/>
        </w:rPr>
        <w:br w:type="textWrapping"/>
      </w:r>
      <w:r>
        <w:rPr>
          <w:rFonts w:ascii="仿宋_GB2312" w:eastAsia="仿宋_GB2312"/>
          <w:sz w:val="32"/>
          <w:szCs w:val="32"/>
        </w:rPr>
        <w:t xml:space="preserve">   2210201住房公积金支出23.17万元。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年度一般公共预算财政拨款基本支出434.84万元，其中：</w:t>
      </w:r>
    </w:p>
    <w:p>
      <w:pPr>
        <w:ind w:firstLine="640" w:firstLineChars="200"/>
        <w:rPr>
          <w:rFonts w:ascii="仿宋_GB2312" w:eastAsia="仿宋_GB2312"/>
          <w:sz w:val="32"/>
          <w:szCs w:val="32"/>
        </w:rPr>
      </w:pPr>
      <w:r>
        <w:rPr>
          <w:rFonts w:hint="eastAsia" w:ascii="仿宋_GB2312" w:eastAsia="仿宋_GB2312"/>
          <w:sz w:val="32"/>
          <w:szCs w:val="32"/>
        </w:rPr>
        <w:t>人员经费420.85万元，包括：基本工资、津贴补贴、奖金、机关事业单位基本养老保险缴费、职业年金缴费、职工基本医疗保险缴费、其他社会保障缴费、住房公积金、其他工资福利支出、离休费、退休费、抚恤金、奖励金。</w:t>
      </w:r>
    </w:p>
    <w:p>
      <w:pPr>
        <w:ind w:firstLine="640" w:firstLineChars="200"/>
        <w:rPr>
          <w:rFonts w:ascii="仿宋_GB2312" w:eastAsia="仿宋_GB2312"/>
          <w:sz w:val="32"/>
          <w:szCs w:val="32"/>
        </w:rPr>
      </w:pPr>
      <w:r>
        <w:rPr>
          <w:rFonts w:hint="eastAsia" w:ascii="仿宋_GB2312" w:eastAsia="仿宋_GB2312"/>
          <w:sz w:val="32"/>
          <w:szCs w:val="32"/>
        </w:rPr>
        <w:t>公用经费13.99万元，包括：办公费、邮电费、取暖费、差旅费、维修（护）费、公务用车运行维护费、其他交通费用、其他商品和服务支出。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年度一般公共预算“三公”经费支出决算2.83万元，比上年增加2.83万元，增长100%，主要原因是</w:t>
      </w:r>
      <w:r>
        <w:rPr>
          <w:rFonts w:hint="eastAsia" w:ascii="仿宋_GB2312" w:eastAsia="仿宋_GB2312"/>
          <w:sz w:val="32"/>
          <w:szCs w:val="32"/>
          <w:lang w:eastAsia="zh-CN"/>
        </w:rPr>
        <w:t>：</w:t>
      </w:r>
      <w:r>
        <w:rPr>
          <w:rFonts w:hint="eastAsia" w:ascii="仿宋_GB2312" w:eastAsia="仿宋_GB2312"/>
          <w:sz w:val="32"/>
          <w:szCs w:val="32"/>
        </w:rPr>
        <w:t>年中单位资金性质调整将其他收入调整为一般公共预算，公务用车运行维护费增加。其中，因公出国（境）费支出0万元，占0%，比上年增加0万元，增长0%，主要原因是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；公务用车购置及运行维护费支出2.83万元，占100%，比上年增加2.83万元，增长100%，主要原因是</w:t>
      </w:r>
      <w:r>
        <w:rPr>
          <w:rFonts w:hint="eastAsia" w:ascii="仿宋_GB2312" w:eastAsia="仿宋_GB2312"/>
          <w:sz w:val="32"/>
          <w:szCs w:val="32"/>
          <w:lang w:eastAsia="zh-CN"/>
        </w:rPr>
        <w:t>：</w:t>
      </w:r>
      <w:r>
        <w:rPr>
          <w:rFonts w:hint="eastAsia" w:ascii="仿宋_GB2312" w:eastAsia="仿宋_GB2312"/>
          <w:sz w:val="32"/>
          <w:szCs w:val="32"/>
        </w:rPr>
        <w:t>年中单位资金性质调整将其他收入调整为一般公共预算，公务用车运行维护费增加；公务接待费支出0万元，占0%，比上年增加0万元，增长0%，主要原因是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bookmarkStart w:id="54" w:name="_GoBack"/>
      <w:bookmarkEnd w:id="54"/>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2.83万元，其中，公务用车购置费0万元，公务用车运行维护费2.83万元。公务用车运行维护费开支内容包括车辆保险940.20元，车辆审验费280.00元，车辆燃油费11043.06元。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w:t>
      </w:r>
      <w:r>
        <w:rPr>
          <w:rFonts w:hint="eastAsia" w:ascii="仿宋_GB2312" w:eastAsia="仿宋_GB2312"/>
          <w:sz w:val="32"/>
          <w:szCs w:val="32"/>
          <w:lang w:eastAsia="zh-CN"/>
        </w:rPr>
        <w:t>：</w:t>
      </w:r>
      <w:r>
        <w:rPr>
          <w:rFonts w:hint="eastAsia" w:ascii="仿宋_GB2312" w:eastAsia="仿宋_GB2312"/>
          <w:sz w:val="32"/>
          <w:szCs w:val="32"/>
        </w:rPr>
        <w:t>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2.83</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2.83</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lang w:val="en-US" w:eastAsia="zh-CN"/>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2.83</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2.83</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eastAsia="仿宋_GB2312"/>
          <w:color w:val="000000" w:themeColor="text1"/>
          <w:sz w:val="32"/>
          <w:szCs w:val="32"/>
          <w:lang w:val="en-US" w:eastAsia="zh-CN"/>
          <w14:textFill>
            <w14:solidFill>
              <w14:schemeClr w14:val="tx1"/>
            </w14:solidFill>
          </w14:textFill>
        </w:rPr>
        <w:t>厉行节约，严格按照预算执行</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新疆喀什地区国土资源规划院日常公用经费13.99万元，比上年增加10.92万元，增长355.7%，主要原因是年中单位资金性质调整将其他收入调整为一般公共预算；财政拨款收入增加。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年度政府采购支出总额45.48万元，其中：政府采购货物支出5.13万元、政府采购工程支出0万元、政府采购服务支出40.35万元。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授予中小企业合同金额45.48万元，占政府采购支出总额的100%，其中：授予小微企业合同金额45.48万元，占政府采购支出总额的100%。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年12月31日，单位共有房屋97（平方米），价值2.89万元。车辆1辆，价值10.69万元，其中：副部（省）级及以上领导用车0辆、主要领导干部用车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开展测绘工作的业务用车；</w:t>
      </w:r>
      <w:r>
        <w:rPr>
          <w:rFonts w:hint="eastAsia" w:ascii="仿宋_GB2312" w:eastAsia="仿宋_GB2312"/>
          <w:sz w:val="32"/>
          <w:szCs w:val="32"/>
        </w:rPr>
        <w:t>单位价值50万元以上通用设备2台（套）、单位价值100万元以上专用设备0台（套）。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4个，共涉及资金620.99万元。预算绩效管理取得的成效：一是部门年度任务在预算资金额度内完成，并通过规范的招投标及严格的资金管理及项目管理及其他创新的管理措施实现了资金的节约。三公经费是在预算范围内开支，开支范围较上年的变化，无节约；二是各项工作计划是按预期计划按时完成，效益是按预期时间产生；三是预期的经济效益、社会效益、可持续的影响是产生，相关人员的满意度很好。发现的问题及原因：通过预算绩效管理，发现了工作中存在的不足，前期资金使用因我单位资金下达不在年初1月，年中调整资金性质原因等未按期支付，导致了资金滞缓，影响了项目的进度，造成了部分资金的浪费。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ubw3JYBc2Ec20k88hLg6azjQNkk=" w:salt="5B1Jg1reuNWRbO5MexicM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5604B78"/>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1</TotalTime>
  <ScaleCrop>false</ScaleCrop>
  <LinksUpToDate>false</LinksUpToDate>
  <CharactersWithSpaces>6915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平</cp:lastModifiedBy>
  <dcterms:modified xsi:type="dcterms:W3CDTF">2020-09-10T08:26:33Z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