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新疆喀什地区住房和城乡建设局2019年度部门决算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1、承担规范和指导城乡保障性住房建设的责任。</w:t>
      </w:r>
      <w:r>
        <w:rPr>
          <w:rFonts w:hint="eastAsia" w:ascii="仿宋_GB2312" w:eastAsia="仿宋_GB2312"/>
          <w:sz w:val="32"/>
          <w:szCs w:val="32"/>
        </w:rPr>
        <w:br w:type="textWrapping"/>
      </w:r>
      <w:r>
        <w:rPr>
          <w:rFonts w:hint="eastAsia" w:ascii="仿宋_GB2312" w:eastAsia="仿宋_GB2312"/>
          <w:sz w:val="32"/>
          <w:szCs w:val="32"/>
        </w:rPr>
        <w:t xml:space="preserve">    2、承担推进住房制度改革的责任。拟订适合地区的住房政策，指导住房建设和住房制度改革；拟订地区住房建设规划并指导实施。</w:t>
      </w:r>
      <w:r>
        <w:rPr>
          <w:rFonts w:hint="eastAsia" w:ascii="仿宋_GB2312" w:eastAsia="仿宋_GB2312"/>
          <w:sz w:val="32"/>
          <w:szCs w:val="32"/>
        </w:rPr>
        <w:br w:type="textWrapping"/>
      </w:r>
      <w:r>
        <w:rPr>
          <w:rFonts w:hint="eastAsia" w:ascii="仿宋_GB2312" w:eastAsia="仿宋_GB2312"/>
          <w:sz w:val="32"/>
          <w:szCs w:val="32"/>
        </w:rPr>
        <w:t xml:space="preserve">    3、承担规范住房和城乡建设（人民防空）管理秩序的责任。</w:t>
      </w:r>
      <w:r>
        <w:rPr>
          <w:rFonts w:hint="eastAsia" w:ascii="仿宋_GB2312" w:eastAsia="仿宋_GB2312"/>
          <w:sz w:val="32"/>
          <w:szCs w:val="32"/>
        </w:rPr>
        <w:br w:type="textWrapping"/>
      </w:r>
      <w:r>
        <w:rPr>
          <w:rFonts w:hint="eastAsia" w:ascii="仿宋_GB2312" w:eastAsia="仿宋_GB2312"/>
          <w:sz w:val="32"/>
          <w:szCs w:val="32"/>
        </w:rPr>
        <w:t xml:space="preserve">    4、承担建立科学规范的住房和城乡建设地方标准体系的责任。</w:t>
      </w:r>
      <w:r>
        <w:rPr>
          <w:rFonts w:hint="eastAsia" w:ascii="仿宋_GB2312" w:eastAsia="仿宋_GB2312"/>
          <w:sz w:val="32"/>
          <w:szCs w:val="32"/>
        </w:rPr>
        <w:br w:type="textWrapping"/>
      </w:r>
      <w:r>
        <w:rPr>
          <w:rFonts w:hint="eastAsia" w:ascii="仿宋_GB2312" w:eastAsia="仿宋_GB2312"/>
          <w:sz w:val="32"/>
          <w:szCs w:val="32"/>
        </w:rPr>
        <w:t xml:space="preserve">    5、承担规范房地产市场秩序、监督管理房地产市场的责任。</w:t>
      </w:r>
      <w:r>
        <w:rPr>
          <w:rFonts w:hint="eastAsia" w:ascii="仿宋_GB2312" w:eastAsia="仿宋_GB2312"/>
          <w:sz w:val="32"/>
          <w:szCs w:val="32"/>
        </w:rPr>
        <w:br w:type="textWrapping"/>
      </w:r>
      <w:r>
        <w:rPr>
          <w:rFonts w:hint="eastAsia" w:ascii="仿宋_GB2312" w:eastAsia="仿宋_GB2312"/>
          <w:sz w:val="32"/>
          <w:szCs w:val="32"/>
        </w:rPr>
        <w:t xml:space="preserve">    6、监督管理地区建筑市场，规范各方主体行为。</w:t>
      </w:r>
      <w:r>
        <w:rPr>
          <w:rFonts w:hint="eastAsia" w:ascii="仿宋_GB2312" w:eastAsia="仿宋_GB2312"/>
          <w:sz w:val="32"/>
          <w:szCs w:val="32"/>
        </w:rPr>
        <w:br w:type="textWrapping"/>
      </w:r>
      <w:r>
        <w:rPr>
          <w:rFonts w:hint="eastAsia" w:ascii="仿宋_GB2312" w:eastAsia="仿宋_GB2312"/>
          <w:sz w:val="32"/>
          <w:szCs w:val="32"/>
        </w:rPr>
        <w:t xml:space="preserve">    7、拟订城市建设政策、规划并指导实施。</w:t>
      </w:r>
      <w:r>
        <w:rPr>
          <w:rFonts w:hint="eastAsia" w:ascii="仿宋_GB2312" w:eastAsia="仿宋_GB2312"/>
          <w:sz w:val="32"/>
          <w:szCs w:val="32"/>
        </w:rPr>
        <w:br w:type="textWrapping"/>
      </w:r>
      <w:r>
        <w:rPr>
          <w:rFonts w:hint="eastAsia" w:ascii="仿宋_GB2312" w:eastAsia="仿宋_GB2312"/>
          <w:sz w:val="32"/>
          <w:szCs w:val="32"/>
        </w:rPr>
        <w:t xml:space="preserve">    8、承担规范和指导地区村镇建设的责任。</w:t>
      </w:r>
      <w:r>
        <w:rPr>
          <w:rFonts w:hint="eastAsia" w:ascii="仿宋_GB2312" w:eastAsia="仿宋_GB2312"/>
          <w:sz w:val="32"/>
          <w:szCs w:val="32"/>
        </w:rPr>
        <w:br w:type="textWrapping"/>
      </w:r>
      <w:r>
        <w:rPr>
          <w:rFonts w:hint="eastAsia" w:ascii="仿宋_GB2312" w:eastAsia="仿宋_GB2312"/>
          <w:sz w:val="32"/>
          <w:szCs w:val="32"/>
        </w:rPr>
        <w:t xml:space="preserve">    9、承担建筑工程质量安全监管责任。</w:t>
      </w:r>
      <w:r>
        <w:rPr>
          <w:rFonts w:hint="eastAsia" w:ascii="仿宋_GB2312" w:eastAsia="仿宋_GB2312"/>
          <w:sz w:val="32"/>
          <w:szCs w:val="32"/>
        </w:rPr>
        <w:br w:type="textWrapping"/>
      </w:r>
      <w:r>
        <w:rPr>
          <w:rFonts w:hint="eastAsia" w:ascii="仿宋_GB2312" w:eastAsia="仿宋_GB2312"/>
          <w:sz w:val="32"/>
          <w:szCs w:val="32"/>
        </w:rPr>
        <w:t xml:space="preserve">    10、综合管理城乡建设抗震减灾工作。</w:t>
      </w:r>
      <w:r>
        <w:rPr>
          <w:rFonts w:hint="eastAsia" w:ascii="仿宋_GB2312" w:eastAsia="仿宋_GB2312"/>
          <w:sz w:val="32"/>
          <w:szCs w:val="32"/>
        </w:rPr>
        <w:br w:type="textWrapping"/>
      </w:r>
      <w:r>
        <w:rPr>
          <w:rFonts w:hint="eastAsia" w:ascii="仿宋_GB2312" w:eastAsia="仿宋_GB2312"/>
          <w:sz w:val="32"/>
          <w:szCs w:val="32"/>
        </w:rPr>
        <w:t xml:space="preserve">    11、承担推进建筑节能减排的责任。</w:t>
      </w:r>
      <w:r>
        <w:rPr>
          <w:rFonts w:hint="eastAsia" w:ascii="仿宋_GB2312" w:eastAsia="仿宋_GB2312"/>
          <w:sz w:val="32"/>
          <w:szCs w:val="32"/>
        </w:rPr>
        <w:br w:type="textWrapping"/>
      </w:r>
      <w:r>
        <w:rPr>
          <w:rFonts w:hint="eastAsia" w:ascii="仿宋_GB2312" w:eastAsia="仿宋_GB2312"/>
          <w:sz w:val="32"/>
          <w:szCs w:val="32"/>
        </w:rPr>
        <w:t xml:space="preserve">    12、负责住房公积金监督管理。13会同有关部门审批人民防空建设与城市建设相结合规划。</w:t>
      </w:r>
      <w:r>
        <w:rPr>
          <w:rFonts w:hint="eastAsia" w:ascii="仿宋_GB2312" w:eastAsia="仿宋_GB2312"/>
          <w:sz w:val="32"/>
          <w:szCs w:val="32"/>
        </w:rPr>
        <w:br w:type="textWrapping"/>
      </w:r>
      <w:r>
        <w:rPr>
          <w:rFonts w:hint="eastAsia" w:ascii="仿宋_GB2312" w:eastAsia="仿宋_GB2312"/>
          <w:sz w:val="32"/>
          <w:szCs w:val="32"/>
        </w:rPr>
        <w:t xml:space="preserve">    14、制定和指导人民防空组织指挥体系建设；拟定防空袭方案和各项保障方案并组织实施；负责地区人民防空经费和国有资产管理；编制人民防空经费预决算。</w:t>
      </w:r>
      <w:r>
        <w:rPr>
          <w:rFonts w:hint="eastAsia" w:ascii="仿宋_GB2312" w:eastAsia="仿宋_GB2312"/>
          <w:sz w:val="32"/>
          <w:szCs w:val="32"/>
        </w:rPr>
        <w:br w:type="textWrapping"/>
      </w:r>
      <w:r>
        <w:rPr>
          <w:rFonts w:hint="eastAsia" w:ascii="仿宋_GB2312" w:eastAsia="仿宋_GB2312"/>
          <w:sz w:val="32"/>
          <w:szCs w:val="32"/>
        </w:rPr>
        <w:t xml:space="preserve">    15、对辖区内城市管理和执法工作的业务指导、组织协调、监督检查和考核评价。</w:t>
      </w:r>
      <w:r>
        <w:rPr>
          <w:rFonts w:hint="eastAsia" w:ascii="仿宋_GB2312" w:eastAsia="仿宋_GB2312"/>
          <w:sz w:val="32"/>
          <w:szCs w:val="32"/>
        </w:rPr>
        <w:br w:type="textWrapping"/>
      </w:r>
      <w:r>
        <w:rPr>
          <w:rFonts w:hint="eastAsia" w:ascii="仿宋_GB2312" w:eastAsia="仿宋_GB2312"/>
          <w:sz w:val="32"/>
          <w:szCs w:val="32"/>
        </w:rPr>
        <w:t xml:space="preserve">    16、开展住房和城乡建设方面的国际交流与合作。</w:t>
      </w:r>
      <w:r>
        <w:rPr>
          <w:rFonts w:hint="eastAsia" w:ascii="仿宋_GB2312" w:eastAsia="仿宋_GB2312"/>
          <w:sz w:val="32"/>
          <w:szCs w:val="32"/>
        </w:rPr>
        <w:br w:type="textWrapping"/>
      </w:r>
      <w:r>
        <w:rPr>
          <w:rFonts w:hint="eastAsia" w:ascii="仿宋_GB2312" w:eastAsia="仿宋_GB2312"/>
          <w:sz w:val="32"/>
          <w:szCs w:val="32"/>
        </w:rPr>
        <w:t xml:space="preserve">    17、完成地委、行署交办的其他任务。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新疆喀什地区住房和城乡建设局2</w:t>
      </w:r>
      <w:r>
        <w:rPr>
          <w:rFonts w:ascii="仿宋_GB2312" w:eastAsia="仿宋_GB2312"/>
          <w:sz w:val="32"/>
          <w:szCs w:val="32"/>
        </w:rPr>
        <w:t>019</w:t>
      </w:r>
      <w:r>
        <w:rPr>
          <w:rFonts w:hint="eastAsia" w:ascii="仿宋_GB2312" w:eastAsia="仿宋_GB2312"/>
          <w:sz w:val="32"/>
          <w:szCs w:val="32"/>
        </w:rPr>
        <w:t>年度，实有人数134人，其中：在职人员93人，离休人员0人，退休人员41人。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从部门决算单位构成看，新疆喀什地区住房和城乡建设局部门决算包括：新疆喀什地区住房和城乡建设局决算。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2019年度本年收入1,303.85万元，与上年相比，增加278.17万元，增长27.12%，主要原因是：</w:t>
      </w:r>
      <w:r>
        <w:rPr>
          <w:rFonts w:hint="eastAsia" w:ascii="仿宋_GB2312" w:eastAsia="仿宋_GB2312"/>
          <w:color w:val="000000" w:themeColor="text1"/>
          <w:sz w:val="32"/>
          <w:szCs w:val="32"/>
        </w:rPr>
        <w:t>因单位改制，工程项目、建设规划编制经费资金增加。</w:t>
      </w:r>
      <w:r>
        <w:rPr>
          <w:rFonts w:hint="eastAsia" w:ascii="仿宋_GB2312" w:eastAsia="仿宋_GB2312"/>
          <w:sz w:val="32"/>
          <w:szCs w:val="32"/>
        </w:rPr>
        <w:t>本年支出1,295.15万元，与上年相比，增加300.32万元，增长30.19%，主要原因是：</w:t>
      </w:r>
      <w:r>
        <w:rPr>
          <w:rFonts w:hint="eastAsia" w:ascii="仿宋_GB2312" w:eastAsia="仿宋_GB2312"/>
          <w:color w:val="000000" w:themeColor="text1"/>
          <w:sz w:val="32"/>
          <w:szCs w:val="32"/>
        </w:rPr>
        <w:t>因涉改单位并入，建设规划编制经费项目资金支出增加。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年度本年收入1,303.85万元，其中：财政拨款收入1,268.85万元，占97.32%；上级补助收入0万元，占0%；事业收入0万元，占0%；经营收入0万元，占0%；附属单位上缴收入0万元，占0%；其他收入35万元，占2.68%。</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2019年度本年支出1,295.15万元，其中：基本支出1,118.67万元，占86.37%；项目支出176.48万元，占13.63%；上缴上级支出0万元，占0%；经营支出0万元，占0%；对附属单位补助支出0万元，占0%。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2019年度财政拨款收入1,268.85万元，与上年相比，增加263.17万元，增长26.17%，主要原因是：</w:t>
      </w:r>
      <w:r>
        <w:rPr>
          <w:rFonts w:hint="eastAsia" w:ascii="仿宋_GB2312" w:eastAsia="仿宋_GB2312"/>
          <w:color w:val="000000" w:themeColor="text1"/>
          <w:sz w:val="32"/>
          <w:szCs w:val="32"/>
        </w:rPr>
        <w:t>因单位改制，工程项目</w:t>
      </w:r>
      <w:r>
        <w:rPr>
          <w:rFonts w:hint="eastAsia" w:ascii="仿宋_GB2312" w:eastAsia="仿宋_GB2312"/>
          <w:sz w:val="32"/>
          <w:szCs w:val="32"/>
        </w:rPr>
        <w:t>、建设规划编制经费资金增加。财政拨款支出1,279.70万元，与上年相比，增加284.87万元，增长28.64%，主要原因是：</w:t>
      </w:r>
      <w:r>
        <w:rPr>
          <w:rFonts w:hint="eastAsia" w:ascii="仿宋_GB2312" w:eastAsia="仿宋_GB2312"/>
          <w:color w:val="000000" w:themeColor="text1"/>
          <w:sz w:val="32"/>
          <w:szCs w:val="32"/>
        </w:rPr>
        <w:t>因单位改制，工程项目</w:t>
      </w:r>
      <w:r>
        <w:rPr>
          <w:rFonts w:hint="eastAsia" w:ascii="仿宋_GB2312" w:eastAsia="仿宋_GB2312"/>
          <w:sz w:val="32"/>
          <w:szCs w:val="32"/>
        </w:rPr>
        <w:t>、</w:t>
      </w:r>
      <w:r>
        <w:rPr>
          <w:rFonts w:ascii="仿宋_GB2312" w:eastAsia="仿宋_GB2312"/>
          <w:sz w:val="32"/>
          <w:szCs w:val="32"/>
        </w:rPr>
        <w:t>建设规划编制经费项目资金支出增加。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rPr>
        <w:t>1,210.78</w:t>
      </w:r>
      <w:r>
        <w:rPr>
          <w:rFonts w:hint="eastAsia" w:ascii="仿宋_GB2312" w:eastAsia="仿宋_GB2312"/>
          <w:sz w:val="32"/>
          <w:szCs w:val="32"/>
        </w:rPr>
        <w:t>万元，决算数1,268.85万元</w:t>
      </w:r>
      <w:r>
        <w:rPr>
          <w:rFonts w:ascii="仿宋_GB2312" w:eastAsia="仿宋_GB2312"/>
          <w:color w:val="000000" w:themeColor="text1"/>
          <w:sz w:val="32"/>
          <w:szCs w:val="32"/>
        </w:rPr>
        <w:t>，预决算差异率4.8%，主要原因是：因涉改</w:t>
      </w:r>
      <w:r>
        <w:rPr>
          <w:rFonts w:hint="eastAsia" w:ascii="仿宋_GB2312" w:eastAsia="仿宋_GB2312"/>
          <w:color w:val="000000" w:themeColor="text1"/>
          <w:sz w:val="32"/>
          <w:szCs w:val="32"/>
        </w:rPr>
        <w:t>单位</w:t>
      </w:r>
      <w:r>
        <w:rPr>
          <w:rFonts w:ascii="仿宋_GB2312" w:eastAsia="仿宋_GB2312"/>
          <w:color w:val="000000" w:themeColor="text1"/>
          <w:sz w:val="32"/>
          <w:szCs w:val="32"/>
        </w:rPr>
        <w:t>并入，工程项目、建设规划编制经费资金增加。</w:t>
      </w:r>
      <w:r>
        <w:rPr>
          <w:rFonts w:hint="eastAsia" w:ascii="仿宋_GB2312" w:eastAsia="仿宋_GB2312"/>
          <w:sz w:val="32"/>
          <w:szCs w:val="32"/>
        </w:rPr>
        <w:t>财政拨款支出年初预算数</w:t>
      </w:r>
      <w:r>
        <w:rPr>
          <w:rFonts w:ascii="仿宋_GB2312" w:eastAsia="仿宋_GB2312"/>
          <w:color w:val="000000" w:themeColor="text1"/>
          <w:sz w:val="32"/>
          <w:szCs w:val="32"/>
        </w:rPr>
        <w:t>1,739.93</w:t>
      </w:r>
      <w:r>
        <w:rPr>
          <w:rFonts w:hint="eastAsia" w:ascii="仿宋_GB2312" w:eastAsia="仿宋_GB2312"/>
          <w:sz w:val="32"/>
          <w:szCs w:val="32"/>
        </w:rPr>
        <w:t>万元，决算数1,279.70万元</w:t>
      </w:r>
      <w:r>
        <w:rPr>
          <w:rFonts w:ascii="仿宋_GB2312" w:eastAsia="仿宋_GB2312"/>
          <w:color w:val="000000" w:themeColor="text1"/>
          <w:sz w:val="32"/>
          <w:szCs w:val="32"/>
        </w:rPr>
        <w:t>，预决算差异率-26.45%，主要原因是：年初支出预算含2018年专项项目结转预算，2019年实际未执行。</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年度一般公共预算财政拨款支出1,279.70万元。按功能分类科目项级科目公开，其中：</w:t>
      </w:r>
    </w:p>
    <w:p>
      <w:pPr>
        <w:rPr>
          <w:rFonts w:ascii="仿宋_GB2312" w:eastAsia="仿宋_GB2312"/>
          <w:sz w:val="32"/>
          <w:szCs w:val="32"/>
        </w:rPr>
      </w:pPr>
      <w:r>
        <w:rPr>
          <w:rFonts w:ascii="仿宋_GB2312" w:eastAsia="仿宋_GB2312"/>
          <w:sz w:val="32"/>
          <w:szCs w:val="32"/>
        </w:rPr>
        <w:t xml:space="preserve">   2010301行政运行支出45.39万元；</w:t>
      </w:r>
      <w:r>
        <w:rPr>
          <w:rFonts w:ascii="仿宋_GB2312" w:eastAsia="仿宋_GB2312"/>
          <w:sz w:val="32"/>
          <w:szCs w:val="32"/>
        </w:rPr>
        <w:br w:type="textWrapping"/>
      </w:r>
      <w:r>
        <w:rPr>
          <w:rFonts w:ascii="仿宋_GB2312" w:eastAsia="仿宋_GB2312"/>
          <w:sz w:val="32"/>
          <w:szCs w:val="32"/>
        </w:rPr>
        <w:t xml:space="preserve">   2050201学前教育支出1.30万元；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2080505机关事业单位基本养老保险缴费支出95.27万元；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2080506机关事业单位职业年金缴费支出26.01万元；</w:t>
      </w:r>
      <w:r>
        <w:rPr>
          <w:rFonts w:ascii="仿宋_GB2312" w:eastAsia="仿宋_GB2312"/>
          <w:sz w:val="32"/>
          <w:szCs w:val="32"/>
        </w:rPr>
        <w:br w:type="textWrapping"/>
      </w:r>
      <w:r>
        <w:rPr>
          <w:rFonts w:ascii="仿宋_GB2312" w:eastAsia="仿宋_GB2312"/>
          <w:sz w:val="32"/>
          <w:szCs w:val="32"/>
        </w:rPr>
        <w:t xml:space="preserve">   2120101行政运行支出883.26万元；</w:t>
      </w:r>
      <w:r>
        <w:rPr>
          <w:rFonts w:ascii="仿宋_GB2312" w:eastAsia="仿宋_GB2312"/>
          <w:sz w:val="32"/>
          <w:szCs w:val="32"/>
        </w:rPr>
        <w:br w:type="textWrapping"/>
      </w:r>
      <w:r>
        <w:rPr>
          <w:rFonts w:ascii="仿宋_GB2312" w:eastAsia="仿宋_GB2312"/>
          <w:sz w:val="32"/>
          <w:szCs w:val="32"/>
        </w:rPr>
        <w:t xml:space="preserve">   2120102一般行政管理事务支出2.05万元；</w:t>
      </w:r>
      <w:r>
        <w:rPr>
          <w:rFonts w:ascii="仿宋_GB2312" w:eastAsia="仿宋_GB2312"/>
          <w:sz w:val="32"/>
          <w:szCs w:val="32"/>
        </w:rPr>
        <w:br w:type="textWrapping"/>
      </w:r>
      <w:r>
        <w:rPr>
          <w:rFonts w:ascii="仿宋_GB2312" w:eastAsia="仿宋_GB2312"/>
          <w:sz w:val="32"/>
          <w:szCs w:val="32"/>
        </w:rPr>
        <w:t xml:space="preserve">   2120201城乡社区规划与管理支出107.98万元；</w:t>
      </w:r>
      <w:r>
        <w:rPr>
          <w:rFonts w:ascii="仿宋_GB2312" w:eastAsia="仿宋_GB2312"/>
          <w:sz w:val="32"/>
          <w:szCs w:val="32"/>
        </w:rPr>
        <w:br w:type="textWrapping"/>
      </w:r>
      <w:r>
        <w:rPr>
          <w:rFonts w:ascii="仿宋_GB2312" w:eastAsia="仿宋_GB2312"/>
          <w:sz w:val="32"/>
          <w:szCs w:val="32"/>
        </w:rPr>
        <w:t xml:space="preserve">   2120601建设市场管理与监督支出10万元；</w:t>
      </w:r>
      <w:r>
        <w:rPr>
          <w:rFonts w:ascii="仿宋_GB2312" w:eastAsia="仿宋_GB2312"/>
          <w:sz w:val="32"/>
          <w:szCs w:val="32"/>
        </w:rPr>
        <w:br w:type="textWrapping"/>
      </w:r>
      <w:r>
        <w:rPr>
          <w:rFonts w:ascii="仿宋_GB2312" w:eastAsia="仿宋_GB2312"/>
          <w:sz w:val="32"/>
          <w:szCs w:val="32"/>
        </w:rPr>
        <w:t xml:space="preserve">   2210201住房公积金支出67.45万元；</w:t>
      </w:r>
      <w:r>
        <w:rPr>
          <w:rFonts w:ascii="仿宋_GB2312" w:eastAsia="仿宋_GB2312"/>
          <w:sz w:val="32"/>
          <w:szCs w:val="32"/>
        </w:rPr>
        <w:br w:type="textWrapping"/>
      </w:r>
      <w:r>
        <w:rPr>
          <w:rFonts w:ascii="仿宋_GB2312" w:eastAsia="仿宋_GB2312"/>
          <w:sz w:val="32"/>
          <w:szCs w:val="32"/>
        </w:rPr>
        <w:t xml:space="preserve">   2299901其他支出41万元。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年度一般公共预算财政拨款基本支出1,118.67万元，其中：</w:t>
      </w:r>
    </w:p>
    <w:p>
      <w:pPr>
        <w:ind w:firstLine="640" w:firstLineChars="200"/>
        <w:rPr>
          <w:rFonts w:ascii="仿宋_GB2312" w:eastAsia="仿宋_GB2312"/>
          <w:sz w:val="32"/>
          <w:szCs w:val="32"/>
        </w:rPr>
      </w:pPr>
      <w:r>
        <w:rPr>
          <w:rFonts w:hint="eastAsia" w:ascii="仿宋_GB2312" w:eastAsia="仿宋_GB2312"/>
          <w:sz w:val="32"/>
          <w:szCs w:val="32"/>
        </w:rPr>
        <w:t>人员经费1,068.16万元，包括：基本工资、津贴补贴、奖金、机关事业单位基本养老保险缴费、职业年金缴费、职工基本医疗保险缴费、公务员医疗补助缴费、其他社会保障缴费、住房公积金、退休费、生活补助、奖励金、其他对个人和家庭的补助。</w:t>
      </w:r>
    </w:p>
    <w:p>
      <w:pPr>
        <w:ind w:firstLine="640" w:firstLineChars="200"/>
        <w:rPr>
          <w:rFonts w:ascii="仿宋_GB2312" w:eastAsia="仿宋_GB2312"/>
          <w:sz w:val="32"/>
          <w:szCs w:val="32"/>
        </w:rPr>
      </w:pPr>
      <w:r>
        <w:rPr>
          <w:rFonts w:hint="eastAsia" w:ascii="仿宋_GB2312" w:eastAsia="仿宋_GB2312"/>
          <w:sz w:val="32"/>
          <w:szCs w:val="32"/>
        </w:rPr>
        <w:t>公用经费50.51万元，包括：办公费、印刷费、咨询费、手续费、邮电费、取暖费、差旅费、公务用车运行维护费、其他交通费用、其他商品和服务支出</w:t>
      </w:r>
      <w:r>
        <w:rPr>
          <w:rFonts w:hint="eastAsia" w:ascii="仿宋_GB2312" w:eastAsia="仿宋_GB2312"/>
          <w:sz w:val="32"/>
          <w:szCs w:val="32"/>
          <w:lang w:eastAsia="zh-CN"/>
        </w:rPr>
        <w:t>、办公设备购置</w:t>
      </w:r>
      <w:r>
        <w:rPr>
          <w:rFonts w:hint="eastAsia" w:ascii="仿宋_GB2312" w:eastAsia="仿宋_GB2312"/>
          <w:sz w:val="32"/>
          <w:szCs w:val="32"/>
        </w:rPr>
        <w:t>。</w:t>
      </w:r>
      <w:bookmarkStart w:id="54" w:name="_GoBack"/>
      <w:bookmarkEnd w:id="54"/>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13.43万元，比上年减少1.27万元，降低8.64%，主要原因是：车辆减少，涉改单位并入2辆车，调出2辆车，报废1辆车。其中，因公出国（境）费支出0万元，占0%，比上年增加0万元，增长0%，主要原因是：与上年相比无变动，与上年一致；公务用车购置及运行维护费支出13.43万元，占100%，比上年减少1.27万元，降低8.64%，主要原因是：车辆减少，涉改单位并入2辆车，调出2辆车，报废1辆车；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13.43万元，其中，公务用车购置费0万元，公务用车运行维护费13.43万元。公务用车运行维护费开支内容包括汽车油料、保险费、维护费、过路费。公务用车购置数0辆，公务用车保有量8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rPr>
        <w:t>13.50</w:t>
      </w:r>
      <w:r>
        <w:rPr>
          <w:rFonts w:hint="eastAsia" w:ascii="仿宋_GB2312" w:eastAsia="仿宋_GB2312"/>
          <w:sz w:val="32"/>
          <w:szCs w:val="32"/>
        </w:rPr>
        <w:t>万元，决算数</w:t>
      </w:r>
      <w:r>
        <w:rPr>
          <w:rFonts w:hint="eastAsia" w:ascii="仿宋_GB2312" w:eastAsia="仿宋_GB2312"/>
          <w:color w:val="000000" w:themeColor="text1"/>
          <w:sz w:val="32"/>
          <w:szCs w:val="32"/>
        </w:rPr>
        <w:t>13.43</w:t>
      </w:r>
      <w:r>
        <w:rPr>
          <w:rFonts w:hint="eastAsia" w:ascii="仿宋_GB2312" w:eastAsia="仿宋_GB2312"/>
          <w:sz w:val="32"/>
          <w:szCs w:val="32"/>
        </w:rPr>
        <w:t>万元</w:t>
      </w:r>
      <w:r>
        <w:rPr>
          <w:rFonts w:ascii="仿宋_GB2312" w:eastAsia="仿宋_GB2312"/>
          <w:color w:val="000000" w:themeColor="text1"/>
          <w:sz w:val="32"/>
          <w:szCs w:val="32"/>
        </w:rPr>
        <w:t>，预决算差异率-0.52%，主要原因是：车辆减少</w:t>
      </w:r>
      <w:r>
        <w:rPr>
          <w:rFonts w:hint="eastAsia" w:ascii="仿宋_GB2312" w:eastAsia="仿宋_GB2312"/>
          <w:color w:val="000000" w:themeColor="text1"/>
          <w:sz w:val="32"/>
          <w:szCs w:val="32"/>
        </w:rPr>
        <w:t>,</w:t>
      </w:r>
      <w:r>
        <w:rPr>
          <w:rFonts w:ascii="仿宋_GB2312" w:eastAsia="仿宋_GB2312"/>
          <w:color w:val="000000" w:themeColor="text1"/>
          <w:sz w:val="32"/>
          <w:szCs w:val="32"/>
        </w:rPr>
        <w:t>涉改</w:t>
      </w:r>
      <w:r>
        <w:rPr>
          <w:rFonts w:hint="eastAsia" w:ascii="仿宋_GB2312" w:eastAsia="仿宋_GB2312"/>
          <w:color w:val="000000" w:themeColor="text1"/>
          <w:sz w:val="32"/>
          <w:szCs w:val="32"/>
        </w:rPr>
        <w:t>单位</w:t>
      </w:r>
      <w:r>
        <w:rPr>
          <w:rFonts w:ascii="仿宋_GB2312" w:eastAsia="仿宋_GB2312"/>
          <w:color w:val="000000" w:themeColor="text1"/>
          <w:sz w:val="32"/>
          <w:szCs w:val="32"/>
        </w:rPr>
        <w:t>并入2辆车，调出2辆车，报废1辆车。</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hint="eastAsia"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rPr>
        <w:t>13.50</w:t>
      </w:r>
      <w:r>
        <w:rPr>
          <w:rFonts w:hint="eastAsia" w:ascii="仿宋_GB2312" w:eastAsia="仿宋_GB2312"/>
          <w:sz w:val="32"/>
          <w:szCs w:val="32"/>
        </w:rPr>
        <w:t>万元，决算数</w:t>
      </w:r>
      <w:r>
        <w:rPr>
          <w:rFonts w:ascii="仿宋_GB2312" w:eastAsia="仿宋_GB2312"/>
          <w:color w:val="000000" w:themeColor="text1"/>
          <w:sz w:val="32"/>
          <w:szCs w:val="32"/>
        </w:rPr>
        <w:t>13.43</w:t>
      </w:r>
      <w:r>
        <w:rPr>
          <w:rFonts w:hint="eastAsia" w:ascii="仿宋_GB2312" w:eastAsia="仿宋_GB2312"/>
          <w:sz w:val="32"/>
          <w:szCs w:val="32"/>
        </w:rPr>
        <w:t>万元</w:t>
      </w:r>
      <w:r>
        <w:rPr>
          <w:rFonts w:ascii="仿宋_GB2312" w:eastAsia="仿宋_GB2312"/>
          <w:color w:val="000000" w:themeColor="text1"/>
          <w:sz w:val="32"/>
          <w:szCs w:val="32"/>
        </w:rPr>
        <w:t>，预决算差异率-0.52%，主要原因是：车辆减少</w:t>
      </w:r>
      <w:r>
        <w:rPr>
          <w:rFonts w:hint="eastAsia" w:ascii="仿宋_GB2312" w:eastAsia="仿宋_GB2312"/>
          <w:color w:val="000000" w:themeColor="text1"/>
          <w:sz w:val="32"/>
          <w:szCs w:val="32"/>
        </w:rPr>
        <w:t>,</w:t>
      </w:r>
      <w:r>
        <w:rPr>
          <w:rFonts w:ascii="仿宋_GB2312" w:eastAsia="仿宋_GB2312"/>
          <w:color w:val="000000" w:themeColor="text1"/>
          <w:sz w:val="32"/>
          <w:szCs w:val="32"/>
        </w:rPr>
        <w:t>涉改</w:t>
      </w:r>
      <w:r>
        <w:rPr>
          <w:rFonts w:hint="eastAsia" w:ascii="仿宋_GB2312" w:eastAsia="仿宋_GB2312"/>
          <w:color w:val="000000" w:themeColor="text1"/>
          <w:sz w:val="32"/>
          <w:szCs w:val="32"/>
        </w:rPr>
        <w:t>单位</w:t>
      </w:r>
      <w:r>
        <w:rPr>
          <w:rFonts w:ascii="仿宋_GB2312" w:eastAsia="仿宋_GB2312"/>
          <w:color w:val="000000" w:themeColor="text1"/>
          <w:sz w:val="32"/>
          <w:szCs w:val="32"/>
        </w:rPr>
        <w:t>并入2辆车，调出2辆车，报废1辆车；</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rPr>
        <w:t>0</w:t>
      </w:r>
      <w:r>
        <w:rPr>
          <w:rFonts w:hint="eastAsia" w:ascii="仿宋_GB2312" w:eastAsia="仿宋_GB2312"/>
          <w:sz w:val="32"/>
          <w:szCs w:val="32"/>
        </w:rPr>
        <w:t>万元，决算数</w:t>
      </w:r>
      <w:r>
        <w:rPr>
          <w:rFonts w:hint="eastAsia" w:ascii="仿宋_GB2312" w:eastAsia="仿宋_GB2312"/>
          <w:color w:val="000000" w:themeColor="text1"/>
          <w:sz w:val="32"/>
          <w:szCs w:val="32"/>
        </w:rPr>
        <w:t>0</w:t>
      </w:r>
      <w:r>
        <w:rPr>
          <w:rFonts w:hint="eastAsia" w:ascii="仿宋_GB2312" w:eastAsia="仿宋_GB2312"/>
          <w:sz w:val="32"/>
          <w:szCs w:val="32"/>
        </w:rPr>
        <w:t>万元</w:t>
      </w:r>
      <w:r>
        <w:rPr>
          <w:rFonts w:ascii="仿宋_GB2312" w:eastAsia="仿宋_GB2312"/>
          <w:color w:val="000000" w:themeColor="text1"/>
          <w:sz w:val="32"/>
          <w:szCs w:val="32"/>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rPr>
        <w:t>2019年度新疆喀什地区住房和城乡建设局机关运行经费支出50.51万元，比上年增加10.90万元，增长27.52%，主要原因是涉改单位并入，公用经费增加。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年度政府采购支出总额4.05万元，其中：政府采购货物支出2.19万元、政府采购工程支出0万元、政府采购服务支出1.86万元。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授予中小企业合同金额4.05万元，占政府采购支出总额的100%，其中：授予小微企业合同金额4.05万元，占政府采购支出总额的100%。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年12月31日，单位共有房屋8,776（平方米），价值1,612.12万元。车辆8辆，价值211.11万元，其中：副部（省）级及以上领导用车0辆、主要领导干部用车</w:t>
      </w:r>
      <w:r>
        <w:rPr>
          <w:rFonts w:ascii="仿宋_GB2312" w:eastAsia="仿宋_GB2312"/>
          <w:color w:val="000000" w:themeColor="text1"/>
          <w:sz w:val="32"/>
          <w:szCs w:val="32"/>
        </w:rPr>
        <w:t>0</w:t>
      </w:r>
      <w:r>
        <w:rPr>
          <w:rFonts w:hint="eastAsia" w:ascii="仿宋_GB2312" w:eastAsia="仿宋_GB2312"/>
          <w:sz w:val="32"/>
          <w:szCs w:val="32"/>
        </w:rPr>
        <w:t>辆、机要通信用车</w:t>
      </w:r>
      <w:r>
        <w:rPr>
          <w:rFonts w:ascii="仿宋_GB2312" w:eastAsia="仿宋_GB2312"/>
          <w:color w:val="000000" w:themeColor="text1"/>
          <w:sz w:val="32"/>
          <w:szCs w:val="32"/>
        </w:rPr>
        <w:t>0</w:t>
      </w:r>
      <w:r>
        <w:rPr>
          <w:rFonts w:hint="eastAsia" w:ascii="仿宋_GB2312" w:eastAsia="仿宋_GB2312"/>
          <w:sz w:val="32"/>
          <w:szCs w:val="32"/>
        </w:rPr>
        <w:t>辆、应急保障用车</w:t>
      </w:r>
      <w:r>
        <w:rPr>
          <w:rFonts w:ascii="仿宋_GB2312" w:eastAsia="仿宋_GB2312"/>
          <w:color w:val="000000" w:themeColor="text1"/>
          <w:sz w:val="32"/>
          <w:szCs w:val="32"/>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rPr>
        <w:t>0</w:t>
      </w:r>
      <w:r>
        <w:rPr>
          <w:rFonts w:hint="eastAsia" w:ascii="仿宋_GB2312" w:eastAsia="仿宋_GB2312"/>
          <w:sz w:val="32"/>
          <w:szCs w:val="32"/>
        </w:rPr>
        <w:t>辆、其他用车</w:t>
      </w:r>
      <w:r>
        <w:rPr>
          <w:rFonts w:ascii="仿宋_GB2312" w:eastAsia="仿宋_GB2312"/>
          <w:color w:val="000000" w:themeColor="text1"/>
          <w:sz w:val="32"/>
          <w:szCs w:val="32"/>
        </w:rPr>
        <w:t>8</w:t>
      </w:r>
      <w:r>
        <w:rPr>
          <w:rFonts w:hint="eastAsia" w:ascii="仿宋_GB2312" w:eastAsia="仿宋_GB2312"/>
          <w:sz w:val="32"/>
          <w:szCs w:val="32"/>
        </w:rPr>
        <w:t>辆，其他用车主要是：</w:t>
      </w:r>
      <w:r>
        <w:rPr>
          <w:rFonts w:ascii="仿宋_GB2312" w:eastAsia="仿宋_GB2312"/>
          <w:color w:val="000000" w:themeColor="text1"/>
          <w:sz w:val="32"/>
          <w:szCs w:val="32"/>
        </w:rPr>
        <w:t>轿车1辆，越野车1辆，皮卡车1辆，主要用于单位公务活动及下基层检查等；</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9，共涉及资金157.1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是有节约；二是项工作计划按预期计划按时完成，效益是按预期时间产生；三是预期的经济效益、社会效益、可持续的影响产生，相关人员的满意度达到预期目标。发现的问题及原因：项目资金使用因中途追加，导致了资金滞缓，影响了项目的进度。下一步改进措施：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path/>
          <v:fill on="f" focussize="0,0"/>
          <v:stroke on="f" joinstyle="miter"/>
          <v:imagedata o:title=""/>
          <o:lock v:ext="edit"/>
          <v:textbox inset="0mm,0mm,0mm,0mm" style="mso-fit-shape-to-text:t;">
            <w:txbxContent>
              <w:p>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FyDt+O1/STcFKHkkyGW9ny/m1R4=" w:salt="T9FVw2Ck0IPl08RB1ePgiQ=="/>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7B8"/>
    <w:rsid w:val="000E35CE"/>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47B3F"/>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34E94"/>
    <w:rsid w:val="007443A4"/>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E5B45"/>
    <w:rsid w:val="009F4245"/>
    <w:rsid w:val="009F594D"/>
    <w:rsid w:val="00A009B3"/>
    <w:rsid w:val="00A239E7"/>
    <w:rsid w:val="00A34EDA"/>
    <w:rsid w:val="00A50CBC"/>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71B92"/>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83338"/>
    <w:rsid w:val="00EE3598"/>
    <w:rsid w:val="00EE791B"/>
    <w:rsid w:val="00F040C7"/>
    <w:rsid w:val="00F04DC0"/>
    <w:rsid w:val="00F24BA1"/>
    <w:rsid w:val="00F43155"/>
    <w:rsid w:val="00F45607"/>
    <w:rsid w:val="00F552F7"/>
    <w:rsid w:val="00F57EE2"/>
    <w:rsid w:val="00F777E1"/>
    <w:rsid w:val="00F80266"/>
    <w:rsid w:val="00F83E19"/>
    <w:rsid w:val="00FB3828"/>
    <w:rsid w:val="00FC7A52"/>
    <w:rsid w:val="00FE0761"/>
    <w:rsid w:val="00FF5166"/>
    <w:rsid w:val="06792773"/>
    <w:rsid w:val="0F6822D6"/>
    <w:rsid w:val="1B252A47"/>
    <w:rsid w:val="1DAF458D"/>
    <w:rsid w:val="20157686"/>
    <w:rsid w:val="2A053397"/>
    <w:rsid w:val="2D1136DF"/>
    <w:rsid w:val="2F9C110B"/>
    <w:rsid w:val="31C63837"/>
    <w:rsid w:val="3D5275AC"/>
    <w:rsid w:val="41D939A7"/>
    <w:rsid w:val="429D4E66"/>
    <w:rsid w:val="442D4517"/>
    <w:rsid w:val="46901EEE"/>
    <w:rsid w:val="469C74D2"/>
    <w:rsid w:val="479F769A"/>
    <w:rsid w:val="50DB5F45"/>
    <w:rsid w:val="541A660D"/>
    <w:rsid w:val="69AD798C"/>
    <w:rsid w:val="6B68175F"/>
    <w:rsid w:val="6E3A6087"/>
    <w:rsid w:val="73FB6630"/>
    <w:rsid w:val="741D5A71"/>
    <w:rsid w:val="76AE76A1"/>
    <w:rsid w:val="77ED6F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924</Words>
  <Characters>5273</Characters>
  <Lines>43</Lines>
  <Paragraphs>12</Paragraphs>
  <TotalTime>13</TotalTime>
  <ScaleCrop>false</ScaleCrop>
  <LinksUpToDate>false</LinksUpToDate>
  <CharactersWithSpaces>6185</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2021-07-11T06:59:59Z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