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bookmarkStart w:id="8" w:name="_GoBack"/>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r>
        <w:rPr>
          <w:rFonts w:hint="eastAsia" w:ascii="方正小标宋简体" w:eastAsia="方正小标宋简体"/>
          <w:sz w:val="44"/>
          <w:szCs w:val="44"/>
        </w:rPr>
        <w:t>新疆喀什国家粮食质量监测站粮食质量安全检验监测项目支出绩效评价报告</w:t>
      </w: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rPr>
          <w:rFonts w:ascii="方正小标宋简体" w:eastAsia="方正小标宋简体"/>
          <w:sz w:val="52"/>
          <w:szCs w:val="52"/>
        </w:rPr>
      </w:pPr>
    </w:p>
    <w:p>
      <w:pPr>
        <w:spacing w:beforeLines="50"/>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项目名称：粮食质量安全检验监测项目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实施单位：新疆喀什国家粮食质量监测站</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评价部门：新疆喀什国家粮食质量监测站</w:t>
      </w:r>
    </w:p>
    <w:p>
      <w:pPr>
        <w:autoSpaceDE w:val="0"/>
        <w:autoSpaceDN w:val="0"/>
        <w:spacing w:line="540" w:lineRule="exact"/>
        <w:rPr>
          <w:rFonts w:ascii="仿宋_GB2312" w:hAnsi="仿宋" w:eastAsia="仿宋_GB2312" w:cs="Times New Roman"/>
          <w:spacing w:val="-2"/>
          <w:sz w:val="36"/>
          <w:szCs w:val="36"/>
        </w:rPr>
      </w:pPr>
    </w:p>
    <w:p>
      <w:pPr>
        <w:autoSpaceDE w:val="0"/>
        <w:autoSpaceDN w:val="0"/>
        <w:spacing w:line="540" w:lineRule="exact"/>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pStyle w:val="23"/>
        <w:numPr>
          <w:ilvl w:val="0"/>
          <w:numId w:val="2"/>
        </w:numPr>
        <w:ind w:firstLineChars="0"/>
      </w:pPr>
      <w:r>
        <w:rPr>
          <w:rFonts w:hint="eastAsia"/>
        </w:rPr>
        <w:t>基本情况</w:t>
      </w:r>
    </w:p>
    <w:p>
      <w:pPr>
        <w:pStyle w:val="25"/>
        <w:ind w:left="0" w:firstLine="643" w:firstLineChars="200"/>
      </w:pPr>
      <w:bookmarkStart w:id="0" w:name="_Toc26401549"/>
      <w:r>
        <w:rPr>
          <w:rFonts w:hint="eastAsia"/>
        </w:rPr>
        <w:t>项目概况</w:t>
      </w:r>
      <w:bookmarkEnd w:id="0"/>
    </w:p>
    <w:p>
      <w:pPr>
        <w:pStyle w:val="19"/>
        <w:numPr>
          <w:ilvl w:val="0"/>
          <w:numId w:val="3"/>
        </w:numPr>
        <w:spacing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spacing w:beforeLines="50" w:line="600" w:lineRule="exact"/>
        <w:ind w:firstLine="645"/>
        <w:rPr>
          <w:rFonts w:ascii="仿宋_GB2312" w:hAnsi="宋体" w:eastAsia="仿宋_GB2312" w:cs="宋体"/>
          <w:color w:val="000000"/>
          <w:sz w:val="32"/>
          <w:szCs w:val="32"/>
        </w:rPr>
      </w:pPr>
      <w:r>
        <w:rPr>
          <w:rFonts w:hint="eastAsia" w:ascii="仿宋_GB2312" w:hAnsi="宋体" w:eastAsia="仿宋_GB2312" w:cs="宋体"/>
          <w:color w:val="000000"/>
          <w:sz w:val="32"/>
          <w:szCs w:val="32"/>
        </w:rPr>
        <w:t>根据自治区下发的“关于对十二五期间地州级粮食质量安全检验监测能力建设项目检查初验情况的通报”（新粮办储【2017】138号）及行署专员的批示立项，旨在</w:t>
      </w:r>
      <w:r>
        <w:rPr>
          <w:rFonts w:hint="eastAsia" w:ascii="仿宋_GB2312" w:hAnsi="宋体" w:eastAsia="仿宋_GB2312" w:cs="宋体"/>
          <w:color w:val="FFFF00"/>
          <w:sz w:val="32"/>
          <w:szCs w:val="32"/>
        </w:rPr>
        <w:fldChar w:fldCharType="begin">
          <w:fldData xml:space="preserve">NABFADkANAAxAEMAOQAzAEMAOQA5AEEANAA3ADUARAA4ADkAQgA3ADYAOQAzADEANABBAEYAMAAx
AEUAMwBFAJBP
</w:fldData>
        </w:fldChar>
      </w:r>
      <w:r>
        <w:rPr>
          <w:rFonts w:hint="eastAsia" w:ascii="仿宋_GB2312" w:hAnsi="宋体" w:eastAsia="仿宋_GB2312" w:cs="宋体"/>
          <w:color w:val="FFFF00"/>
          <w:sz w:val="32"/>
          <w:szCs w:val="32"/>
        </w:rPr>
        <w:instrText xml:space="preserve">Addin 预期目标</w:instrText>
      </w:r>
      <w:r>
        <w:rPr>
          <w:rFonts w:hint="eastAsia" w:ascii="仿宋_GB2312" w:hAnsi="宋体" w:eastAsia="仿宋_GB2312" w:cs="宋体"/>
          <w:color w:val="FFFF00"/>
          <w:sz w:val="32"/>
          <w:szCs w:val="32"/>
        </w:rPr>
        <w:fldChar w:fldCharType="separate"/>
      </w:r>
      <w:r>
        <w:rPr>
          <w:rFonts w:hint="eastAsia" w:ascii="仿宋_GB2312" w:hAnsi="宋体" w:eastAsia="仿宋_GB2312" w:cs="宋体"/>
          <w:color w:val="000000"/>
          <w:sz w:val="32"/>
          <w:szCs w:val="32"/>
        </w:rPr>
        <w:t>落实粮食出入库质量检验和库存粮食质量安全检查，守住粮食收购、储存和出库三个重点环节，严防不符合食品安全标准的粮食流入口粮市场，切实从源头保障国家粮食安全和食品安全，确保人民群众“舌尖上的安全”。</w:t>
      </w:r>
      <w:r>
        <w:rPr>
          <w:rFonts w:hint="eastAsia" w:ascii="仿宋_GB2312" w:hAnsi="宋体" w:eastAsia="仿宋_GB2312" w:cs="宋体"/>
          <w:color w:val="FFFF00"/>
          <w:sz w:val="32"/>
          <w:szCs w:val="32"/>
        </w:rPr>
        <w:fldChar w:fldCharType="end"/>
      </w:r>
    </w:p>
    <w:p>
      <w:pPr>
        <w:pStyle w:val="19"/>
        <w:numPr>
          <w:ilvl w:val="0"/>
          <w:numId w:val="3"/>
        </w:numPr>
        <w:spacing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项目主要内容及实施情况</w:t>
      </w:r>
    </w:p>
    <w:p>
      <w:pPr>
        <w:ind w:firstLine="640" w:firstLineChars="200"/>
        <w:rPr>
          <w:rFonts w:ascii="仿宋_GB2312" w:hAnsi="仿宋" w:eastAsia="仿宋_GB2312" w:cs="Times New Roman"/>
          <w:bCs/>
          <w:color w:val="000000" w:themeColor="text1"/>
          <w:sz w:val="32"/>
          <w:szCs w:val="32"/>
        </w:rPr>
      </w:pPr>
      <w:r>
        <w:rPr>
          <w:rFonts w:hint="eastAsia" w:ascii="仿宋_GB2312" w:hAnsi="仿宋" w:eastAsia="仿宋_GB2312" w:cs="宋体"/>
          <w:sz w:val="32"/>
          <w:szCs w:val="32"/>
        </w:rPr>
        <w:t>项目的主要内容为：本项目的主管部门为喀什地区粮食和物资储备局</w:t>
      </w:r>
      <w:r>
        <w:rPr>
          <w:rFonts w:ascii="仿宋_GB2312" w:hAnsi="仿宋" w:eastAsia="仿宋_GB2312" w:cs="宋体"/>
          <w:sz w:val="32"/>
          <w:szCs w:val="32"/>
        </w:rPr>
        <w:t>,</w:t>
      </w:r>
      <w:r>
        <w:rPr>
          <w:rFonts w:hint="eastAsia" w:ascii="仿宋_GB2312" w:hAnsi="仿宋" w:eastAsia="仿宋_GB2312" w:cs="宋体"/>
          <w:sz w:val="32"/>
          <w:szCs w:val="32"/>
        </w:rPr>
        <w:t>实施单位为新疆喀什国家粮食质量监测站，主要职责为：</w:t>
      </w:r>
      <w:r>
        <w:rPr>
          <w:rFonts w:hint="eastAsia" w:ascii="仿宋_GB2312" w:hAnsi="仿宋" w:eastAsia="仿宋_GB2312" w:cs="Times New Roman"/>
          <w:bCs/>
          <w:color w:val="000000" w:themeColor="text1"/>
          <w:sz w:val="32"/>
          <w:szCs w:val="32"/>
        </w:rPr>
        <w:t>对区域范围内粮油生产、收购、储存、加工、运输和销售环节原粮、成品、半成品等产品的相关质量、品质、卫生指标进行检验检测，为辖区内的粮食生产和经营者服务。</w:t>
      </w:r>
    </w:p>
    <w:p>
      <w:pPr>
        <w:adjustRightInd w:val="0"/>
        <w:snapToGrid w:val="0"/>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的实施情况：为保证项目质量和成本控制，我单位积极与自治区粮食质检中心、喀什地区粮储局对接，进行了粮食质量检验监测工作，制定《新疆喀什国家粮食质量监测站2019年夏粮收购期间新收获小麦质量监测方案》，对2019年新收获的小麦分自治区、地区两级监测，为保质保量完成提供了强有力的技术支撑，有效地推进了项目工作，我站密切关注和跟踪全地区范围内可能出现的异常气候和严重病虫害等情况，尤其是粮食收获后、收购前的质量变化情况。对于范围较广，对粮食正常收购影响较大的质量情况，要及时组织开展针对性采样，开展检验专项研究工作，迅速摸清发生原因、范围、程度和质量特征等情况，上报地区粮食和物资储备局，并协助做好应对措施的制定。对于监测中发现的粮食质量安全问题，要进行认真分析，经核实无误后，要在第一时间内准确地报请地区粮食和物资储备局主要领导同意后向行署和食品安全综合协调部门报告。</w:t>
      </w:r>
    </w:p>
    <w:p>
      <w:pPr>
        <w:tabs>
          <w:tab w:val="left" w:pos="7770"/>
        </w:tabs>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3.项目负责人为高景山，主要职责为对检化验结果及检测过程中发现的粮食安全问题及时上报上报地区粮食和物资储备局，并协助做好应对措施的制定。对于监测中发现的粮食质量安全问题，要进行认真分析，经核实无误后，要在第一时间内准确地报请地区粮食和物资储备局主要领导同意后向行署和食品安全综合协调部门报告。</w:t>
      </w:r>
    </w:p>
    <w:p>
      <w:pPr>
        <w:pStyle w:val="25"/>
        <w:ind w:left="0" w:firstLine="643" w:firstLineChars="200"/>
      </w:pPr>
      <w:bookmarkStart w:id="1" w:name="_Toc26401550"/>
      <w:r>
        <w:rPr>
          <w:rFonts w:hint="eastAsia"/>
        </w:rPr>
        <w:t>资金</w:t>
      </w:r>
      <w:bookmarkEnd w:id="1"/>
      <w:r>
        <w:rPr>
          <w:rFonts w:hint="eastAsia"/>
        </w:rPr>
        <w:t>投入和使用情况</w:t>
      </w:r>
    </w:p>
    <w:p>
      <w:pPr>
        <w:spacing w:beforeLines="50" w:line="600" w:lineRule="exact"/>
        <w:ind w:firstLine="645"/>
        <w:rPr>
          <w:rFonts w:ascii="仿宋_GB2312" w:hAnsi="仿宋" w:eastAsia="仿宋_GB2312" w:cs="宋体"/>
          <w:color w:val="FF0000"/>
          <w:sz w:val="32"/>
          <w:szCs w:val="32"/>
        </w:rPr>
      </w:pPr>
      <w:r>
        <w:rPr>
          <w:rFonts w:hint="eastAsia" w:ascii="仿宋_GB2312" w:hAnsi="仿宋" w:eastAsia="仿宋_GB2312" w:cs="宋体"/>
          <w:sz w:val="32"/>
          <w:szCs w:val="32"/>
        </w:rPr>
        <w:t>本项目总投资10万元，资金来源为本级部门预10万元。</w:t>
      </w:r>
    </w:p>
    <w:p>
      <w:pPr>
        <w:adjustRightInd w:val="0"/>
        <w:snapToGrid w:val="0"/>
        <w:spacing w:line="360" w:lineRule="auto"/>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粮食质量安全检验监测项目资金的使用范围：主要用途和范围为扦样期间的差旅费，样品费以及样品的检验检测费用。</w:t>
      </w:r>
    </w:p>
    <w:p>
      <w:pPr>
        <w:adjustRightInd w:val="0"/>
        <w:snapToGrid w:val="0"/>
        <w:spacing w:line="360" w:lineRule="auto"/>
        <w:ind w:firstLine="640" w:firstLineChars="200"/>
        <w:rPr>
          <w:rFonts w:ascii="仿宋" w:hAnsi="仿宋" w:eastAsia="仿宋"/>
          <w:color w:val="000000" w:themeColor="text1"/>
          <w:spacing w:val="-4"/>
          <w:sz w:val="32"/>
          <w:szCs w:val="32"/>
        </w:rPr>
      </w:pPr>
      <w:r>
        <w:rPr>
          <w:rFonts w:hint="eastAsia" w:ascii="仿宋_GB2312" w:hAnsi="仿宋" w:eastAsia="仿宋_GB2312" w:cs="宋体"/>
          <w:sz w:val="32"/>
          <w:szCs w:val="32"/>
        </w:rPr>
        <w:t>新疆喀什国家粮食质量监测站制定了单位财务管理制度，本项目按照地区财政资金管理制度相关文件进行使用</w:t>
      </w:r>
      <w:r>
        <w:rPr>
          <w:rFonts w:hint="eastAsia" w:ascii="仿宋" w:hAnsi="仿宋" w:eastAsia="仿宋"/>
          <w:bCs/>
          <w:color w:val="000000" w:themeColor="text1"/>
          <w:spacing w:val="-4"/>
          <w:sz w:val="30"/>
          <w:szCs w:val="30"/>
        </w:rPr>
        <w:t>。</w:t>
      </w:r>
    </w:p>
    <w:p>
      <w:pPr>
        <w:pStyle w:val="25"/>
        <w:ind w:left="0" w:firstLine="643" w:firstLineChars="200"/>
      </w:pPr>
      <w:bookmarkStart w:id="2" w:name="_Toc26401551"/>
      <w:r>
        <w:rPr>
          <w:rFonts w:hint="eastAsia"/>
        </w:rPr>
        <w:t>绩效目标</w:t>
      </w:r>
      <w:bookmarkEnd w:id="2"/>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总体目标为</w:t>
      </w:r>
      <w:r>
        <w:rPr>
          <w:rFonts w:hint="eastAsia" w:ascii="仿宋_GB2312" w:hAnsi="仿宋" w:eastAsia="仿宋_GB2312" w:cs="宋体"/>
          <w:b/>
          <w:sz w:val="32"/>
          <w:szCs w:val="32"/>
        </w:rPr>
        <w:t>：</w:t>
      </w:r>
      <w:r>
        <w:rPr>
          <w:rStyle w:val="14"/>
          <w:rFonts w:hint="eastAsia" w:ascii="仿宋_GB2312" w:hAnsi="仿宋" w:eastAsia="仿宋_GB2312"/>
          <w:b w:val="0"/>
          <w:color w:val="000000" w:themeColor="text1"/>
          <w:spacing w:val="-4"/>
          <w:sz w:val="32"/>
          <w:szCs w:val="32"/>
        </w:rPr>
        <w:t>2019年粮食质量安全检验监测项目，预计抽样人员4人，抽样次数不少于2次，扦样样品104个。预计开支10万元，做好新收获粮食常规质量、内在品质的会检及质量调查与品质测报，重点是加强对原粮卫生安全的检测，主要包括农药残留、真菌霉素、重金属的检测，落实粮食出入库质量检验，和库存粮食质量安全检查，守住粮食收购、存储和出库三个重点环节，严防不符合食品安全标准的粮食流入口粮市场，确保人民群众“舌尖上的安全”，使市民满意度达到95%以上。</w:t>
      </w:r>
    </w:p>
    <w:p>
      <w:pPr>
        <w:spacing w:beforeLines="50" w:line="600" w:lineRule="exact"/>
        <w:rPr>
          <w:rFonts w:ascii="仿宋_GB2312" w:hAnsi="仿宋" w:eastAsia="仿宋_GB2312" w:cs="宋体"/>
          <w:color w:val="FF0000"/>
          <w:sz w:val="32"/>
          <w:szCs w:val="32"/>
        </w:rPr>
      </w:pPr>
      <w:r>
        <w:rPr>
          <w:rFonts w:hint="eastAsia" w:ascii="仿宋_GB2312" w:hAnsi="仿宋" w:eastAsia="仿宋_GB2312" w:cs="宋体"/>
          <w:sz w:val="32"/>
          <w:szCs w:val="32"/>
        </w:rPr>
        <w:t xml:space="preserve"> </w:t>
      </w:r>
      <w:r>
        <w:rPr>
          <w:rFonts w:ascii="仿宋_GB2312" w:hAnsi="仿宋" w:eastAsia="仿宋_GB2312" w:cs="宋体"/>
          <w:sz w:val="32"/>
          <w:szCs w:val="32"/>
        </w:rPr>
        <w:t xml:space="preserve">   </w:t>
      </w:r>
      <w:r>
        <w:rPr>
          <w:rFonts w:hint="eastAsia" w:ascii="仿宋_GB2312" w:hAnsi="仿宋" w:eastAsia="仿宋_GB2312" w:cs="宋体"/>
          <w:sz w:val="32"/>
          <w:szCs w:val="32"/>
        </w:rPr>
        <w:t>项目共设置</w:t>
      </w:r>
      <w:r>
        <w:rPr>
          <w:rFonts w:ascii="仿宋_GB2312" w:hAnsi="仿宋" w:eastAsia="仿宋_GB2312" w:cs="宋体"/>
          <w:sz w:val="32"/>
          <w:szCs w:val="32"/>
        </w:rPr>
        <w:t>1</w:t>
      </w:r>
      <w:r>
        <w:rPr>
          <w:rFonts w:hint="eastAsia" w:ascii="仿宋_GB2312" w:hAnsi="仿宋" w:eastAsia="仿宋_GB2312" w:cs="宋体"/>
          <w:sz w:val="32"/>
          <w:szCs w:val="32"/>
        </w:rPr>
        <w:t>级指标3个，二级指标8个，三级指标13个，绩效目标申报表详见附件1。</w:t>
      </w:r>
    </w:p>
    <w:p>
      <w:pPr>
        <w:pStyle w:val="23"/>
        <w:numPr>
          <w:ilvl w:val="0"/>
          <w:numId w:val="2"/>
        </w:numPr>
        <w:ind w:firstLineChars="0"/>
      </w:pPr>
      <w:bookmarkStart w:id="3" w:name="_Toc26401552"/>
      <w:r>
        <w:rPr>
          <w:rFonts w:hint="eastAsia"/>
        </w:rPr>
        <w:t>评价工作简述</w:t>
      </w:r>
      <w:bookmarkEnd w:id="3"/>
    </w:p>
    <w:p>
      <w:pPr>
        <w:pStyle w:val="25"/>
        <w:numPr>
          <w:ilvl w:val="0"/>
          <w:numId w:val="4"/>
        </w:numPr>
        <w:ind w:left="0" w:firstLine="643" w:firstLineChars="200"/>
      </w:pPr>
      <w:bookmarkStart w:id="4" w:name="_Toc26401553"/>
      <w:r>
        <w:rPr>
          <w:rFonts w:hint="eastAsia"/>
        </w:rPr>
        <w:t>评价目的</w:t>
      </w:r>
      <w:bookmarkEnd w:id="4"/>
    </w:p>
    <w:p>
      <w:pPr>
        <w:ind w:firstLine="800" w:firstLineChars="250"/>
      </w:pPr>
      <w:r>
        <w:rPr>
          <w:rFonts w:hint="eastAsia" w:ascii="仿宋_GB2312" w:hAnsi="仿宋" w:eastAsia="仿宋_GB2312" w:cs="宋体"/>
          <w:sz w:val="32"/>
          <w:szCs w:val="32"/>
        </w:rPr>
        <w:t>本次绩效评价遵循财政部《项目</w:t>
      </w:r>
      <w:r>
        <w:rPr>
          <w:rFonts w:ascii="仿宋_GB2312" w:hAnsi="仿宋" w:eastAsia="仿宋_GB2312" w:cs="宋体"/>
          <w:sz w:val="32"/>
          <w:szCs w:val="32"/>
        </w:rPr>
        <w:t>支出绩效评价管理办法》（财预〔2020〕10号）和自治区财政厅</w:t>
      </w:r>
      <w:r>
        <w:rPr>
          <w:rFonts w:hint="eastAsia" w:ascii="仿宋_GB2312" w:hAnsi="仿宋_GB2312" w:eastAsia="仿宋_GB2312" w:cs="仿宋_GB2312"/>
          <w:kern w:val="0"/>
          <w:sz w:val="32"/>
          <w:szCs w:val="32"/>
          <w:shd w:val="clear" w:color="auto" w:fill="FFFFFF"/>
        </w:rPr>
        <w:t>《自治区财政支出绩效评价管理暂行办法》（新财预〔</w:t>
      </w:r>
      <w:r>
        <w:rPr>
          <w:rFonts w:ascii="仿宋_GB2312" w:hAnsi="仿宋_GB2312" w:eastAsia="仿宋_GB2312" w:cs="仿宋_GB2312"/>
          <w:kern w:val="0"/>
          <w:sz w:val="32"/>
          <w:szCs w:val="32"/>
          <w:shd w:val="clear" w:color="auto" w:fill="FFFFFF"/>
        </w:rPr>
        <w:t>2018〕189号</w:t>
      </w:r>
      <w:r>
        <w:rPr>
          <w:rFonts w:hint="eastAsia" w:ascii="仿宋_GB2312" w:hAnsi="仿宋_GB2312" w:eastAsia="仿宋_GB2312" w:cs="仿宋_GB2312"/>
          <w:kern w:val="0"/>
          <w:sz w:val="32"/>
          <w:szCs w:val="32"/>
          <w:shd w:val="clear" w:color="auto" w:fill="FFFFFF"/>
        </w:rPr>
        <w:t>）</w:t>
      </w:r>
      <w:r>
        <w:rPr>
          <w:rFonts w:ascii="仿宋_GB2312" w:hAnsi="仿宋" w:eastAsia="仿宋_GB2312" w:cs="宋体"/>
          <w:sz w:val="32"/>
          <w:szCs w:val="32"/>
        </w:rPr>
        <w:t>等相关政策文件与规定，</w:t>
      </w:r>
      <w:r>
        <w:rPr>
          <w:rFonts w:hint="eastAsia" w:ascii="仿宋_GB2312" w:hAnsi="仿宋" w:eastAsia="仿宋_GB2312" w:cs="宋体"/>
          <w:sz w:val="32"/>
          <w:szCs w:val="32"/>
        </w:rPr>
        <w:t>旨在评价粮食质量安全检验监测项目实施前期、过程及效果，评价财政预算资金使用的效率及效益。本项目的主要产出和效果：一是积极完成了政策性粮食春季普查和商品</w:t>
      </w:r>
      <w:r>
        <w:rPr>
          <w:rFonts w:hint="eastAsia" w:ascii="仿宋_GB2312" w:hAnsi="仿宋" w:eastAsia="仿宋_GB2312" w:cs="仿宋"/>
          <w:color w:val="000000"/>
          <w:spacing w:val="-4"/>
          <w:sz w:val="32"/>
          <w:szCs w:val="32"/>
        </w:rPr>
        <w:t>粮抽查。二是完成2019年新收获小麦质量监测。三是积极配合自治区粮食质量监测中心完成新疆、宁夏、内蒙古、陕西、青海五省的粮食质量会检工作。四是认真完成政策性储备粮秋季普查和商品粮抽查。五是积极推进质监站计量认证和检测机构资质认证工作。</w:t>
      </w:r>
    </w:p>
    <w:p>
      <w:pPr>
        <w:pStyle w:val="25"/>
        <w:numPr>
          <w:ilvl w:val="0"/>
          <w:numId w:val="4"/>
        </w:numPr>
        <w:ind w:left="0" w:firstLine="643" w:firstLineChars="200"/>
      </w:pPr>
      <w:r>
        <w:rPr>
          <w:rFonts w:hint="eastAsia"/>
        </w:rPr>
        <w:t>本次绩效评价的对象及范围</w:t>
      </w:r>
      <w:bookmarkStart w:id="5" w:name="_Toc26401554"/>
    </w:p>
    <w:p>
      <w:pPr>
        <w:spacing w:beforeLines="50" w:line="60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本次评价对象为</w:t>
      </w:r>
      <w:r>
        <w:rPr>
          <w:rFonts w:hint="eastAsia" w:ascii="仿宋_GB2312" w:hAnsi="仿宋" w:eastAsia="仿宋_GB2312" w:cs="宋体"/>
          <w:sz w:val="32"/>
          <w:szCs w:val="32"/>
        </w:rPr>
        <w:t>粮食质量安全检验监测</w:t>
      </w:r>
      <w:r>
        <w:rPr>
          <w:rFonts w:ascii="仿宋_GB2312" w:hAnsi="仿宋" w:eastAsia="仿宋_GB2312" w:cs="宋体"/>
          <w:sz w:val="32"/>
          <w:szCs w:val="32"/>
        </w:rPr>
        <w:t>项目资金，评价范围包括专项资</w:t>
      </w:r>
      <w:r>
        <w:rPr>
          <w:rFonts w:hint="eastAsia" w:ascii="仿宋_GB2312" w:hAnsi="仿宋" w:eastAsia="仿宋_GB2312" w:cs="宋体"/>
          <w:sz w:val="32"/>
          <w:szCs w:val="32"/>
        </w:rPr>
        <w:t>金的安排、组织及使用效益。</w:t>
      </w:r>
    </w:p>
    <w:p>
      <w:pPr>
        <w:pStyle w:val="25"/>
        <w:numPr>
          <w:ilvl w:val="0"/>
          <w:numId w:val="4"/>
        </w:numPr>
        <w:ind w:left="0" w:firstLine="643" w:firstLineChars="200"/>
      </w:pPr>
      <w:r>
        <w:rPr>
          <w:rFonts w:hint="eastAsia"/>
        </w:rPr>
        <w:t>绩效评价原则</w:t>
      </w:r>
      <w:bookmarkEnd w:id="5"/>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5"/>
        <w:keepNext w:val="0"/>
        <w:keepLines w:val="0"/>
        <w:numPr>
          <w:ilvl w:val="1"/>
          <w:numId w:val="5"/>
        </w:numPr>
        <w:ind w:left="0" w:firstLine="640" w:firstLineChars="200"/>
        <w:rPr>
          <w:rFonts w:hAnsi="仿宋" w:cs="宋体"/>
          <w:b w:val="0"/>
        </w:rPr>
      </w:pPr>
      <w:r>
        <w:rPr>
          <w:rFonts w:hint="eastAsia" w:hAnsi="仿宋" w:cs="宋体"/>
          <w:b w:val="0"/>
        </w:rPr>
        <w:t>科学公正。绩效评价应当运用科学合理的方法，按照规范的程序，对项目绩效进行客观、公正的反映。</w:t>
      </w:r>
    </w:p>
    <w:p>
      <w:pPr>
        <w:pStyle w:val="25"/>
        <w:keepNext w:val="0"/>
        <w:keepLines w:val="0"/>
        <w:numPr>
          <w:ilvl w:val="1"/>
          <w:numId w:val="5"/>
        </w:numPr>
        <w:ind w:left="0" w:firstLine="640" w:firstLineChars="200"/>
        <w:rPr>
          <w:rFonts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5"/>
        <w:keepNext w:val="0"/>
        <w:keepLines w:val="0"/>
        <w:numPr>
          <w:ilvl w:val="1"/>
          <w:numId w:val="5"/>
        </w:numPr>
        <w:ind w:left="0" w:firstLine="640" w:firstLineChars="200"/>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5"/>
        <w:keepNext w:val="0"/>
        <w:keepLines w:val="0"/>
        <w:numPr>
          <w:ilvl w:val="1"/>
          <w:numId w:val="5"/>
        </w:numPr>
        <w:ind w:left="0" w:firstLine="640" w:firstLineChars="200"/>
        <w:rPr>
          <w:b w:val="0"/>
        </w:rPr>
      </w:pPr>
      <w:r>
        <w:rPr>
          <w:rFonts w:hint="eastAsia" w:hAnsi="仿宋" w:cs="宋体"/>
          <w:b w:val="0"/>
        </w:rPr>
        <w:t>公开透明。绩效评价结果应依法依规公开，并自觉接受社会监督。</w:t>
      </w:r>
      <w:r>
        <w:rPr>
          <w:rFonts w:hint="eastAsia"/>
          <w:b w:val="0"/>
        </w:rPr>
        <w:t>绩效评价体系</w:t>
      </w:r>
    </w:p>
    <w:p>
      <w:pPr>
        <w:pStyle w:val="25"/>
        <w:numPr>
          <w:ilvl w:val="0"/>
          <w:numId w:val="4"/>
        </w:numPr>
        <w:ind w:left="0" w:firstLine="643" w:firstLineChars="200"/>
      </w:pPr>
      <w:r>
        <w:rPr>
          <w:rFonts w:hint="eastAsia"/>
        </w:rPr>
        <w:t>本项目绩效评价体系</w:t>
      </w:r>
    </w:p>
    <w:p>
      <w:pPr>
        <w:pStyle w:val="25"/>
        <w:numPr>
          <w:ilvl w:val="0"/>
          <w:numId w:val="0"/>
        </w:numPr>
        <w:ind w:firstLine="640" w:firstLineChars="200"/>
        <w:rPr>
          <w:b w:val="0"/>
        </w:rPr>
      </w:pPr>
      <w:r>
        <w:rPr>
          <w:rFonts w:hint="eastAsia"/>
          <w:b w:val="0"/>
        </w:rPr>
        <w:t>本项目绩效评价体系为根据财预</w:t>
      </w:r>
      <w:r>
        <w:rPr>
          <w:rFonts w:hint="eastAsia" w:ascii="仿宋" w:hAnsi="仿宋" w:eastAsia="仿宋"/>
          <w:b w:val="0"/>
        </w:rPr>
        <w:t>﹝</w:t>
      </w:r>
      <w:r>
        <w:rPr>
          <w:rFonts w:hint="eastAsia"/>
          <w:b w:val="0"/>
        </w:rPr>
        <w:t>2</w:t>
      </w:r>
      <w:r>
        <w:rPr>
          <w:b w:val="0"/>
        </w:rPr>
        <w:t>020</w:t>
      </w:r>
      <w:r>
        <w:rPr>
          <w:rFonts w:hint="eastAsia" w:ascii="仿宋" w:hAnsi="仿宋" w:eastAsia="仿宋"/>
          <w:b w:val="0"/>
        </w:rPr>
        <w:t>﹞</w:t>
      </w:r>
      <w:r>
        <w:rPr>
          <w:rFonts w:hint="eastAsia"/>
          <w:b w:val="0"/>
        </w:rPr>
        <w:t>1</w:t>
      </w:r>
      <w:r>
        <w:rPr>
          <w:b w:val="0"/>
        </w:rPr>
        <w:t>0</w:t>
      </w:r>
      <w:r>
        <w:rPr>
          <w:rFonts w:hint="eastAsia"/>
          <w:b w:val="0"/>
        </w:rPr>
        <w:t>号共性指标及个性化指标设置，</w:t>
      </w:r>
      <w:r>
        <w:rPr>
          <w:rFonts w:hint="eastAsia"/>
          <w:b w:val="0"/>
          <w:lang w:val="en-US" w:eastAsia="zh-CN"/>
        </w:rPr>
        <w:t>详附件4。</w:t>
      </w:r>
      <w:r>
        <w:rPr>
          <w:b w:val="0"/>
        </w:rPr>
        <w:t xml:space="preserve"> </w:t>
      </w:r>
    </w:p>
    <w:p>
      <w:pPr>
        <w:pStyle w:val="25"/>
        <w:keepNext w:val="0"/>
        <w:keepLines w:val="0"/>
        <w:numPr>
          <w:ilvl w:val="0"/>
          <w:numId w:val="4"/>
        </w:numPr>
        <w:ind w:left="0" w:firstLine="643" w:firstLineChars="200"/>
      </w:pPr>
      <w:bookmarkStart w:id="6" w:name="_Toc26401555"/>
      <w:r>
        <w:rPr>
          <w:rFonts w:hint="eastAsia"/>
        </w:rPr>
        <w:t>绩效评价方法</w:t>
      </w:r>
      <w:bookmarkEnd w:id="6"/>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本次绩效评价方法的选用简便有效的原则采用成本效益分析法、比较法、因素分析法、最低成本法、综合指数评价法。</w:t>
      </w:r>
    </w:p>
    <w:p>
      <w:pPr>
        <w:pStyle w:val="25"/>
        <w:keepNext w:val="0"/>
        <w:keepLines w:val="0"/>
        <w:numPr>
          <w:ilvl w:val="0"/>
          <w:numId w:val="4"/>
        </w:numPr>
        <w:ind w:left="0" w:firstLine="643" w:firstLineChars="200"/>
      </w:pPr>
      <w:r>
        <w:rPr>
          <w:rFonts w:hint="eastAsia"/>
        </w:rPr>
        <w:t>评价标准</w:t>
      </w:r>
    </w:p>
    <w:p>
      <w:pPr>
        <w:pStyle w:val="25"/>
        <w:keepNext w:val="0"/>
        <w:keepLines w:val="0"/>
        <w:numPr>
          <w:ilvl w:val="0"/>
          <w:numId w:val="0"/>
        </w:numPr>
      </w:pPr>
      <w:r>
        <w:rPr>
          <w:rFonts w:hint="eastAsia"/>
        </w:rPr>
        <w:t xml:space="preserve"> </w:t>
      </w:r>
      <w:r>
        <w:t xml:space="preserve">   </w:t>
      </w:r>
      <w:r>
        <w:rPr>
          <w:rFonts w:hint="eastAsia"/>
        </w:rPr>
        <w:t>项目评价标准采用</w:t>
      </w:r>
      <w:r>
        <w:rPr>
          <w:rFonts w:hint="eastAsia"/>
          <w:bCs w:val="0"/>
        </w:rPr>
        <w:t>行业标准。</w:t>
      </w:r>
    </w:p>
    <w:p>
      <w:pPr>
        <w:pStyle w:val="25"/>
        <w:keepNext w:val="0"/>
        <w:keepLines w:val="0"/>
        <w:numPr>
          <w:ilvl w:val="0"/>
          <w:numId w:val="4"/>
        </w:numPr>
        <w:ind w:left="0" w:firstLine="643" w:firstLineChars="200"/>
      </w:pPr>
      <w:r>
        <w:rPr>
          <w:rFonts w:hint="eastAsia"/>
        </w:rPr>
        <w:t>绩效评价工作过程</w:t>
      </w:r>
    </w:p>
    <w:p>
      <w:pPr>
        <w:pStyle w:val="25"/>
        <w:keepNext w:val="0"/>
        <w:keepLines w:val="0"/>
        <w:numPr>
          <w:ilvl w:val="0"/>
          <w:numId w:val="0"/>
        </w:numPr>
        <w:ind w:firstLine="640" w:firstLineChars="200"/>
        <w:outlineLvl w:val="9"/>
        <w:rPr>
          <w:b w:val="0"/>
          <w:bCs w:val="0"/>
        </w:rPr>
      </w:pPr>
      <w:r>
        <w:rPr>
          <w:rFonts w:hint="eastAsia"/>
          <w:b w:val="0"/>
          <w:bCs w:val="0"/>
        </w:rPr>
        <w:t>本次评价成立了评价</w:t>
      </w:r>
      <w:r>
        <w:rPr>
          <w:rFonts w:hint="eastAsia"/>
          <w:b w:val="0"/>
          <w:bCs w:val="0"/>
          <w:lang w:eastAsia="zh-CN"/>
        </w:rPr>
        <w:t>小组</w:t>
      </w:r>
      <w:r>
        <w:rPr>
          <w:rFonts w:hint="eastAsia"/>
          <w:b w:val="0"/>
          <w:bCs w:val="0"/>
        </w:rPr>
        <w:t>，成员如下：</w:t>
      </w:r>
    </w:p>
    <w:tbl>
      <w:tblPr>
        <w:tblStyle w:val="17"/>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评价人</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职责</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高景山</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评价组组长</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站长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张毅</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质量负责人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阿曼古丽</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技术负责人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屠亚娟</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财务人员</w:t>
            </w:r>
          </w:p>
        </w:tc>
      </w:tr>
    </w:tbl>
    <w:p>
      <w:pPr>
        <w:pStyle w:val="25"/>
        <w:keepNext w:val="0"/>
        <w:keepLines w:val="0"/>
        <w:numPr>
          <w:ilvl w:val="0"/>
          <w:numId w:val="0"/>
        </w:numPr>
        <w:ind w:firstLine="640" w:firstLineChars="200"/>
        <w:outlineLvl w:val="9"/>
        <w:rPr>
          <w:b w:val="0"/>
          <w:bCs w:val="0"/>
        </w:rPr>
      </w:pPr>
      <w:r>
        <w:rPr>
          <w:rFonts w:hint="eastAsia"/>
          <w:b w:val="0"/>
          <w:bCs w:val="0"/>
        </w:rPr>
        <w:t>本次评价设计了评价方案、评价指标体系，通过资料分析、调研、访谈满意度调查等方式形成评价结论，在与项目单位沟通后确定评价意见，并出具评价报告。　</w:t>
      </w:r>
    </w:p>
    <w:p>
      <w:pPr>
        <w:pStyle w:val="23"/>
        <w:numPr>
          <w:ilvl w:val="0"/>
          <w:numId w:val="2"/>
        </w:numPr>
        <w:ind w:firstLineChars="0"/>
      </w:pPr>
      <w:bookmarkStart w:id="7" w:name="_Toc26401558"/>
      <w:r>
        <w:rPr>
          <w:rFonts w:hint="eastAsia" w:ascii="黑体" w:hAnsi="黑体"/>
        </w:rPr>
        <w:t>综合评价情况及评价结论</w:t>
      </w:r>
    </w:p>
    <w:p>
      <w:pPr>
        <w:pStyle w:val="23"/>
        <w:ind w:firstLine="640"/>
        <w:rPr>
          <w:rFonts w:ascii="仿宋_GB2312" w:eastAsia="仿宋_GB2312" w:hAnsiTheme="majorHAnsi"/>
          <w:b w:val="0"/>
          <w:bCs w:val="0"/>
          <w:color w:val="FF0000"/>
          <w:kern w:val="2"/>
        </w:rPr>
      </w:pPr>
      <w:r>
        <w:rPr>
          <w:rFonts w:hint="eastAsia" w:ascii="仿宋_GB2312" w:eastAsia="仿宋_GB2312" w:hAnsiTheme="majorHAnsi"/>
          <w:b w:val="0"/>
          <w:bCs w:val="0"/>
          <w:kern w:val="2"/>
        </w:rPr>
        <w:t>经评价组通过实地调研、资料分析等方式，采用综合分析法、成本效益分析法、最低成本法、标杆管理法（根据实际情况去留）等对项目的决策、管理、绩效进行的综合评价分析，项目得分为</w:t>
      </w:r>
      <w:r>
        <w:rPr>
          <w:rFonts w:hint="eastAsia" w:ascii="仿宋_GB2312" w:eastAsia="仿宋_GB2312" w:hAnsiTheme="majorHAnsi"/>
          <w:b w:val="0"/>
          <w:bCs w:val="0"/>
          <w:kern w:val="2"/>
          <w:lang w:val="en-US" w:eastAsia="zh-CN"/>
        </w:rPr>
        <w:t>100</w:t>
      </w:r>
      <w:r>
        <w:rPr>
          <w:rFonts w:hint="eastAsia" w:ascii="仿宋_GB2312" w:eastAsia="仿宋_GB2312" w:hAnsiTheme="majorHAnsi"/>
          <w:b w:val="0"/>
          <w:bCs w:val="0"/>
          <w:kern w:val="2"/>
        </w:rPr>
        <w:t>分，评价结果为优，详见附件6。</w:t>
      </w:r>
    </w:p>
    <w:p>
      <w:pPr>
        <w:pStyle w:val="23"/>
        <w:numPr>
          <w:ilvl w:val="0"/>
          <w:numId w:val="2"/>
        </w:numPr>
        <w:ind w:firstLineChars="0"/>
      </w:pPr>
      <w:r>
        <w:rPr>
          <w:rFonts w:hint="eastAsia"/>
        </w:rPr>
        <w:t>绩效评价指标分析</w:t>
      </w:r>
      <w:bookmarkEnd w:id="7"/>
    </w:p>
    <w:p>
      <w:pPr>
        <w:pStyle w:val="19"/>
        <w:numPr>
          <w:ilvl w:val="0"/>
          <w:numId w:val="6"/>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28"/>
        <w:ind w:firstLine="640"/>
        <w:rPr>
          <w:rFonts w:ascii="仿宋_GB2312" w:hAnsi="仿宋" w:cs="宋体"/>
          <w:sz w:val="32"/>
          <w:szCs w:val="32"/>
        </w:rPr>
      </w:pPr>
      <w:r>
        <w:rPr>
          <w:rFonts w:hint="eastAsia" w:ascii="仿宋_GB2312" w:hAnsi="仿宋" w:cs="宋体"/>
          <w:sz w:val="32"/>
          <w:szCs w:val="32"/>
        </w:rPr>
        <w:t>本项目的立项符合相关法规政策及部门职责，依据是否充分；项目按照规定的程序申请设立；审批文件、材料符合相关要求。</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根据相关文件要求设置了绩效目标，项目绩效目标基本合理，实际工作内容相关；项目预期产出效益和效果符合正常的业绩水平；与预算确定的项目投资额相匹配。将项目绩效目标细化分解为具体的绩效指标；通过清晰、可衡量的指标值予以体现；与项目目标计划数相对应。</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项目在资金投入方面，预算编制经过科学论证、有明确标准，资金额度与年度目标相适应，用以反映和考核项目预算编制的科学性、合理性情况。项目预算资金分配有测算依据，与地方实际相适应。</w:t>
      </w:r>
    </w:p>
    <w:p>
      <w:pPr>
        <w:pStyle w:val="19"/>
        <w:numPr>
          <w:ilvl w:val="0"/>
          <w:numId w:val="6"/>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在资金管理方面，项目资金到位足额及时，及时支付，资金使用符合国家法规和财务管理制度；资金拨付有完整的审批程序和手续，符合项目预算批复或合同规定的用途；不存在截留、挤占、挪用、虚列支出等情况。</w:t>
      </w:r>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在项目组织实施方面，项目单位制定或具有相应的财务和业务管理制度，财务和业务管理制度合法、合规、完整。项目实施遵守相关法律法规和相关管理规定。</w:t>
      </w:r>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项目调整及支出调整手续完备，资料齐全并及时归档，项目实施的人员条件、场地设备、信息支撑等落实到位。</w:t>
      </w:r>
    </w:p>
    <w:p>
      <w:pPr>
        <w:pStyle w:val="19"/>
        <w:numPr>
          <w:ilvl w:val="0"/>
          <w:numId w:val="6"/>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spacing w:beforeLines="50" w:line="600" w:lineRule="exact"/>
        <w:ind w:firstLine="660"/>
        <w:rPr>
          <w:rFonts w:ascii="仿宋_GB2312" w:eastAsia="仿宋_GB2312"/>
          <w:sz w:val="32"/>
          <w:szCs w:val="32"/>
        </w:rPr>
      </w:pPr>
      <w:r>
        <w:rPr>
          <w:rFonts w:hint="eastAsia" w:ascii="仿宋_GB2312" w:eastAsia="仿宋_GB2312"/>
          <w:sz w:val="32"/>
          <w:szCs w:val="32"/>
        </w:rPr>
        <w:t>项目产出数量指标4个，参加扦样人员人数，预期指标值为3人，实际完成值为3人，指标达到预期目标。</w:t>
      </w:r>
    </w:p>
    <w:p>
      <w:pPr>
        <w:spacing w:beforeLines="50" w:line="600" w:lineRule="exact"/>
        <w:ind w:firstLine="660"/>
        <w:rPr>
          <w:rFonts w:ascii="仿宋_GB2312" w:eastAsia="仿宋_GB2312"/>
          <w:sz w:val="32"/>
          <w:szCs w:val="32"/>
        </w:rPr>
      </w:pPr>
      <w:r>
        <w:rPr>
          <w:rFonts w:hint="eastAsia" w:ascii="仿宋_GB2312" w:eastAsia="仿宋_GB2312"/>
          <w:sz w:val="32"/>
          <w:szCs w:val="32"/>
        </w:rPr>
        <w:t>参加扦样次数，预期指标值为2次，实际完成值为2次，指标达到预期目标。地储粮样品数，预期指标值为64个，实际完成值为64个，指标达到预期目标。</w:t>
      </w:r>
    </w:p>
    <w:p>
      <w:pPr>
        <w:spacing w:beforeLines="50" w:line="600" w:lineRule="exact"/>
        <w:ind w:firstLine="660"/>
        <w:rPr>
          <w:rFonts w:ascii="仿宋_GB2312" w:eastAsia="仿宋_GB2312"/>
          <w:sz w:val="32"/>
          <w:szCs w:val="32"/>
        </w:rPr>
      </w:pPr>
      <w:r>
        <w:rPr>
          <w:rFonts w:hint="eastAsia" w:ascii="仿宋_GB2312" w:eastAsia="仿宋_GB2312"/>
          <w:sz w:val="32"/>
          <w:szCs w:val="32"/>
        </w:rPr>
        <w:t>新收小麦扦样样品数，预期指标值为40个，实际完成值为59个，指标达到预期目标。</w:t>
      </w:r>
    </w:p>
    <w:p>
      <w:pPr>
        <w:spacing w:beforeLines="50" w:line="600" w:lineRule="exact"/>
        <w:ind w:firstLine="640" w:firstLineChars="200"/>
        <w:rPr>
          <w:rFonts w:ascii="仿宋_GB2312" w:eastAsia="仿宋_GB2312"/>
          <w:sz w:val="32"/>
          <w:szCs w:val="32"/>
        </w:rPr>
      </w:pPr>
      <w:r>
        <w:rPr>
          <w:rFonts w:hint="eastAsia" w:ascii="仿宋_GB2312" w:eastAsia="仿宋_GB2312"/>
          <w:sz w:val="32"/>
          <w:szCs w:val="32"/>
        </w:rPr>
        <w:t>项目产出质量指标1个，为对地储粮、每年新收小麦抽样的样品检测合格率，预期指标值为大于等于95%，实际完成值为100%，指标达到预期目标。</w:t>
      </w:r>
    </w:p>
    <w:p>
      <w:pPr>
        <w:spacing w:beforeLines="50" w:line="600" w:lineRule="exact"/>
        <w:ind w:firstLine="660"/>
        <w:rPr>
          <w:rFonts w:ascii="仿宋_GB2312" w:eastAsia="仿宋_GB2312"/>
          <w:sz w:val="32"/>
          <w:szCs w:val="32"/>
        </w:rPr>
      </w:pPr>
      <w:r>
        <w:rPr>
          <w:rFonts w:hint="eastAsia" w:ascii="仿宋_GB2312" w:eastAsia="仿宋_GB2312"/>
          <w:sz w:val="32"/>
          <w:szCs w:val="32"/>
        </w:rPr>
        <w:t>项目产出时效指标2个，扦样开始时间，预期指标值为3月，实际完成值为3月，达到预期目标。</w:t>
      </w:r>
    </w:p>
    <w:p>
      <w:pPr>
        <w:spacing w:beforeLines="50" w:line="600" w:lineRule="exact"/>
        <w:ind w:firstLine="660"/>
        <w:rPr>
          <w:rFonts w:ascii="仿宋_GB2312" w:eastAsia="仿宋_GB2312"/>
          <w:sz w:val="32"/>
          <w:szCs w:val="32"/>
        </w:rPr>
      </w:pPr>
      <w:r>
        <w:rPr>
          <w:rFonts w:hint="eastAsia" w:ascii="仿宋_GB2312" w:eastAsia="仿宋_GB2312"/>
          <w:sz w:val="32"/>
          <w:szCs w:val="32"/>
        </w:rPr>
        <w:t>扦样结束时间，预期指标值为12月，实际完成值为12月，达到预期目标。</w:t>
      </w:r>
    </w:p>
    <w:p>
      <w:pPr>
        <w:spacing w:beforeLines="50" w:line="600" w:lineRule="exact"/>
        <w:ind w:firstLine="660"/>
        <w:rPr>
          <w:rFonts w:ascii="仿宋_GB2312" w:eastAsia="仿宋_GB2312"/>
          <w:sz w:val="32"/>
          <w:szCs w:val="32"/>
        </w:rPr>
      </w:pPr>
      <w:r>
        <w:rPr>
          <w:rFonts w:hint="eastAsia" w:ascii="仿宋_GB2312" w:eastAsia="仿宋_GB2312"/>
          <w:sz w:val="32"/>
          <w:szCs w:val="32"/>
        </w:rPr>
        <w:t>项目产出成本指标2个，粮食安全检验监测项目计划所需办公费用，预期指标值为8.84万元，实际完成值为8.84万元，达到预期目标。</w:t>
      </w:r>
    </w:p>
    <w:p>
      <w:pPr>
        <w:spacing w:beforeLines="50" w:line="600" w:lineRule="exact"/>
        <w:ind w:firstLine="660"/>
        <w:rPr>
          <w:rFonts w:ascii="仿宋_GB2312" w:eastAsia="仿宋_GB2312"/>
          <w:sz w:val="32"/>
          <w:szCs w:val="32"/>
        </w:rPr>
      </w:pPr>
      <w:r>
        <w:rPr>
          <w:rFonts w:hint="eastAsia" w:ascii="仿宋_GB2312" w:eastAsia="仿宋_GB2312"/>
          <w:sz w:val="32"/>
          <w:szCs w:val="32"/>
        </w:rPr>
        <w:t>粮食安全检验监测项目计划所需差旅费用，预期指标值为1.16万元，实际完成值为1.16万元，达到预期目标。</w:t>
      </w:r>
    </w:p>
    <w:p>
      <w:pPr>
        <w:pStyle w:val="19"/>
        <w:numPr>
          <w:ilvl w:val="0"/>
          <w:numId w:val="6"/>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项目效益情况</w:t>
      </w:r>
    </w:p>
    <w:p>
      <w:pPr>
        <w:spacing w:beforeLines="50" w:line="600" w:lineRule="exact"/>
        <w:ind w:firstLine="640" w:firstLineChars="200"/>
        <w:rPr>
          <w:rFonts w:ascii="仿宋_GB2312" w:hAnsi="仿宋" w:eastAsia="仿宋_GB2312" w:cs="宋体"/>
          <w:bCs/>
          <w:sz w:val="32"/>
          <w:szCs w:val="32"/>
        </w:rPr>
      </w:pPr>
      <w:r>
        <w:rPr>
          <w:rFonts w:ascii="仿宋_GB2312" w:hAnsi="仿宋" w:eastAsia="仿宋_GB2312" w:cs="宋体"/>
          <w:bCs/>
          <w:sz w:val="32"/>
          <w:szCs w:val="32"/>
        </w:rPr>
        <w:t xml:space="preserve"> </w:t>
      </w:r>
      <w:r>
        <w:rPr>
          <w:rFonts w:hint="eastAsia" w:ascii="仿宋_GB2312" w:hAnsi="仿宋" w:eastAsia="仿宋_GB2312" w:cs="宋体"/>
          <w:bCs/>
          <w:sz w:val="32"/>
          <w:szCs w:val="32"/>
        </w:rPr>
        <w:t>项目实施产生的经济效益</w:t>
      </w:r>
      <w:r>
        <w:rPr>
          <w:rFonts w:hint="eastAsia" w:ascii="仿宋_GB2312" w:eastAsia="仿宋_GB2312"/>
          <w:sz w:val="32"/>
          <w:szCs w:val="32"/>
        </w:rPr>
        <w:t>指标为严防不符合食品安全标准的粮食流入口粮市场，减少企业损失，预期指标值为有效减少，实际完成值为达到了预期目标</w:t>
      </w:r>
      <w:r>
        <w:rPr>
          <w:rFonts w:hint="eastAsia" w:ascii="仿宋_GB2312" w:hAnsi="仿宋" w:eastAsia="仿宋_GB2312" w:cs="宋体"/>
          <w:bCs/>
          <w:sz w:val="32"/>
          <w:szCs w:val="32"/>
        </w:rPr>
        <w:t>，达到了预期目标。</w:t>
      </w:r>
    </w:p>
    <w:p>
      <w:pPr>
        <w:spacing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项目实施产生的社会效益</w:t>
      </w:r>
      <w:r>
        <w:rPr>
          <w:rFonts w:hint="eastAsia" w:ascii="仿宋_GB2312" w:eastAsia="仿宋_GB2312"/>
          <w:sz w:val="32"/>
          <w:szCs w:val="32"/>
        </w:rPr>
        <w:t>指标为保障人民群众的口粮安全，预期指标值为有效保障，实际完成值为达到了预期目标</w:t>
      </w:r>
      <w:r>
        <w:rPr>
          <w:rFonts w:hint="eastAsia" w:ascii="仿宋_GB2312" w:hAnsi="仿宋" w:eastAsia="仿宋_GB2312" w:cs="宋体"/>
          <w:bCs/>
          <w:sz w:val="32"/>
          <w:szCs w:val="32"/>
        </w:rPr>
        <w:t>，达到了预期目标。</w:t>
      </w:r>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项目实施产生的生态效益指标无。</w:t>
      </w:r>
    </w:p>
    <w:p>
      <w:pPr>
        <w:spacing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项目的可持续效益效益</w:t>
      </w:r>
      <w:r>
        <w:rPr>
          <w:rFonts w:hint="eastAsia" w:ascii="仿宋_GB2312" w:eastAsia="仿宋_GB2312"/>
          <w:sz w:val="32"/>
          <w:szCs w:val="32"/>
        </w:rPr>
        <w:t>指标为促进粮食安全可持续发展，预期指标值为长期，实际完成值为达到了预期目标</w:t>
      </w:r>
      <w:r>
        <w:rPr>
          <w:rFonts w:hint="eastAsia" w:ascii="仿宋_GB2312" w:hAnsi="仿宋" w:eastAsia="仿宋_GB2312" w:cs="宋体"/>
          <w:bCs/>
          <w:sz w:val="32"/>
          <w:szCs w:val="32"/>
        </w:rPr>
        <w:t>，达到了预期目标。</w:t>
      </w:r>
    </w:p>
    <w:p>
      <w:pPr>
        <w:spacing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经问卷调查，项目收益群众满意度为95%：达到了预期目标。</w:t>
      </w:r>
    </w:p>
    <w:p>
      <w:pPr>
        <w:pStyle w:val="23"/>
        <w:numPr>
          <w:ilvl w:val="0"/>
          <w:numId w:val="2"/>
        </w:numPr>
        <w:ind w:firstLineChars="0"/>
      </w:pPr>
      <w:r>
        <w:rPr>
          <w:rFonts w:hint="eastAsia" w:ascii="黑体" w:hAnsi="黑体"/>
        </w:rPr>
        <w:t>主要经验及做法、存在的问题及原因分析</w:t>
      </w:r>
    </w:p>
    <w:p>
      <w:pPr>
        <w:pStyle w:val="25"/>
        <w:numPr>
          <w:ilvl w:val="0"/>
          <w:numId w:val="7"/>
        </w:numPr>
        <w:ind w:left="0" w:firstLine="643" w:firstLineChars="200"/>
      </w:pPr>
      <w:r>
        <w:rPr>
          <w:rFonts w:hint="eastAsia"/>
        </w:rPr>
        <w:t>主要经验及做法</w:t>
      </w:r>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本项目实施效果较好的原因主要是管理制度完善、责任落实到位，跟踪考核机制完善且运行有效，在项目实施过程中创新管理办法，采用预算绩效管理方式使项目取得了资金合理使用良好的效果。</w:t>
      </w:r>
    </w:p>
    <w:p>
      <w:pPr>
        <w:pStyle w:val="25"/>
        <w:numPr>
          <w:ilvl w:val="0"/>
          <w:numId w:val="7"/>
        </w:numPr>
        <w:ind w:left="0" w:firstLine="643" w:firstLineChars="200"/>
      </w:pPr>
      <w:r>
        <w:rPr>
          <w:rFonts w:hint="eastAsia"/>
        </w:rPr>
        <w:t>存在的问题及原因分析</w:t>
      </w:r>
    </w:p>
    <w:p>
      <w:pPr>
        <w:adjustRightInd w:val="0"/>
        <w:snapToGrid w:val="0"/>
        <w:spacing w:line="560" w:lineRule="exact"/>
        <w:ind w:firstLine="420" w:firstLineChars="200"/>
        <w:rPr>
          <w:rFonts w:ascii="仿宋_GB2312" w:hAnsi="仿宋" w:eastAsia="仿宋_GB2312"/>
          <w:bCs/>
          <w:color w:val="000000" w:themeColor="text1"/>
          <w:spacing w:val="-4"/>
          <w:sz w:val="32"/>
          <w:szCs w:val="32"/>
        </w:rPr>
      </w:pPr>
      <w:r>
        <w:rPr>
          <w:rFonts w:hint="eastAsia"/>
        </w:rPr>
        <w:t xml:space="preserve"> </w:t>
      </w:r>
      <w:r>
        <w:t xml:space="preserve"> </w:t>
      </w:r>
      <w:r>
        <w:rPr>
          <w:rFonts w:hint="eastAsia" w:ascii="仿宋_GB2312" w:hAnsi="仿宋" w:eastAsia="仿宋_GB2312"/>
          <w:bCs/>
          <w:color w:val="000000" w:themeColor="text1"/>
          <w:spacing w:val="-4"/>
          <w:sz w:val="32"/>
          <w:szCs w:val="32"/>
        </w:rPr>
        <w:t>通过预算绩效管理，发现了工作中存在的不足，前期资金使用因项目预算下达较晚，部分支出未按期支付，导致了资金滞缓，影响了项目的进度，造成了部分资金的浪费。</w:t>
      </w:r>
    </w:p>
    <w:p>
      <w:pPr>
        <w:pStyle w:val="23"/>
        <w:numPr>
          <w:ilvl w:val="0"/>
          <w:numId w:val="2"/>
        </w:numPr>
        <w:ind w:firstLineChars="0"/>
        <w:rPr>
          <w:rFonts w:ascii="黑体" w:hAnsi="黑体"/>
        </w:rPr>
      </w:pPr>
      <w:r>
        <w:rPr>
          <w:rFonts w:hint="eastAsia" w:ascii="黑体" w:hAnsi="黑体"/>
        </w:rPr>
        <w:t>有关建议</w:t>
      </w:r>
    </w:p>
    <w:p>
      <w:pPr>
        <w:adjustRightInd w:val="0"/>
        <w:snapToGrid w:val="0"/>
        <w:spacing w:line="560" w:lineRule="exact"/>
        <w:ind w:firstLine="420" w:firstLineChars="200"/>
        <w:rPr>
          <w:rFonts w:ascii="仿宋_GB2312" w:hAnsi="仿宋" w:eastAsia="仿宋_GB2312"/>
          <w:bCs/>
          <w:color w:val="000000" w:themeColor="text1"/>
          <w:spacing w:val="-4"/>
          <w:sz w:val="32"/>
          <w:szCs w:val="32"/>
        </w:rPr>
      </w:pPr>
      <w:r>
        <w:rPr>
          <w:rFonts w:ascii="黑体" w:hAnsi="黑体"/>
        </w:rPr>
        <w:t xml:space="preserve"> </w:t>
      </w:r>
      <w:r>
        <w:rPr>
          <w:rFonts w:ascii="仿宋_GB2312" w:hAnsi="仿宋" w:eastAsia="仿宋_GB2312" w:cs="宋体"/>
        </w:rPr>
        <w:t xml:space="preserve"> </w:t>
      </w:r>
      <w:r>
        <w:rPr>
          <w:rFonts w:hint="eastAsia" w:ascii="仿宋_GB2312" w:hAnsi="仿宋" w:eastAsia="仿宋_GB2312"/>
          <w:bCs/>
          <w:color w:val="000000" w:themeColor="text1"/>
          <w:spacing w:val="-4"/>
          <w:sz w:val="32"/>
          <w:szCs w:val="32"/>
        </w:rPr>
        <w:t>年初做好资金计划，按照项目进度及时拨付资金，使资金使用效益最大化，减少不必要的浪费，节约成本。</w:t>
      </w:r>
    </w:p>
    <w:p>
      <w:pPr>
        <w:pStyle w:val="23"/>
        <w:numPr>
          <w:ilvl w:val="0"/>
          <w:numId w:val="2"/>
        </w:numPr>
        <w:ind w:firstLineChars="0"/>
        <w:rPr>
          <w:rFonts w:ascii="黑体" w:hAnsi="黑体"/>
        </w:rPr>
      </w:pPr>
      <w:r>
        <w:rPr>
          <w:rFonts w:hint="eastAsia" w:ascii="黑体" w:hAnsi="黑体"/>
        </w:rPr>
        <w:t>其他需要说明的问题</w:t>
      </w:r>
    </w:p>
    <w:p>
      <w:pPr>
        <w:pStyle w:val="23"/>
        <w:ind w:firstLine="640"/>
        <w:rPr>
          <w:rFonts w:ascii="仿宋_GB2312" w:hAnsi="仿宋" w:eastAsia="仿宋_GB2312" w:cs="宋体"/>
        </w:rPr>
      </w:pPr>
      <w:r>
        <w:rPr>
          <w:rFonts w:hint="eastAsia" w:ascii="仿宋_GB2312" w:hAnsi="仿宋" w:eastAsia="仿宋_GB2312" w:cs="宋体"/>
          <w:b w:val="0"/>
          <w:kern w:val="2"/>
        </w:rPr>
        <w:t>无其他需要说明的问题。</w:t>
      </w:r>
    </w:p>
    <w:p>
      <w:pPr>
        <w:spacing w:beforeLines="50" w:line="600" w:lineRule="exact"/>
        <w:ind w:firstLine="640" w:firstLineChars="200"/>
        <w:rPr>
          <w:rFonts w:ascii="仿宋_GB2312" w:hAnsi="仿宋" w:eastAsia="仿宋_GB2312" w:cs="宋体"/>
          <w:sz w:val="32"/>
          <w:szCs w:val="32"/>
        </w:rPr>
      </w:pPr>
    </w:p>
    <w:p>
      <w:pPr>
        <w:spacing w:beforeLines="50" w:line="600" w:lineRule="exact"/>
        <w:ind w:firstLine="640" w:firstLineChars="200"/>
        <w:rPr>
          <w:rFonts w:ascii="仿宋_GB2312" w:hAnsi="仿宋" w:eastAsia="仿宋_GB2312" w:cs="宋体"/>
          <w:sz w:val="32"/>
          <w:szCs w:val="32"/>
        </w:rPr>
      </w:pP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附件1：新疆喀什国家粮食质量监测站粮食质量安全检验监测项目支出绩效目标申报表</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附件2：新疆喀什国家粮食质量监测站粮食质量安全检验监测项目支出绩效目标表</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附件3：新疆喀什国家粮食质量监测站粮食质量安全检验监测项目支出绩效自评表</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附件4：新疆喀什国家粮食质量监测站粮食质量安全检验监测项目支出绩效评价指标体系</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附件5：绩效评价依据</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附件6：新疆喀什国家粮食质量监测站粮食质量安全检验监测项目支出绩效评价评分表</w:t>
      </w:r>
    </w:p>
    <w:p>
      <w:pPr>
        <w:spacing w:beforeLines="50" w:line="600" w:lineRule="exact"/>
        <w:ind w:firstLine="640" w:firstLineChars="200"/>
        <w:rPr>
          <w:rFonts w:ascii="仿宋_GB2312" w:hAnsi="仿宋" w:eastAsia="仿宋_GB2312" w:cs="宋体"/>
          <w:sz w:val="32"/>
          <w:szCs w:val="32"/>
        </w:rPr>
      </w:pPr>
    </w:p>
    <w:bookmarkEnd w:id="8"/>
    <w:sectPr>
      <w:footerReference r:id="rId3" w:type="default"/>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Light">
    <w:altName w:val="微软雅黑"/>
    <w:panose1 w:val="00000000000000000000"/>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Light">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1">
    <w:nsid w:val="3A7260C0"/>
    <w:multiLevelType w:val="multilevel"/>
    <w:tmpl w:val="3A7260C0"/>
    <w:lvl w:ilvl="0" w:tentative="0">
      <w:start w:val="1"/>
      <w:numFmt w:val="chineseCountingThousand"/>
      <w:pStyle w:val="25"/>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4">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5"/>
  </w:num>
  <w:num w:numId="3">
    <w:abstractNumId w:val="3"/>
  </w:num>
  <w:num w:numId="4">
    <w:abstractNumId w:val="2"/>
  </w:num>
  <w:num w:numId="5">
    <w:abstractNumId w:val="0"/>
  </w:num>
  <w:num w:numId="6">
    <w:abstractNumId w:val="4"/>
  </w:num>
  <w:num w:numId="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0"/>
  <w:drawingGridHorizontalSpacing w:val="210"/>
  <w:drawingGridVerticalSpacing w:val="158"/>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75715"/>
    <w:rsid w:val="00022413"/>
    <w:rsid w:val="00037F93"/>
    <w:rsid w:val="00042126"/>
    <w:rsid w:val="000605C0"/>
    <w:rsid w:val="000C7EF1"/>
    <w:rsid w:val="000E0C7B"/>
    <w:rsid w:val="000F2007"/>
    <w:rsid w:val="00100A64"/>
    <w:rsid w:val="00100AA9"/>
    <w:rsid w:val="001143D6"/>
    <w:rsid w:val="0012798F"/>
    <w:rsid w:val="00132553"/>
    <w:rsid w:val="00151AF1"/>
    <w:rsid w:val="001617B4"/>
    <w:rsid w:val="00174F3A"/>
    <w:rsid w:val="0018169D"/>
    <w:rsid w:val="00193649"/>
    <w:rsid w:val="0019720C"/>
    <w:rsid w:val="001A1902"/>
    <w:rsid w:val="001A4FFA"/>
    <w:rsid w:val="001B5279"/>
    <w:rsid w:val="001B5B44"/>
    <w:rsid w:val="001D5FF2"/>
    <w:rsid w:val="001D6F2E"/>
    <w:rsid w:val="001E28D5"/>
    <w:rsid w:val="00203FB6"/>
    <w:rsid w:val="002254DF"/>
    <w:rsid w:val="00233ECE"/>
    <w:rsid w:val="00297A4D"/>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4F179F"/>
    <w:rsid w:val="005225F1"/>
    <w:rsid w:val="00531253"/>
    <w:rsid w:val="00540B36"/>
    <w:rsid w:val="00563E06"/>
    <w:rsid w:val="0056751D"/>
    <w:rsid w:val="00577042"/>
    <w:rsid w:val="00584D04"/>
    <w:rsid w:val="0058554B"/>
    <w:rsid w:val="0059540B"/>
    <w:rsid w:val="00596DDF"/>
    <w:rsid w:val="005B6EAB"/>
    <w:rsid w:val="005D7AC7"/>
    <w:rsid w:val="00630575"/>
    <w:rsid w:val="00630E69"/>
    <w:rsid w:val="006362B2"/>
    <w:rsid w:val="0065420A"/>
    <w:rsid w:val="006869EC"/>
    <w:rsid w:val="00694A44"/>
    <w:rsid w:val="006D0AA4"/>
    <w:rsid w:val="006F2513"/>
    <w:rsid w:val="006F64CB"/>
    <w:rsid w:val="007161B2"/>
    <w:rsid w:val="0071759F"/>
    <w:rsid w:val="007253B3"/>
    <w:rsid w:val="00731D46"/>
    <w:rsid w:val="00734BAD"/>
    <w:rsid w:val="00751DC8"/>
    <w:rsid w:val="00752C57"/>
    <w:rsid w:val="00781733"/>
    <w:rsid w:val="00781E4A"/>
    <w:rsid w:val="007C5CF9"/>
    <w:rsid w:val="007D1E08"/>
    <w:rsid w:val="007D340B"/>
    <w:rsid w:val="007E6392"/>
    <w:rsid w:val="007F3C25"/>
    <w:rsid w:val="00811F2D"/>
    <w:rsid w:val="00815938"/>
    <w:rsid w:val="008226BA"/>
    <w:rsid w:val="00827DA6"/>
    <w:rsid w:val="00835103"/>
    <w:rsid w:val="00854416"/>
    <w:rsid w:val="00866F54"/>
    <w:rsid w:val="00883FF2"/>
    <w:rsid w:val="0089293E"/>
    <w:rsid w:val="00893E6C"/>
    <w:rsid w:val="008C6458"/>
    <w:rsid w:val="008D7BC7"/>
    <w:rsid w:val="0090104C"/>
    <w:rsid w:val="00965DF2"/>
    <w:rsid w:val="00982B10"/>
    <w:rsid w:val="009C0267"/>
    <w:rsid w:val="009E5354"/>
    <w:rsid w:val="00A10F1E"/>
    <w:rsid w:val="00A12A0C"/>
    <w:rsid w:val="00A31499"/>
    <w:rsid w:val="00A365D5"/>
    <w:rsid w:val="00A41DB8"/>
    <w:rsid w:val="00A43094"/>
    <w:rsid w:val="00A53361"/>
    <w:rsid w:val="00A56072"/>
    <w:rsid w:val="00A5786D"/>
    <w:rsid w:val="00A60191"/>
    <w:rsid w:val="00A74436"/>
    <w:rsid w:val="00A81609"/>
    <w:rsid w:val="00A85237"/>
    <w:rsid w:val="00AB07C5"/>
    <w:rsid w:val="00AB646F"/>
    <w:rsid w:val="00AD33EA"/>
    <w:rsid w:val="00AE1FDF"/>
    <w:rsid w:val="00AE3042"/>
    <w:rsid w:val="00B03B29"/>
    <w:rsid w:val="00B16C8F"/>
    <w:rsid w:val="00B32FA4"/>
    <w:rsid w:val="00B3414B"/>
    <w:rsid w:val="00B36F46"/>
    <w:rsid w:val="00B47B13"/>
    <w:rsid w:val="00B53BE4"/>
    <w:rsid w:val="00B6063F"/>
    <w:rsid w:val="00B77E13"/>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0563"/>
    <w:rsid w:val="00DC5F94"/>
    <w:rsid w:val="00DE152F"/>
    <w:rsid w:val="00DE293B"/>
    <w:rsid w:val="00E05626"/>
    <w:rsid w:val="00E25B2F"/>
    <w:rsid w:val="00E27589"/>
    <w:rsid w:val="00E373A5"/>
    <w:rsid w:val="00E413D0"/>
    <w:rsid w:val="00E66A4D"/>
    <w:rsid w:val="00E72B1C"/>
    <w:rsid w:val="00E96169"/>
    <w:rsid w:val="00EF7B48"/>
    <w:rsid w:val="00F0780F"/>
    <w:rsid w:val="00F16D54"/>
    <w:rsid w:val="00F41E41"/>
    <w:rsid w:val="00F6015C"/>
    <w:rsid w:val="00F75715"/>
    <w:rsid w:val="00FB2E2F"/>
    <w:rsid w:val="00FD300A"/>
    <w:rsid w:val="00FF137F"/>
    <w:rsid w:val="00FF6959"/>
    <w:rsid w:val="00FF6C14"/>
    <w:rsid w:val="01BE6316"/>
    <w:rsid w:val="0D451A1E"/>
    <w:rsid w:val="0D7F745A"/>
    <w:rsid w:val="16E81595"/>
    <w:rsid w:val="217F35A7"/>
    <w:rsid w:val="24E73B1F"/>
    <w:rsid w:val="26F03C06"/>
    <w:rsid w:val="2A547683"/>
    <w:rsid w:val="2AAF67E8"/>
    <w:rsid w:val="3AD573AD"/>
    <w:rsid w:val="4ACF54EB"/>
    <w:rsid w:val="4D3C574C"/>
    <w:rsid w:val="57964064"/>
    <w:rsid w:val="667765BF"/>
    <w:rsid w:val="7775238E"/>
    <w:rsid w:val="7A863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8"/>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semiHidden/>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5">
    <w:name w:val="toc 3"/>
    <w:basedOn w:val="1"/>
    <w:next w:val="1"/>
    <w:semiHidden/>
    <w:unhideWhenUsed/>
    <w:qFormat/>
    <w:uiPriority w:val="39"/>
    <w:rPr>
      <w:rFonts w:eastAsia="仿宋_GB2312"/>
      <w:sz w:val="28"/>
    </w:rPr>
  </w:style>
  <w:style w:type="paragraph" w:styleId="6">
    <w:name w:val="Date"/>
    <w:basedOn w:val="1"/>
    <w:next w:val="1"/>
    <w:link w:val="37"/>
    <w:semiHidden/>
    <w:unhideWhenUsed/>
    <w:qFormat/>
    <w:uiPriority w:val="99"/>
    <w:pPr>
      <w:ind w:left="100" w:leftChars="2500"/>
    </w:pPr>
  </w:style>
  <w:style w:type="paragraph" w:styleId="7">
    <w:name w:val="Balloon Text"/>
    <w:basedOn w:val="1"/>
    <w:link w:val="22"/>
    <w:semiHidden/>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Strong"/>
    <w:basedOn w:val="13"/>
    <w:qFormat/>
    <w:uiPriority w:val="0"/>
    <w:rPr>
      <w:b/>
      <w:bCs/>
    </w:rPr>
  </w:style>
  <w:style w:type="character" w:styleId="15">
    <w:name w:val="Hyperlink"/>
    <w:basedOn w:val="13"/>
    <w:unhideWhenUsed/>
    <w:qFormat/>
    <w:uiPriority w:val="99"/>
    <w:rPr>
      <w:color w:val="0563C1" w:themeColor="hyperlink"/>
      <w:u w:val="single"/>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8">
    <w:name w:val="标题 1 Char"/>
    <w:basedOn w:val="13"/>
    <w:link w:val="2"/>
    <w:qFormat/>
    <w:uiPriority w:val="9"/>
    <w:rPr>
      <w:rFonts w:ascii="Times New Roman" w:hAnsi="Times New Roman" w:eastAsia="黑体" w:cs="Arial"/>
      <w:b/>
      <w:bCs/>
      <w:kern w:val="44"/>
      <w:sz w:val="28"/>
      <w:szCs w:val="44"/>
    </w:rPr>
  </w:style>
  <w:style w:type="paragraph" w:styleId="19">
    <w:name w:val="List Paragraph"/>
    <w:basedOn w:val="1"/>
    <w:qFormat/>
    <w:uiPriority w:val="34"/>
    <w:pPr>
      <w:ind w:firstLine="420" w:firstLineChars="200"/>
    </w:pPr>
  </w:style>
  <w:style w:type="character" w:customStyle="1" w:styleId="20">
    <w:name w:val="页眉 Char"/>
    <w:basedOn w:val="13"/>
    <w:link w:val="9"/>
    <w:qFormat/>
    <w:uiPriority w:val="99"/>
    <w:rPr>
      <w:sz w:val="18"/>
      <w:szCs w:val="18"/>
    </w:rPr>
  </w:style>
  <w:style w:type="character" w:customStyle="1" w:styleId="21">
    <w:name w:val="页脚 Char"/>
    <w:basedOn w:val="13"/>
    <w:link w:val="8"/>
    <w:qFormat/>
    <w:uiPriority w:val="99"/>
    <w:rPr>
      <w:sz w:val="18"/>
      <w:szCs w:val="18"/>
    </w:rPr>
  </w:style>
  <w:style w:type="character" w:customStyle="1" w:styleId="22">
    <w:name w:val="批注框文本 Char"/>
    <w:basedOn w:val="13"/>
    <w:link w:val="7"/>
    <w:semiHidden/>
    <w:qFormat/>
    <w:uiPriority w:val="99"/>
    <w:rPr>
      <w:sz w:val="18"/>
      <w:szCs w:val="18"/>
    </w:rPr>
  </w:style>
  <w:style w:type="paragraph" w:customStyle="1" w:styleId="23">
    <w:name w:val="标题1"/>
    <w:basedOn w:val="2"/>
    <w:qFormat/>
    <w:uiPriority w:val="0"/>
    <w:pPr>
      <w:spacing w:before="120" w:after="120" w:line="500" w:lineRule="exact"/>
      <w:ind w:firstLine="200" w:firstLineChars="200"/>
    </w:pPr>
    <w:rPr>
      <w:rFonts w:cs="Times New Roman"/>
      <w:sz w:val="32"/>
      <w:szCs w:val="32"/>
    </w:rPr>
  </w:style>
  <w:style w:type="character" w:customStyle="1" w:styleId="24">
    <w:name w:val="标题 2 Char"/>
    <w:basedOn w:val="13"/>
    <w:link w:val="3"/>
    <w:qFormat/>
    <w:uiPriority w:val="9"/>
    <w:rPr>
      <w:rFonts w:asciiTheme="majorHAnsi" w:hAnsiTheme="majorHAnsi" w:eastAsiaTheme="majorEastAsia" w:cstheme="majorBidi"/>
      <w:b/>
      <w:bCs/>
      <w:sz w:val="32"/>
      <w:szCs w:val="32"/>
    </w:rPr>
  </w:style>
  <w:style w:type="paragraph" w:customStyle="1" w:styleId="25">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7">
    <w:name w:val="闻政正文 Char"/>
    <w:link w:val="28"/>
    <w:qFormat/>
    <w:uiPriority w:val="0"/>
    <w:rPr>
      <w:rFonts w:ascii="Times New Roman" w:hAnsi="Times New Roman" w:eastAsia="仿宋_GB2312" w:cs="Times New Roman"/>
      <w:sz w:val="28"/>
      <w:szCs w:val="28"/>
    </w:rPr>
  </w:style>
  <w:style w:type="paragraph" w:customStyle="1" w:styleId="28">
    <w:name w:val="闻政正文"/>
    <w:basedOn w:val="1"/>
    <w:link w:val="27"/>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9">
    <w:name w:val="闻政表 Char"/>
    <w:link w:val="30"/>
    <w:qFormat/>
    <w:uiPriority w:val="0"/>
    <w:rPr>
      <w:rFonts w:ascii="Times New Roman" w:hAnsi="Times New Roman" w:eastAsia="仿宋_GB2312" w:cs="Times New Roman"/>
      <w:b/>
      <w:sz w:val="24"/>
      <w:szCs w:val="28"/>
    </w:rPr>
  </w:style>
  <w:style w:type="paragraph" w:customStyle="1" w:styleId="30">
    <w:name w:val="闻政表"/>
    <w:basedOn w:val="1"/>
    <w:link w:val="29"/>
    <w:qFormat/>
    <w:uiPriority w:val="0"/>
    <w:pPr>
      <w:spacing w:before="60" w:after="60"/>
      <w:jc w:val="center"/>
    </w:pPr>
    <w:rPr>
      <w:rFonts w:ascii="Times New Roman" w:hAnsi="Times New Roman" w:eastAsia="仿宋_GB2312" w:cs="Times New Roman"/>
      <w:b/>
      <w:sz w:val="24"/>
      <w:szCs w:val="28"/>
    </w:rPr>
  </w:style>
  <w:style w:type="paragraph" w:customStyle="1" w:styleId="31">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2">
    <w:name w:val="闻政标题3 Char"/>
    <w:link w:val="33"/>
    <w:qFormat/>
    <w:uiPriority w:val="0"/>
    <w:rPr>
      <w:rFonts w:ascii="黑体" w:hAnsi="黑体" w:eastAsia="黑体" w:cs="Times New Roman"/>
      <w:bCs/>
      <w:sz w:val="32"/>
      <w:szCs w:val="32"/>
    </w:rPr>
  </w:style>
  <w:style w:type="paragraph" w:customStyle="1" w:styleId="33">
    <w:name w:val="闻政标题3"/>
    <w:basedOn w:val="4"/>
    <w:link w:val="32"/>
    <w:qFormat/>
    <w:uiPriority w:val="99"/>
    <w:pPr>
      <w:spacing w:before="120" w:after="60" w:line="500" w:lineRule="exact"/>
      <w:jc w:val="left"/>
      <w:outlineLvl w:val="0"/>
    </w:pPr>
    <w:rPr>
      <w:rFonts w:ascii="黑体" w:hAnsi="黑体" w:eastAsia="黑体" w:cs="Times New Roman"/>
      <w:b w:val="0"/>
    </w:rPr>
  </w:style>
  <w:style w:type="character" w:customStyle="1" w:styleId="34">
    <w:name w:val="标题 3 Char"/>
    <w:basedOn w:val="13"/>
    <w:link w:val="4"/>
    <w:semiHidden/>
    <w:qFormat/>
    <w:uiPriority w:val="9"/>
    <w:rPr>
      <w:b/>
      <w:bCs/>
      <w:sz w:val="32"/>
      <w:szCs w:val="32"/>
    </w:rPr>
  </w:style>
  <w:style w:type="paragraph" w:customStyle="1" w:styleId="35">
    <w:name w:val="Body text|1"/>
    <w:basedOn w:val="1"/>
    <w:link w:val="36"/>
    <w:qFormat/>
    <w:uiPriority w:val="0"/>
    <w:pPr>
      <w:spacing w:after="40" w:line="334" w:lineRule="auto"/>
    </w:pPr>
    <w:rPr>
      <w:rFonts w:ascii="MingLiU" w:hAnsi="MingLiU" w:eastAsia="MingLiU" w:cs="MingLiU"/>
      <w:sz w:val="20"/>
      <w:szCs w:val="20"/>
      <w:lang w:val="zh-TW" w:eastAsia="zh-TW" w:bidi="zh-TW"/>
    </w:rPr>
  </w:style>
  <w:style w:type="character" w:customStyle="1" w:styleId="36">
    <w:name w:val="Body text|1_"/>
    <w:basedOn w:val="13"/>
    <w:link w:val="35"/>
    <w:unhideWhenUsed/>
    <w:qFormat/>
    <w:uiPriority w:val="0"/>
    <w:rPr>
      <w:rFonts w:ascii="MingLiU" w:hAnsi="MingLiU" w:eastAsia="MingLiU" w:cs="MingLiU"/>
      <w:sz w:val="20"/>
      <w:szCs w:val="20"/>
      <w:lang w:val="zh-TW" w:eastAsia="zh-TW" w:bidi="zh-TW"/>
    </w:rPr>
  </w:style>
  <w:style w:type="character" w:customStyle="1" w:styleId="37">
    <w:name w:val="日期 Char"/>
    <w:basedOn w:val="13"/>
    <w:link w:val="6"/>
    <w:semiHidden/>
    <w:qFormat/>
    <w:uiPriority w:val="99"/>
    <w:rPr>
      <w:rFonts w:asciiTheme="minorHAnsi" w:hAnsiTheme="minorHAnsi" w:eastAsiaTheme="minorEastAsia" w:cstheme="minorBidi"/>
      <w:kern w:val="2"/>
      <w:sz w:val="21"/>
      <w:szCs w:val="21"/>
      <w:lang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276249-D791-4102-A5D8-6EDFB718AEAD}">
  <ds:schemaRefs/>
</ds:datastoreItem>
</file>

<file path=docProps/app.xml><?xml version="1.0" encoding="utf-8"?>
<Properties xmlns="http://schemas.openxmlformats.org/officeDocument/2006/extended-properties" xmlns:vt="http://schemas.openxmlformats.org/officeDocument/2006/docPropsVTypes">
  <Template>Normal.dotm</Template>
  <Pages>11</Pages>
  <Words>614</Words>
  <Characters>3504</Characters>
  <Lines>29</Lines>
  <Paragraphs>8</Paragraphs>
  <TotalTime>98</TotalTime>
  <ScaleCrop>false</ScaleCrop>
  <LinksUpToDate>false</LinksUpToDate>
  <CharactersWithSpaces>4110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ASUS</cp:lastModifiedBy>
  <cp:lastPrinted>2020-05-11T10:10:00Z</cp:lastPrinted>
  <dcterms:modified xsi:type="dcterms:W3CDTF">2020-09-05T06:03:04Z</dcterms:modified>
  <dc:title>新疆普天鹏华商务信息咨询有限公司</dc:title>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