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新疆总工会喀什地区办事处2019年度部门决算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rPr>
          <w:rFonts w:ascii="仿宋_GB2312" w:eastAsia="仿宋_GB2312"/>
          <w:sz w:val="32"/>
          <w:szCs w:val="32"/>
        </w:rPr>
      </w:pPr>
      <w:r>
        <w:rPr>
          <w:rFonts w:hint="eastAsia" w:ascii="仿宋_GB2312" w:eastAsia="仿宋_GB2312"/>
          <w:sz w:val="32"/>
          <w:szCs w:val="32"/>
        </w:rPr>
        <w:t xml:space="preserve">    1.根据党的基本理论、基本路线、基本纲领和工运方针，围绕地委的工作部署要求，研究制定工作计划，组织、指导、开展本地区的工会工作。2.依照法律和《中国工会章程》，组织和指导各级工会坚定不移地贯彻落实党的全心全意依靠工人阶级的根本指导方针，进一步突出和履行维护职能。3.对有关职工合法权益的重大问题进行调查研究，向地委、行署反映职工的思想、愿望和要求，并提出意见和建议。4.指导基层工会自身建设和改革，组织各级工会开展以职工代表大会为基本制度的民主选举、民主决策、民主管理和民主监督工作，推动建立平等协商、集体合同制度和监督保证机制的工作。5.会同各县、市党委和地区有关部门党组织，协商推荐县一级基层工会的主要领导人选，负责工会系统干部的培训工作。6.协助行署做好地区劳动模范推荐和评选工作，负责劳动模范的管理工作。7.负责工会经费的管理、审查、审计和工会资产的管理工作。8.承办自治区总工会和地委、行署交办的其他事项。</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hint="eastAsia" w:ascii="仿宋_GB2312" w:eastAsia="仿宋_GB2312"/>
          <w:sz w:val="32"/>
          <w:szCs w:val="32"/>
        </w:rPr>
        <w:t>新疆总工会喀什地区办事处2</w:t>
      </w:r>
      <w:r>
        <w:rPr>
          <w:rFonts w:ascii="仿宋_GB2312" w:eastAsia="仿宋_GB2312"/>
          <w:sz w:val="32"/>
          <w:szCs w:val="32"/>
        </w:rPr>
        <w:t>019</w:t>
      </w:r>
      <w:r>
        <w:rPr>
          <w:rFonts w:hint="eastAsia" w:ascii="仿宋_GB2312" w:eastAsia="仿宋_GB2312"/>
          <w:sz w:val="32"/>
          <w:szCs w:val="32"/>
        </w:rPr>
        <w:t>年度，实有人数32人，其中：在职人员13人，离休人员1人，退休人员18人。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从部门决算单位构成看，新疆总工会喀什地区办事处部门决算包括：新疆总工会喀什地区办事处决算。</w:t>
      </w:r>
    </w:p>
    <w:p>
      <w:pPr>
        <w:ind w:firstLine="640" w:firstLineChars="200"/>
        <w:jc w:val="center"/>
        <w:outlineLvl w:val="0"/>
        <w:rPr>
          <w:rFonts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2019年度本年收入386.15万元，与上年相比，增加191.63万元，增长98.51%，主要原因是：</w:t>
      </w:r>
      <w:r>
        <w:rPr>
          <w:rFonts w:hint="eastAsia" w:ascii="仿宋_GB2312" w:eastAsia="仿宋_GB2312"/>
          <w:color w:val="000000" w:themeColor="text1"/>
          <w:sz w:val="32"/>
          <w:szCs w:val="32"/>
          <w14:textFill>
            <w14:solidFill>
              <w14:schemeClr w14:val="tx1"/>
            </w14:solidFill>
          </w14:textFill>
        </w:rPr>
        <w:t>本年收入列入在职人员经费收入182.28万元，上年收入无在职人员经费收入数据列入；本年财政拨款收入增加9.36万元，有1位退休人员去世，追加抚恤金形成的。</w:t>
      </w:r>
      <w:r>
        <w:rPr>
          <w:rFonts w:hint="eastAsia" w:ascii="仿宋_GB2312" w:eastAsia="仿宋_GB2312"/>
          <w:sz w:val="32"/>
          <w:szCs w:val="32"/>
        </w:rPr>
        <w:t>本年支出386.15万元，与上年相比，增加191.63万元，增长98.51%，主要原因是：</w:t>
      </w:r>
      <w:r>
        <w:rPr>
          <w:rFonts w:hint="eastAsia" w:ascii="仿宋_GB2312" w:eastAsia="仿宋_GB2312"/>
          <w:color w:val="000000" w:themeColor="text1"/>
          <w:sz w:val="32"/>
          <w:szCs w:val="32"/>
          <w14:textFill>
            <w14:solidFill>
              <w14:schemeClr w14:val="tx1"/>
            </w14:solidFill>
          </w14:textFill>
        </w:rPr>
        <w:t>本年支出列支在职人员经费收入182.28万元，上年支出无在职人员经费支出数据列入；本年财政拨款支出增加9.36万元，有1位退休人员去世，支出抚恤金形成的。</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年度本年收入386.15万元，其中：财政拨款收入203.88万元，占52.8%；上级补助收入0万元，占0%；事业收入0万元，占0%；经营收入0万元，占0%；附属单位上缴收入0万元，占0%；其他收入182.28万元，占47.2%。</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hint="eastAsia" w:ascii="仿宋_GB2312" w:eastAsia="仿宋_GB2312"/>
          <w:sz w:val="32"/>
          <w:szCs w:val="32"/>
        </w:rPr>
        <w:t>2019年度本年支出386.15万元，其中：基本支出272.15万元，占70.48%；项目支出114万元，占29.52%；上缴上级支出0万元，占0%；经营支出0万元，占0%；对附属单位补助支出0万元，占0%。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2019年度财政拨款收入203.88万元，与上年相比，增加9.36万元，增长4.81%，主要原因是：有1位退休人员去世，追加抚恤金形成的。财政拨款支出203.88万元，与上年相比，增加9.36万元，增长4.81%，主要原因是：</w:t>
      </w:r>
      <w:r>
        <w:rPr>
          <w:rFonts w:ascii="仿宋_GB2312" w:eastAsia="仿宋_GB2312"/>
          <w:sz w:val="32"/>
          <w:szCs w:val="32"/>
        </w:rPr>
        <w:t>有1位退休人员去世，发放抚恤金形成的。</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color w:val="000000" w:themeColor="text1"/>
          <w:sz w:val="32"/>
          <w:szCs w:val="32"/>
          <w14:textFill>
            <w14:solidFill>
              <w14:schemeClr w14:val="tx1"/>
            </w14:solidFill>
          </w14:textFill>
        </w:rPr>
        <w:t>165.22</w:t>
      </w:r>
      <w:r>
        <w:rPr>
          <w:rFonts w:hint="eastAsia" w:ascii="仿宋_GB2312" w:eastAsia="仿宋_GB2312"/>
          <w:sz w:val="32"/>
          <w:szCs w:val="32"/>
        </w:rPr>
        <w:t>万元，决算数203.88万元</w:t>
      </w:r>
      <w:r>
        <w:rPr>
          <w:rFonts w:ascii="仿宋_GB2312" w:eastAsia="仿宋_GB2312"/>
          <w:color w:val="000000" w:themeColor="text1"/>
          <w:sz w:val="32"/>
          <w:szCs w:val="32"/>
          <w14:textFill>
            <w14:solidFill>
              <w14:schemeClr w14:val="tx1"/>
            </w14:solidFill>
          </w14:textFill>
        </w:rPr>
        <w:t>，预决算差异率23.4%，主要原因是：有1位退休人员去世，追加抚恤金；追加农村工作经费形成的。</w:t>
      </w:r>
      <w:r>
        <w:rPr>
          <w:rFonts w:hint="eastAsia" w:ascii="仿宋_GB2312" w:eastAsia="仿宋_GB2312"/>
          <w:sz w:val="32"/>
          <w:szCs w:val="32"/>
        </w:rPr>
        <w:t>财政拨款支出年初预算数</w:t>
      </w:r>
      <w:r>
        <w:rPr>
          <w:rFonts w:ascii="仿宋_GB2312" w:eastAsia="仿宋_GB2312"/>
          <w:color w:val="000000" w:themeColor="text1"/>
          <w:sz w:val="32"/>
          <w:szCs w:val="32"/>
          <w14:textFill>
            <w14:solidFill>
              <w14:schemeClr w14:val="tx1"/>
            </w14:solidFill>
          </w14:textFill>
        </w:rPr>
        <w:t>165.22</w:t>
      </w:r>
      <w:r>
        <w:rPr>
          <w:rFonts w:hint="eastAsia" w:ascii="仿宋_GB2312" w:eastAsia="仿宋_GB2312"/>
          <w:sz w:val="32"/>
          <w:szCs w:val="32"/>
        </w:rPr>
        <w:t>万元，决算数203.88万元</w:t>
      </w:r>
      <w:r>
        <w:rPr>
          <w:rFonts w:ascii="仿宋_GB2312" w:eastAsia="仿宋_GB2312"/>
          <w:color w:val="000000" w:themeColor="text1"/>
          <w:sz w:val="32"/>
          <w:szCs w:val="32"/>
          <w14:textFill>
            <w14:solidFill>
              <w14:schemeClr w14:val="tx1"/>
            </w14:solidFill>
          </w14:textFill>
        </w:rPr>
        <w:t>，预决算差异率23.4%，主要原因是：有1位退休人员去世，发放抚恤金；支出农村工作经费形成的。</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年度一般公共预算财政拨款支出203.88万元。按功能分类科目项级科目公开，其中：</w:t>
      </w:r>
    </w:p>
    <w:p>
      <w:pPr>
        <w:rPr>
          <w:rFonts w:ascii="仿宋_GB2312" w:eastAsia="仿宋_GB2312"/>
          <w:sz w:val="32"/>
          <w:szCs w:val="32"/>
        </w:rPr>
      </w:pPr>
      <w:r>
        <w:rPr>
          <w:rFonts w:ascii="仿宋_GB2312" w:eastAsia="仿宋_GB2312"/>
          <w:sz w:val="32"/>
          <w:szCs w:val="32"/>
        </w:rPr>
        <w:t xml:space="preserve">   2012901行政运行支出15.66万元；</w:t>
      </w:r>
      <w:r>
        <w:rPr>
          <w:rFonts w:ascii="仿宋_GB2312" w:eastAsia="仿宋_GB2312"/>
          <w:sz w:val="32"/>
          <w:szCs w:val="32"/>
        </w:rPr>
        <w:br w:type="textWrapping"/>
      </w:r>
      <w:r>
        <w:rPr>
          <w:rFonts w:ascii="仿宋_GB2312" w:eastAsia="仿宋_GB2312"/>
          <w:sz w:val="32"/>
          <w:szCs w:val="32"/>
        </w:rPr>
        <w:t xml:space="preserve">   2012999其他群众团体事务支出100万元；</w:t>
      </w:r>
      <w:r>
        <w:rPr>
          <w:rFonts w:ascii="仿宋_GB2312" w:eastAsia="仿宋_GB2312"/>
          <w:sz w:val="32"/>
          <w:szCs w:val="32"/>
        </w:rPr>
        <w:br w:type="textWrapping"/>
      </w:r>
      <w:r>
        <w:rPr>
          <w:rFonts w:ascii="仿宋_GB2312" w:eastAsia="仿宋_GB2312"/>
          <w:sz w:val="32"/>
          <w:szCs w:val="32"/>
        </w:rPr>
        <w:t xml:space="preserve">   2080599其他行政事业单位离退休支出74.22万元；</w:t>
      </w:r>
      <w:r>
        <w:rPr>
          <w:rFonts w:ascii="仿宋_GB2312" w:eastAsia="仿宋_GB2312"/>
          <w:sz w:val="32"/>
          <w:szCs w:val="32"/>
        </w:rPr>
        <w:br w:type="textWrapping"/>
      </w:r>
      <w:r>
        <w:rPr>
          <w:rFonts w:ascii="仿宋_GB2312" w:eastAsia="仿宋_GB2312"/>
          <w:sz w:val="32"/>
          <w:szCs w:val="32"/>
        </w:rPr>
        <w:t xml:space="preserve">   2299901其他支出14万元。</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年度一般公共预算财政拨款基本支出89.88万元，其中：</w:t>
      </w:r>
    </w:p>
    <w:p>
      <w:pPr>
        <w:ind w:firstLine="640" w:firstLineChars="200"/>
        <w:rPr>
          <w:rFonts w:ascii="仿宋_GB2312" w:eastAsia="仿宋_GB2312"/>
          <w:sz w:val="32"/>
          <w:szCs w:val="32"/>
        </w:rPr>
      </w:pPr>
      <w:r>
        <w:rPr>
          <w:rFonts w:hint="eastAsia" w:ascii="仿宋_GB2312" w:eastAsia="仿宋_GB2312"/>
          <w:sz w:val="32"/>
          <w:szCs w:val="32"/>
        </w:rPr>
        <w:t>人员经费89.88万元，包括：离休费、退休费、抚恤金、生活补助、奖励金、其他对个人和家庭的补助。</w:t>
      </w:r>
    </w:p>
    <w:p>
      <w:pPr>
        <w:ind w:firstLine="640" w:firstLineChars="200"/>
        <w:rPr>
          <w:rFonts w:ascii="仿宋_GB2312" w:eastAsia="仿宋_GB2312"/>
          <w:sz w:val="32"/>
          <w:szCs w:val="32"/>
        </w:rPr>
      </w:pPr>
      <w:r>
        <w:rPr>
          <w:rFonts w:hint="eastAsia" w:ascii="仿宋_GB2312" w:eastAsia="仿宋_GB2312"/>
          <w:sz w:val="32"/>
          <w:szCs w:val="32"/>
        </w:rPr>
        <w:t>公用经费0万元。</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年度一般公共预算“三公”经费支出决算0万元，比上年增加0万元，增长0%，主要原因是</w:t>
      </w:r>
      <w:r>
        <w:rPr>
          <w:rFonts w:hint="eastAsia" w:ascii="仿宋_GB2312" w:eastAsia="仿宋_GB2312"/>
          <w:sz w:val="32"/>
          <w:szCs w:val="32"/>
          <w:lang w:eastAsia="zh-CN"/>
        </w:rPr>
        <w:t>：</w:t>
      </w:r>
      <w:r>
        <w:rPr>
          <w:rFonts w:hint="eastAsia" w:ascii="仿宋_GB2312" w:eastAsia="仿宋_GB2312"/>
          <w:sz w:val="32"/>
          <w:szCs w:val="32"/>
        </w:rPr>
        <w:t>与上年相比无变动，与上年一致。其中，因公出国（境）费支出0万元，占0%，比上年增加0万元，增长0%，主要原因是</w:t>
      </w:r>
      <w:r>
        <w:rPr>
          <w:rFonts w:hint="eastAsia" w:ascii="仿宋_GB2312" w:eastAsia="仿宋_GB2312"/>
          <w:sz w:val="32"/>
          <w:szCs w:val="32"/>
          <w:lang w:eastAsia="zh-CN"/>
        </w:rPr>
        <w:t>：</w:t>
      </w:r>
      <w:r>
        <w:rPr>
          <w:rFonts w:hint="eastAsia" w:ascii="仿宋_GB2312" w:eastAsia="仿宋_GB2312"/>
          <w:sz w:val="32"/>
          <w:szCs w:val="32"/>
          <w:lang w:val="en-US" w:eastAsia="zh-CN"/>
        </w:rPr>
        <w:t>与上年相比无变动，与上年一致</w:t>
      </w:r>
      <w:r>
        <w:rPr>
          <w:rFonts w:hint="eastAsia" w:ascii="仿宋_GB2312" w:eastAsia="仿宋_GB2312"/>
          <w:sz w:val="32"/>
          <w:szCs w:val="32"/>
        </w:rPr>
        <w:t>；公务用车购置及运行维护费支出0万元，占0%，比上年增加0万元，增长0%，主要原因是</w:t>
      </w:r>
      <w:r>
        <w:rPr>
          <w:rFonts w:hint="eastAsia" w:ascii="仿宋_GB2312" w:eastAsia="仿宋_GB2312"/>
          <w:sz w:val="32"/>
          <w:szCs w:val="32"/>
          <w:lang w:eastAsia="zh-CN"/>
        </w:rPr>
        <w:t>：</w:t>
      </w:r>
      <w:r>
        <w:rPr>
          <w:rFonts w:hint="eastAsia" w:ascii="仿宋_GB2312" w:eastAsia="仿宋_GB2312"/>
          <w:sz w:val="32"/>
          <w:szCs w:val="32"/>
          <w:lang w:val="en-US" w:eastAsia="zh-CN"/>
        </w:rPr>
        <w:t>与上年相比无变动，与上年一致</w:t>
      </w:r>
      <w:r>
        <w:rPr>
          <w:rFonts w:hint="eastAsia" w:ascii="仿宋_GB2312" w:eastAsia="仿宋_GB2312"/>
          <w:sz w:val="32"/>
          <w:szCs w:val="32"/>
        </w:rPr>
        <w:t>；公务接待费支出0万元，占0%，比上年增加0万元，增长0%，主要原因是</w:t>
      </w:r>
      <w:r>
        <w:rPr>
          <w:rFonts w:hint="eastAsia" w:ascii="仿宋_GB2312" w:eastAsia="仿宋_GB2312"/>
          <w:sz w:val="32"/>
          <w:szCs w:val="32"/>
          <w:lang w:eastAsia="zh-CN"/>
        </w:rPr>
        <w:t>：</w:t>
      </w:r>
      <w:r>
        <w:rPr>
          <w:rFonts w:hint="eastAsia" w:ascii="仿宋_GB2312" w:eastAsia="仿宋_GB2312"/>
          <w:sz w:val="32"/>
          <w:szCs w:val="32"/>
          <w:lang w:val="en-US" w:eastAsia="zh-CN"/>
        </w:rPr>
        <w:t>与上年相比无变动，与上年一致</w:t>
      </w:r>
      <w:r>
        <w:rPr>
          <w:rFonts w:hint="eastAsia" w:ascii="仿宋_GB2312" w:eastAsia="仿宋_GB2312"/>
          <w:sz w:val="32"/>
          <w:szCs w:val="32"/>
        </w:rPr>
        <w:t>。具体情况如下：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因公出国（境）费支出0万元，开支内容包括：</w:t>
      </w:r>
      <w:r>
        <w:rPr>
          <w:rFonts w:ascii="仿宋_GB2312" w:eastAsia="仿宋_GB2312"/>
          <w:color w:val="000000" w:themeColor="text1"/>
          <w:sz w:val="32"/>
          <w:szCs w:val="32"/>
          <w14:textFill>
            <w14:solidFill>
              <w14:schemeClr w14:val="tx1"/>
            </w14:solidFill>
          </w14:textFill>
        </w:rPr>
        <w:t>预算未安排，无此项支出。</w:t>
      </w:r>
      <w:r>
        <w:rPr>
          <w:rFonts w:hint="eastAsia" w:ascii="仿宋_GB2312" w:eastAsia="仿宋_GB2312"/>
          <w:sz w:val="32"/>
          <w:szCs w:val="32"/>
        </w:rPr>
        <w:t>单位全年安排的因公出国（境）团组0个，因公出国（境）0人次。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公务用车购置及运行维护费0万元，其中，公务用车购置费0万元，公务用车运行维护费0万元。公务用车运行维护费开支内容包括</w:t>
      </w:r>
      <w:r>
        <w:rPr>
          <w:rFonts w:hint="eastAsia" w:ascii="仿宋_GB2312" w:eastAsia="仿宋_GB2312"/>
          <w:sz w:val="32"/>
          <w:szCs w:val="32"/>
          <w:lang w:eastAsia="zh-CN"/>
        </w:rPr>
        <w:t>：</w:t>
      </w:r>
      <w:r>
        <w:rPr>
          <w:rFonts w:hint="eastAsia" w:ascii="仿宋_GB2312" w:eastAsia="仿宋_GB2312"/>
          <w:sz w:val="32"/>
          <w:szCs w:val="32"/>
        </w:rPr>
        <w:t>预算未安排，无此项支出。公务用车购置数0辆，公务用车保有量0辆。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公务接待费0万元，开支内容包括</w:t>
      </w:r>
      <w:r>
        <w:rPr>
          <w:rFonts w:hint="eastAsia" w:ascii="仿宋_GB2312" w:eastAsia="仿宋_GB2312"/>
          <w:sz w:val="32"/>
          <w:szCs w:val="32"/>
          <w:lang w:eastAsia="zh-CN"/>
        </w:rPr>
        <w:t>：</w:t>
      </w:r>
      <w:r>
        <w:rPr>
          <w:rFonts w:hint="eastAsia" w:ascii="仿宋_GB2312" w:eastAsia="仿宋_GB2312"/>
          <w:sz w:val="32"/>
          <w:szCs w:val="32"/>
        </w:rPr>
        <w:t>预算未安排，无此项支出。单位全年安排的国内公务接待0批次，0人次。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bookmarkStart w:id="54" w:name="_GoBack"/>
      <w:bookmarkEnd w:id="54"/>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4519"/>
      <w:bookmarkStart w:id="27" w:name="_Toc13105"/>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hint="eastAsia" w:ascii="仿宋_GB2312" w:eastAsia="仿宋_GB2312"/>
          <w:color w:val="000000" w:themeColor="text1"/>
          <w:sz w:val="32"/>
          <w:szCs w:val="32"/>
          <w14:textFill>
            <w14:solidFill>
              <w14:schemeClr w14:val="tx1"/>
            </w14:solidFill>
          </w14:textFill>
        </w:rPr>
        <w:t>新疆总工会喀什地区办事处日常公用经费0万元，比上年增加0万元，增长0%，主要原因是与上年相比无变动，与上年一致。</w:t>
      </w:r>
    </w:p>
    <w:p>
      <w:pPr>
        <w:ind w:firstLine="640" w:firstLineChars="200"/>
        <w:outlineLvl w:val="2"/>
        <w:rPr>
          <w:rFonts w:ascii="黑体" w:hAnsi="黑体" w:eastAsia="黑体"/>
          <w:sz w:val="32"/>
          <w:szCs w:val="32"/>
        </w:rPr>
      </w:pPr>
      <w:bookmarkStart w:id="28" w:name="_Toc227"/>
      <w:bookmarkStart w:id="29" w:name="_Toc26704"/>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年度政府采购支出总额17.80万元，其中：政府采购货物支出16.58万元、政府采购工程支出0万元、政府采购服务支出1.21万元。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授予中小企业合同金额17.80万元，占政府采购支出总额的100%，其中：授予小微企业合同金额0万元，占政府采购支出总额的0%。</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w:t>
      </w:r>
      <w:r>
        <w:rPr>
          <w:rFonts w:ascii="仿宋_GB2312" w:eastAsia="仿宋_GB2312"/>
          <w:sz w:val="32"/>
          <w:szCs w:val="32"/>
        </w:rPr>
        <w:t>2019</w:t>
      </w:r>
      <w:r>
        <w:rPr>
          <w:rFonts w:hint="eastAsia" w:ascii="仿宋_GB2312" w:eastAsia="仿宋_GB2312"/>
          <w:sz w:val="32"/>
          <w:szCs w:val="32"/>
        </w:rPr>
        <w:t>年12月31日，单位共有房屋0（平方米），价值0万元。车辆0辆，价值0万元，其中：副部（省）级及以上领导用车0辆、主要领导干部用车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辆、机要通信用车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辆、应急保障用车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辆、执法执勤用车0辆、特种专业技术用车0辆、离退休干部用车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辆、其他用车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辆，其他用车主要是：</w:t>
      </w:r>
      <w:r>
        <w:rPr>
          <w:rFonts w:ascii="仿宋_GB2312" w:eastAsia="仿宋_GB2312"/>
          <w:color w:val="000000" w:themeColor="text1"/>
          <w:sz w:val="32"/>
          <w:szCs w:val="32"/>
          <w14:textFill>
            <w14:solidFill>
              <w14:schemeClr w14:val="tx1"/>
            </w14:solidFill>
          </w14:textFill>
        </w:rPr>
        <w:t>无财政资金保障车辆；</w:t>
      </w:r>
      <w:r>
        <w:rPr>
          <w:rFonts w:hint="eastAsia" w:ascii="仿宋_GB2312" w:eastAsia="仿宋_GB2312"/>
          <w:sz w:val="32"/>
          <w:szCs w:val="32"/>
        </w:rPr>
        <w:t>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2019年度开展预算绩效评价项目4个，共涉及资金114万元。预算绩效管理取得的成效：一是部门年度任务在预算资金额度内完成，并通过严格的资金管理及项目管理及其他创新的管理措施实现了资金的节约。三公经费在预算范围内开支，开支范围较上年的变化，有节约；二是各项工作计划按预期计划按时完成，效益按预期时间产生；三是预期的经济效益、社会效益、可持续的影响产生，相关人员的满意度达到预期目标。发现的问题及原因：对全年部门整体支出安排、使用过程中通过预算绩效管理，发现了工作中存在的不足，前期资金使用因政策原因，财政资金不能及时到位，单位未按期支付，导致了资金滞缓，影响了项目的进度，造成了部分资金的浪费。下一步改进措施：针对部门整体支出安排、使用过程中的存在问题，年初做好资金计划，按照项目进度及时拨付资金，使资金使用效益最大化，减少不必要的浪费，节约成本。具体项目自评情况附项目支出绩效自评表。</w:t>
      </w:r>
    </w:p>
    <w:p>
      <w:pPr>
        <w:ind w:firstLine="640" w:firstLineChars="200"/>
        <w:jc w:val="center"/>
        <w:outlineLvl w:val="0"/>
        <w:rPr>
          <w:rFonts w:ascii="黑体" w:hAnsi="黑体" w:eastAsia="黑体"/>
          <w:sz w:val="32"/>
          <w:szCs w:val="32"/>
        </w:rPr>
      </w:pPr>
      <w:bookmarkStart w:id="34" w:name="_Toc24143"/>
      <w:bookmarkStart w:id="35" w:name="_Toc3250"/>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2784"/>
      <w:bookmarkStart w:id="37" w:name="_Toc28903"/>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2183"/>
      <w:bookmarkStart w:id="39" w:name="_Toc6062"/>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32434"/>
      <w:bookmarkStart w:id="43" w:name="_Toc2130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28786"/>
      <w:bookmarkStart w:id="45" w:name="_Toc14238"/>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bordersDoNotSurroundHeader w:val="1"/>
  <w:bordersDoNotSurroundFooter w:val="1"/>
  <w:documentProtection w:edit="comments" w:enforcement="1" w:cryptProviderType="rsaFull" w:cryptAlgorithmClass="hash" w:cryptAlgorithmType="typeAny" w:cryptAlgorithmSid="4" w:cryptSpinCount="0" w:hash="q2esHZsTJAzWb0dyeBUjiuB3m5c=" w:salt="XAs+HBVUAAgQaA/7+IEj9A=="/>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E66"/>
    <w:rsid w:val="000033EF"/>
    <w:rsid w:val="00004533"/>
    <w:rsid w:val="00005A21"/>
    <w:rsid w:val="0004063C"/>
    <w:rsid w:val="000701A7"/>
    <w:rsid w:val="00082456"/>
    <w:rsid w:val="000A663A"/>
    <w:rsid w:val="000B57B8"/>
    <w:rsid w:val="000F01B7"/>
    <w:rsid w:val="000F6705"/>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122DE"/>
    <w:rsid w:val="00227229"/>
    <w:rsid w:val="002328AF"/>
    <w:rsid w:val="00233021"/>
    <w:rsid w:val="0024217C"/>
    <w:rsid w:val="00243E6C"/>
    <w:rsid w:val="00265F92"/>
    <w:rsid w:val="00272845"/>
    <w:rsid w:val="0029171A"/>
    <w:rsid w:val="00292B7F"/>
    <w:rsid w:val="002B072F"/>
    <w:rsid w:val="002B37DA"/>
    <w:rsid w:val="002B7A04"/>
    <w:rsid w:val="002D187F"/>
    <w:rsid w:val="002F1732"/>
    <w:rsid w:val="00327986"/>
    <w:rsid w:val="003314E6"/>
    <w:rsid w:val="00340AE7"/>
    <w:rsid w:val="00354737"/>
    <w:rsid w:val="0037159F"/>
    <w:rsid w:val="00377EC6"/>
    <w:rsid w:val="003920B8"/>
    <w:rsid w:val="003A44F0"/>
    <w:rsid w:val="003C3EF4"/>
    <w:rsid w:val="003D1DD1"/>
    <w:rsid w:val="003E5F70"/>
    <w:rsid w:val="00400D8F"/>
    <w:rsid w:val="00430E56"/>
    <w:rsid w:val="004318F5"/>
    <w:rsid w:val="00456820"/>
    <w:rsid w:val="00471387"/>
    <w:rsid w:val="00471BBD"/>
    <w:rsid w:val="0047268F"/>
    <w:rsid w:val="004A41CF"/>
    <w:rsid w:val="004A44C9"/>
    <w:rsid w:val="004B2E7F"/>
    <w:rsid w:val="004D35C0"/>
    <w:rsid w:val="004E519F"/>
    <w:rsid w:val="004F1D2D"/>
    <w:rsid w:val="00531503"/>
    <w:rsid w:val="00534ECA"/>
    <w:rsid w:val="005358C2"/>
    <w:rsid w:val="005474EB"/>
    <w:rsid w:val="005506DD"/>
    <w:rsid w:val="005529D0"/>
    <w:rsid w:val="00553FB5"/>
    <w:rsid w:val="00554A58"/>
    <w:rsid w:val="00560394"/>
    <w:rsid w:val="0056525F"/>
    <w:rsid w:val="005B1DE6"/>
    <w:rsid w:val="005C11EB"/>
    <w:rsid w:val="006032AE"/>
    <w:rsid w:val="0068591E"/>
    <w:rsid w:val="00690F22"/>
    <w:rsid w:val="00693012"/>
    <w:rsid w:val="006B0B73"/>
    <w:rsid w:val="006D2B94"/>
    <w:rsid w:val="006E0721"/>
    <w:rsid w:val="0070295D"/>
    <w:rsid w:val="00725755"/>
    <w:rsid w:val="0075023C"/>
    <w:rsid w:val="00750D8A"/>
    <w:rsid w:val="00764051"/>
    <w:rsid w:val="00772611"/>
    <w:rsid w:val="007741F8"/>
    <w:rsid w:val="007B0022"/>
    <w:rsid w:val="007E2E4F"/>
    <w:rsid w:val="007E3BFD"/>
    <w:rsid w:val="00807B4B"/>
    <w:rsid w:val="008144CF"/>
    <w:rsid w:val="00827663"/>
    <w:rsid w:val="00847CE1"/>
    <w:rsid w:val="00852D88"/>
    <w:rsid w:val="00857132"/>
    <w:rsid w:val="00862395"/>
    <w:rsid w:val="008853A8"/>
    <w:rsid w:val="00887778"/>
    <w:rsid w:val="008D5B57"/>
    <w:rsid w:val="008F7D99"/>
    <w:rsid w:val="00922FA7"/>
    <w:rsid w:val="00927301"/>
    <w:rsid w:val="009351E1"/>
    <w:rsid w:val="0094423A"/>
    <w:rsid w:val="00963E2E"/>
    <w:rsid w:val="009774AD"/>
    <w:rsid w:val="00980F6F"/>
    <w:rsid w:val="009A173F"/>
    <w:rsid w:val="009C479E"/>
    <w:rsid w:val="009F4245"/>
    <w:rsid w:val="009F594D"/>
    <w:rsid w:val="00A009B3"/>
    <w:rsid w:val="00A239E7"/>
    <w:rsid w:val="00A34EDA"/>
    <w:rsid w:val="00AA13D0"/>
    <w:rsid w:val="00AC0B18"/>
    <w:rsid w:val="00AC1D87"/>
    <w:rsid w:val="00AE136F"/>
    <w:rsid w:val="00AE6C82"/>
    <w:rsid w:val="00AE7A56"/>
    <w:rsid w:val="00AF0871"/>
    <w:rsid w:val="00AF530E"/>
    <w:rsid w:val="00AF5DFE"/>
    <w:rsid w:val="00B006E5"/>
    <w:rsid w:val="00B13535"/>
    <w:rsid w:val="00B24234"/>
    <w:rsid w:val="00B3219F"/>
    <w:rsid w:val="00B51D57"/>
    <w:rsid w:val="00B64D13"/>
    <w:rsid w:val="00B76725"/>
    <w:rsid w:val="00BC38D2"/>
    <w:rsid w:val="00BC65E4"/>
    <w:rsid w:val="00BE0A9F"/>
    <w:rsid w:val="00C01003"/>
    <w:rsid w:val="00C87860"/>
    <w:rsid w:val="00C92609"/>
    <w:rsid w:val="00C974A0"/>
    <w:rsid w:val="00CA0969"/>
    <w:rsid w:val="00CB7A14"/>
    <w:rsid w:val="00CD1E0A"/>
    <w:rsid w:val="00CD44C9"/>
    <w:rsid w:val="00CE40E2"/>
    <w:rsid w:val="00CE4AEB"/>
    <w:rsid w:val="00CE74CB"/>
    <w:rsid w:val="00D00B68"/>
    <w:rsid w:val="00D04E19"/>
    <w:rsid w:val="00D6644C"/>
    <w:rsid w:val="00D71F68"/>
    <w:rsid w:val="00D767F4"/>
    <w:rsid w:val="00DA07A0"/>
    <w:rsid w:val="00DB6F81"/>
    <w:rsid w:val="00DC1313"/>
    <w:rsid w:val="00DD3B82"/>
    <w:rsid w:val="00E43F43"/>
    <w:rsid w:val="00EE3598"/>
    <w:rsid w:val="00EE791B"/>
    <w:rsid w:val="00F040C7"/>
    <w:rsid w:val="00F04DC0"/>
    <w:rsid w:val="00F24BA1"/>
    <w:rsid w:val="00F45607"/>
    <w:rsid w:val="00F552F7"/>
    <w:rsid w:val="00F57EE2"/>
    <w:rsid w:val="00F777E1"/>
    <w:rsid w:val="00F80266"/>
    <w:rsid w:val="00F83E19"/>
    <w:rsid w:val="00FB3828"/>
    <w:rsid w:val="00FC7A52"/>
    <w:rsid w:val="00FE0761"/>
    <w:rsid w:val="00FF5166"/>
    <w:rsid w:val="01C20CA2"/>
    <w:rsid w:val="06792773"/>
    <w:rsid w:val="129C22E8"/>
    <w:rsid w:val="1DAF458D"/>
    <w:rsid w:val="2332648C"/>
    <w:rsid w:val="2A053397"/>
    <w:rsid w:val="2D1136DF"/>
    <w:rsid w:val="31C63837"/>
    <w:rsid w:val="3B893334"/>
    <w:rsid w:val="3D5275AC"/>
    <w:rsid w:val="41041FE1"/>
    <w:rsid w:val="46901EEE"/>
    <w:rsid w:val="469C74D2"/>
    <w:rsid w:val="50DB5F45"/>
    <w:rsid w:val="550079F0"/>
    <w:rsid w:val="61212D49"/>
    <w:rsid w:val="66FE2BF8"/>
    <w:rsid w:val="69AD798C"/>
    <w:rsid w:val="6B68175F"/>
    <w:rsid w:val="73FB6630"/>
    <w:rsid w:val="77ED6F44"/>
    <w:rsid w:val="7D3354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uiPriority w:val="0"/>
    <w:pPr>
      <w:ind w:left="420" w:leftChars="200"/>
    </w:pPr>
  </w:style>
  <w:style w:type="paragraph" w:customStyle="1" w:styleId="10">
    <w:name w:val="WPSOffice手动目录 3"/>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1034</Words>
  <Characters>5894</Characters>
  <Lines>49</Lines>
  <Paragraphs>13</Paragraphs>
  <TotalTime>2</TotalTime>
  <ScaleCrop>false</ScaleCrop>
  <LinksUpToDate>false</LinksUpToDate>
  <CharactersWithSpaces>6915</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2020-07-16T02:47:00Z</dcterms:created>
  <dc:creator>GXR</dc:creator>
  <cp:lastModifiedBy>平</cp:lastModifiedBy>
  <dcterms:modified xsi:type="dcterms:W3CDTF">2020-09-10T09:02:30Z</dcterms:modified>
  <cp:revision>150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