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 xml:space="preserve">附件1：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2018年度新疆维吾尔自治区喀什地区粮食局部门决算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1）贯彻落实国家粮食工作的方针政策；协同有关部门制定和落实粮食总量平衡、宏观调控计划；依法监管粮食市场。（2）对国家和地方储备粮实施管理，指导安全储粮和粮食仓储体系建设。（3）编制粮食仓储建设计划和粮食行业发展规划。（4）宣传和贯彻国家粮油质量标准，会同有关部门进行粮油质量管理。对粮办工业实施宏观管理，推动科技进步和技术创新工作等。二、机构设置情况。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新疆维吾尔自治区喀什地区粮食局</w:t>
      </w:r>
      <w:r>
        <w:rPr>
          <w:rFonts w:hint="eastAsia" w:ascii="仿宋_GB2312" w:eastAsia="仿宋_GB2312"/>
          <w:sz w:val="32"/>
          <w:szCs w:val="32"/>
        </w:rPr>
        <w:t>部门决算包括：</w:t>
      </w:r>
      <w:r>
        <w:rPr>
          <w:rFonts w:ascii="仿宋_GB2312" w:eastAsia="仿宋_GB2312"/>
          <w:sz w:val="32"/>
          <w:szCs w:val="32"/>
        </w:rPr>
        <w:t>新疆维吾尔自治区喀什地区粮食局</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新疆维吾尔自治区喀什地区粮食局</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position w:val="-1"/>
                <w:sz w:val="32"/>
              </w:rPr>
              <w:t>1</w:t>
            </w:r>
          </w:p>
        </w:tc>
        <w:tc>
          <w:tcPr>
            <w:tcW w:w="3870" w:type="dxa"/>
          </w:tcPr>
          <w:p>
            <w:pPr>
              <w:spacing w:line="500" w:lineRule="exact"/>
              <w:ind w:firstLine="640" w:firstLineChars="200"/>
              <w:jc w:val="left"/>
            </w:pPr>
            <w:r>
              <w:rPr>
                <w:rFonts w:ascii="仿宋_GB2312" w:eastAsia="仿宋_GB2312"/>
                <w:position w:val="-1"/>
                <w:sz w:val="32"/>
              </w:rPr>
              <w:t>新疆维吾尔自治区喀什地区粮食局</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100"/>
      <w:bookmarkStart w:id="5" w:name="OLE_LINK99"/>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579.64</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，与上年相比，增加60.47万元，增长11.65%，增加的主要原因是：</w:t>
      </w:r>
      <w:r>
        <w:rPr>
          <w:rFonts w:hint="eastAsia" w:ascii="仿宋_GB2312" w:eastAsia="仿宋_GB2312"/>
          <w:color w:val="000000" w:themeColor="text1"/>
          <w:sz w:val="32"/>
          <w:szCs w:val="32"/>
        </w:rPr>
        <w:t>单位人员工资增加，社保和住房公积金基数增加，以及退休人员去世，抚恤金支出增加。项目支出相较去年增加；</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579.64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，与上年相比，增加60.47万元，增长11.65%，增加的主要原因是：</w:t>
      </w:r>
      <w:r>
        <w:rPr>
          <w:rFonts w:hint="eastAsia" w:ascii="仿宋_GB2312" w:eastAsia="仿宋_GB2312"/>
          <w:color w:val="000000" w:themeColor="text1"/>
          <w:sz w:val="32"/>
          <w:szCs w:val="32"/>
        </w:rPr>
        <w:t>单位人员工资增加，社保和住房公积金基数增加，以及退休人员去世，抚恤金支出增加。项目支出相较去年增加；</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w:t>
      </w:r>
      <w:r>
        <w:rPr>
          <w:rFonts w:ascii="仿宋_GB2312" w:eastAsia="仿宋_GB2312"/>
          <w:color w:val="000000" w:themeColor="text1"/>
          <w:sz w:val="32"/>
          <w:szCs w:val="32"/>
        </w:rPr>
        <w:t>无变化。</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579.64</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579.64</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况：本年收入年初预算数547.27万元</w:t>
      </w:r>
      <w:r>
        <w:rPr>
          <w:rFonts w:hint="eastAsia" w:ascii="仿宋_GB2312" w:eastAsia="仿宋_GB2312"/>
          <w:sz w:val="32"/>
          <w:szCs w:val="32"/>
        </w:rPr>
        <w:t>，决算数579.64万元</w:t>
      </w:r>
      <w:r>
        <w:rPr>
          <w:rFonts w:ascii="仿宋_GB2312" w:eastAsia="仿宋_GB2312"/>
          <w:sz w:val="32"/>
          <w:szCs w:val="32"/>
        </w:rPr>
        <w:t>，预决算差异率5.91%，差异主要原因是:人员工资增加、社保及住房公积金增加、抚恤金增加。</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579.64</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562.14</w:t>
      </w:r>
      <w:r>
        <w:rPr>
          <w:rFonts w:hint="eastAsia" w:ascii="仿宋_GB2312" w:eastAsia="仿宋_GB2312"/>
          <w:color w:val="000000" w:themeColor="text1"/>
          <w:sz w:val="32"/>
          <w:szCs w:val="32"/>
        </w:rPr>
        <w:t>万元，占</w:t>
      </w:r>
      <w:r>
        <w:rPr>
          <w:rFonts w:hint="eastAsia" w:ascii="仿宋_GB2312" w:eastAsia="仿宋_GB2312"/>
          <w:sz w:val="32"/>
          <w:szCs w:val="32"/>
        </w:rPr>
        <w:t>96.98%</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17.5</w:t>
      </w:r>
      <w:r>
        <w:rPr>
          <w:rFonts w:hint="eastAsia" w:ascii="仿宋_GB2312" w:eastAsia="仿宋_GB2312"/>
          <w:color w:val="000000" w:themeColor="text1"/>
          <w:sz w:val="32"/>
          <w:szCs w:val="32"/>
        </w:rPr>
        <w:t>万元，占</w:t>
      </w:r>
      <w:r>
        <w:rPr>
          <w:rFonts w:hint="eastAsia" w:ascii="仿宋_GB2312" w:eastAsia="仿宋_GB2312"/>
          <w:sz w:val="32"/>
          <w:szCs w:val="32"/>
        </w:rPr>
        <w:t>3.02%</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与年初预算数相比情况：本年支出年初预算数547.27万元，</w:t>
      </w:r>
      <w:r>
        <w:rPr>
          <w:rFonts w:hint="eastAsia" w:ascii="仿宋_GB2312" w:eastAsia="仿宋_GB2312"/>
          <w:sz w:val="32"/>
          <w:szCs w:val="32"/>
        </w:rPr>
        <w:t>决算数579.64万元</w:t>
      </w:r>
      <w:r>
        <w:rPr>
          <w:rFonts w:ascii="仿宋_GB2312" w:eastAsia="仿宋_GB2312"/>
          <w:sz w:val="32"/>
          <w:szCs w:val="32"/>
        </w:rPr>
        <w:t>，预决算差异率5.91%，差异主要原因是:人员工资增加、社保及住房公积金增加、抚恤金增加。</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579.64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，与上年相比，增加88.27万元，增长17.96%，增加的主要原因是：单位人员工资增加，社保和住房公积金基数增加，以及退休人员去世，抚恤金支出增加。</w:t>
      </w:r>
      <w:bookmarkEnd w:id="23"/>
      <w:bookmarkEnd w:id="24"/>
      <w:bookmarkStart w:id="26" w:name="OLE_LINK14"/>
      <w:bookmarkStart w:id="27" w:name="OLE_LINK59"/>
      <w:bookmarkStart w:id="28" w:name="OLE_LINK60"/>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579.64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，与上年相比，增加88.27万元，增长17.96%，增加的主要原因是：</w:t>
      </w:r>
      <w:r>
        <w:rPr>
          <w:rFonts w:ascii="仿宋_GB2312" w:eastAsia="仿宋_GB2312"/>
          <w:sz w:val="32"/>
          <w:szCs w:val="32"/>
        </w:rPr>
        <w:t>单位人员工资增加，社保和住房公积金基数增加，以及退休人员去世，抚恤金支出增加。</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562.14</w:t>
      </w:r>
      <w:r>
        <w:rPr>
          <w:rFonts w:hint="eastAsia" w:ascii="仿宋_GB2312" w:eastAsia="仿宋_GB2312"/>
          <w:color w:val="000000" w:themeColor="text1"/>
          <w:sz w:val="32"/>
          <w:szCs w:val="32"/>
        </w:rPr>
        <w:t>万元，项目支出</w:t>
      </w:r>
      <w:r>
        <w:rPr>
          <w:rFonts w:hint="eastAsia" w:ascii="仿宋_GB2312" w:eastAsia="仿宋_GB2312"/>
          <w:sz w:val="32"/>
          <w:szCs w:val="32"/>
        </w:rPr>
        <w:t>17.5</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基本支出相较上年增加9.42%，主要因为单位人员工资增加、社保住房公积金、抚恤金增加等。项目支出相较上年增加221%，主要是因为为民办实事支出本年度在项目中反映。</w:t>
      </w:r>
      <w:bookmarkEnd w:id="29"/>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547.27</w:t>
      </w:r>
      <w:r>
        <w:rPr>
          <w:rFonts w:hint="eastAsia" w:ascii="仿宋_GB2312" w:eastAsia="仿宋_GB2312"/>
          <w:color w:val="000000" w:themeColor="text1"/>
          <w:sz w:val="32"/>
          <w:szCs w:val="32"/>
        </w:rPr>
        <w:t>万元，决算数</w:t>
      </w:r>
      <w:r>
        <w:rPr>
          <w:rFonts w:hint="eastAsia" w:ascii="仿宋_GB2312" w:eastAsia="仿宋_GB2312"/>
          <w:sz w:val="32"/>
          <w:szCs w:val="32"/>
        </w:rPr>
        <w:t>579.64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，预决算差异率5.91%，差异主要原因是:单位人员工资增加、社保住房公积金、抚恤金增加等。</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547.27</w:t>
      </w:r>
      <w:r>
        <w:rPr>
          <w:rFonts w:hint="eastAsia" w:ascii="仿宋_GB2312" w:eastAsia="仿宋_GB2312"/>
          <w:color w:val="000000" w:themeColor="text1"/>
          <w:sz w:val="32"/>
          <w:szCs w:val="32"/>
        </w:rPr>
        <w:t>万元，决算数</w:t>
      </w:r>
      <w:r>
        <w:rPr>
          <w:rFonts w:hint="eastAsia" w:ascii="仿宋_GB2312" w:eastAsia="仿宋_GB2312"/>
          <w:sz w:val="32"/>
          <w:szCs w:val="32"/>
        </w:rPr>
        <w:t>579.64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，预决算差异率5.91%，差异主要原因是:单位人员工资增加、社保住房公积金、抚恤金增加等。</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579.64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，与上年相比，增加88.27万元，增长17.96%，增加的主要原因是：单位人员工资增加，社保和住房公积金基数增加，以及退休人员去世，抚恤金支出增加。项目支出相较去年增加。</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579.64</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，与上年相比，增加88.27万元，增长17.96%，增加的主要原因是：单位人员工资增加，社保和住房公积金基数增加，以及退休人员去世，抚恤金支出增加。项目支出相较去年增加。</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住房保障支出26万元,粮油物资储备支出486.77万元,教育支出7.8万元,其他支出17.96万元,社会保障和就业支出41.1万元。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工资福利支出418.41万元,商品和服务支出35.52万元,对个人和家庭的补助125.71万元。</w:t>
      </w:r>
    </w:p>
    <w:p>
      <w:pPr>
        <w:spacing w:line="540" w:lineRule="exact"/>
        <w:ind w:firstLine="640" w:firstLineChars="200"/>
        <w:rPr>
          <w:rFonts w:ascii="仿宋_GB2312" w:eastAsia="仿宋_GB2312"/>
          <w:color w:val="000000" w:themeColor="text1"/>
          <w:sz w:val="32"/>
          <w:szCs w:val="32"/>
        </w:rPr>
      </w:pPr>
      <w:bookmarkStart w:id="41" w:name="OLE_LINK66"/>
      <w:bookmarkStart w:id="42" w:name="OLE_LINK67"/>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547.27</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579.64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，预决算差异率5.91%，差异主要原因是:单位人员工资增加、社保住房公积金、抚恤金增加等。</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547.27</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579.64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，预决算差异率5.91%，差异主要原因是:单位人员工资增加、社保住房公积金、抚恤金增加等。</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，与上年相比，增加0万元，增长0%，主要原因是：无政府性基金预算财政拨款收入。</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，与上年相比，增加0万元，增长0%，主要原因是：无政府性基金预算财政拨款支出。</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2"/>
      <w:bookmarkStart w:id="50" w:name="OLE_LINK71"/>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，预决算差异率0%，差异主要原因是:无政府性基金预算财政拨款收入。</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，预决算差异率0%，差异主要原因是:无政府性基金预算财政拨款支出。</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6"/>
      <w:bookmarkStart w:id="53" w:name="OLE_LINK25"/>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8"/>
      <w:bookmarkStart w:id="55" w:name="OLE_LINK27"/>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5.4</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，与上年相比，减少0.11万元，下降2%，减少的主要原因是：本年度公务接待支出减少0.11万元。</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0%，与上年相比，增加0万元，增长0%，主要原因是：无因公出国（境）费；</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5.4</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100%，与上年相比，增加0万元，增长0%，主要原因是：无变化；</w:t>
      </w:r>
      <w:bookmarkEnd w:id="61"/>
      <w:bookmarkStart w:id="62" w:name="OLE_LINK32"/>
      <w:bookmarkStart w:id="63" w:name="OLE_LINK78"/>
      <w:bookmarkStart w:id="64" w:name="OLE_LINK77"/>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0%，与上年相比，减少0.11万元，下降100%，减少的主要原因是：本年度财政预算内未安排公务接待支出。</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80"/>
      <w:bookmarkStart w:id="66" w:name="OLE_LINK79"/>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新疆维吾尔自治区喀什地区粮食局</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5"/>
      <w:bookmarkStart w:id="69" w:name="OLE_LINK34"/>
      <w:bookmarkStart w:id="70" w:name="OLE_LINK36"/>
      <w:r>
        <w:rPr>
          <w:rFonts w:hint="eastAsia" w:ascii="仿宋_GB2312" w:eastAsia="仿宋_GB2312"/>
          <w:color w:val="000000" w:themeColor="text1"/>
          <w:sz w:val="32"/>
          <w:szCs w:val="32"/>
        </w:rPr>
        <w:t>使用一般公共预算财政拨款安排的出国（境）团组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无此项开支。</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5.4</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1"/>
      <w:bookmarkStart w:id="76" w:name="OLE_LINK40"/>
      <w:r>
        <w:rPr>
          <w:rFonts w:hint="eastAsia" w:ascii="仿宋_GB2312" w:eastAsia="仿宋_GB2312"/>
          <w:color w:val="000000" w:themeColor="text1"/>
          <w:sz w:val="32"/>
          <w:szCs w:val="32"/>
        </w:rPr>
        <w:t>公务用车运行维护费</w:t>
      </w:r>
      <w:r>
        <w:rPr>
          <w:rFonts w:hint="eastAsia" w:ascii="仿宋_GB2312" w:eastAsia="仿宋_GB2312"/>
          <w:sz w:val="32"/>
          <w:szCs w:val="32"/>
        </w:rPr>
        <w:t>5.4</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单位公用用车运行维护费，主要为汽车油料、维护费、过路费</w:t>
      </w:r>
      <w:r>
        <w:rPr>
          <w:rFonts w:hint="eastAsia" w:ascii="仿宋_GB2312" w:eastAsia="仿宋_GB2312"/>
          <w:color w:val="000000" w:themeColor="text1"/>
          <w:sz w:val="32"/>
          <w:szCs w:val="32"/>
        </w:rPr>
        <w:t>等。</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2</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无公务接待费</w:t>
      </w:r>
      <w:r>
        <w:rPr>
          <w:rFonts w:hint="eastAsia" w:ascii="仿宋_GB2312" w:eastAsia="仿宋_GB2312"/>
          <w:color w:val="000000" w:themeColor="text1"/>
          <w:sz w:val="32"/>
          <w:szCs w:val="32"/>
        </w:rPr>
        <w:t>等。</w:t>
      </w:r>
      <w:bookmarkEnd w:id="78"/>
      <w:bookmarkStart w:id="79" w:name="OLE_LINK84"/>
      <w:r>
        <w:rPr>
          <w:rFonts w:hint="eastAsia" w:ascii="仿宋_GB2312" w:eastAsia="仿宋_GB2312"/>
          <w:sz w:val="32"/>
          <w:szCs w:val="32"/>
        </w:rPr>
        <w:t>新疆维吾尔自治区喀什地区粮食局</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5.4</w:t>
      </w:r>
      <w:r>
        <w:rPr>
          <w:rFonts w:hint="eastAsia" w:ascii="仿宋_GB2312" w:eastAsia="仿宋_GB2312"/>
          <w:color w:val="000000" w:themeColor="text1"/>
          <w:sz w:val="32"/>
          <w:szCs w:val="32"/>
        </w:rPr>
        <w:t>万元，决算数5.4万元</w:t>
      </w:r>
      <w:r>
        <w:rPr>
          <w:rFonts w:ascii="仿宋_GB2312" w:eastAsia="仿宋_GB2312"/>
          <w:color w:val="000000" w:themeColor="text1"/>
          <w:sz w:val="32"/>
          <w:szCs w:val="32"/>
        </w:rPr>
        <w:t>，预决算差异率0%，差异主要原因是:严格执行预算。</w:t>
      </w:r>
      <w:bookmarkEnd w:id="80"/>
      <w:bookmarkStart w:id="81" w:name="OLE_LINK87"/>
      <w:bookmarkStart w:id="82" w:name="OLE_LINK86"/>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，预决算差异率0%，差异主要原因是:严格执行预算；</w:t>
      </w:r>
      <w:bookmarkEnd w:id="81"/>
      <w:bookmarkEnd w:id="82"/>
      <w:bookmarkStart w:id="83" w:name="OLE_LINK88"/>
      <w:bookmarkStart w:id="84" w:name="OLE_LINK89"/>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，预决算差异率0%，差异主要原因是:未购置公务用车；</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5.4</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5.4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，预决算差异率0%，差异主要原因是:严格执行预算；</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未发生公务接待费。</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2018年度新疆维吾尔自治区喀什地区粮食局机关运行经费支出18.02万元，与上年相比，减少28.27万元，下降61.07%，减少的主要原因是：为民办实事经费本年度在项目支出中反映。</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4.23</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3.36</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0.87</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2</w:t>
      </w:r>
      <w:r>
        <w:rPr>
          <w:rFonts w:hint="eastAsia" w:ascii="仿宋_GB2312" w:eastAsia="仿宋_GB2312"/>
          <w:color w:val="000000" w:themeColor="text1"/>
          <w:sz w:val="32"/>
          <w:szCs w:val="32"/>
        </w:rPr>
        <w:t>辆，价值</w:t>
      </w:r>
      <w:r>
        <w:rPr>
          <w:rFonts w:hint="eastAsia" w:ascii="仿宋_GB2312" w:eastAsia="仿宋_GB2312"/>
          <w:sz w:val="32"/>
          <w:szCs w:val="32"/>
        </w:rPr>
        <w:t>44.05</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2</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单位公务用车；</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2018年度，本部门单位预算绩效自评情况：根据年初设定的绩效目标，基本支出全年预算数为543.77万元，执行数为562.14万元。完成预算的100%，主要产出和效果保障了职工收入的增长，保障了单位的正常运转和工作需要，提升了社会服务能力。</w:t>
      </w:r>
    </w:p>
    <w:p>
      <w:pPr>
        <w:spacing w:line="540" w:lineRule="exact"/>
        <w:ind w:left="-1" w:right="-1" w:firstLine="646"/>
        <w:jc w:val="left"/>
      </w:pPr>
      <w:r>
        <w:rPr>
          <w:rFonts w:ascii="仿宋_GB2312" w:hAnsi="仿宋_GB2312" w:eastAsia="仿宋_GB2312" w:cs="仿宋_GB2312"/>
          <w:sz w:val="32"/>
        </w:rPr>
        <w:t>1、工作经费项目绩效自评综述：根据年初设定的绩效目标，该项目绩效自评得分为</w:t>
      </w:r>
      <w:r>
        <w:rPr>
          <w:rFonts w:hint="eastAsia" w:ascii="仿宋_GB2312" w:hAnsi="仿宋_GB2312" w:eastAsia="仿宋_GB2312" w:cs="仿宋_GB2312"/>
          <w:sz w:val="32"/>
          <w:lang w:val="en-US" w:eastAsia="zh-CN"/>
        </w:rPr>
        <w:t>83</w:t>
      </w:r>
      <w:r>
        <w:rPr>
          <w:rFonts w:ascii="仿宋_GB2312" w:hAnsi="仿宋_GB2312" w:eastAsia="仿宋_GB2312" w:cs="仿宋_GB2312"/>
          <w:sz w:val="32"/>
        </w:rPr>
        <w:t>分。项</w:t>
      </w:r>
      <w:bookmarkStart w:id="92" w:name="_GoBack"/>
      <w:bookmarkEnd w:id="92"/>
      <w:r>
        <w:rPr>
          <w:rFonts w:ascii="仿宋_GB2312" w:hAnsi="仿宋_GB2312" w:eastAsia="仿宋_GB2312" w:cs="仿宋_GB2312"/>
          <w:sz w:val="32"/>
        </w:rPr>
        <w:t>目全年预算数为14万元，执行数为14万元，完成预算的100%。主要产出和效果：经济性：主要根据项目实际情况和项目经济效益设置的指标进行综合分析，主要包括项目成本控制情况和项目成本节约情况。严格按照项目预算执行，控制成本，在预算金额内完成预期指标。效率性：按照年初预期指标完成本项目，项目完成率100%。效益性：推进8村的各项工作开展，提高农民收入。发现的问题及原因：无；2018年项目绩效目标全部达成，不存在未完成原因分析。下一步改进措施： 无建议。</w:t>
      </w:r>
    </w:p>
    <w:p>
      <w:pPr>
        <w:spacing w:line="540" w:lineRule="exact"/>
        <w:ind w:left="-1" w:right="-1" w:firstLine="646"/>
        <w:jc w:val="left"/>
      </w:pPr>
      <w:r>
        <w:rPr>
          <w:rFonts w:ascii="仿宋_GB2312" w:hAnsi="仿宋_GB2312" w:eastAsia="仿宋_GB2312" w:cs="仿宋_GB2312"/>
          <w:sz w:val="32"/>
        </w:rPr>
        <w:t>2、2018年夏粮收购专项检查项目绩效自评综述：根据年初设定的绩效目标，该项目绩效自评得分为</w:t>
      </w:r>
      <w:r>
        <w:rPr>
          <w:rFonts w:hint="eastAsia" w:ascii="仿宋_GB2312" w:hAnsi="仿宋_GB2312" w:eastAsia="仿宋_GB2312" w:cs="仿宋_GB2312"/>
          <w:sz w:val="32"/>
          <w:lang w:val="en-US" w:eastAsia="zh-CN"/>
        </w:rPr>
        <w:t>83</w:t>
      </w:r>
      <w:r>
        <w:rPr>
          <w:rFonts w:ascii="仿宋_GB2312" w:hAnsi="仿宋_GB2312" w:eastAsia="仿宋_GB2312" w:cs="仿宋_GB2312"/>
          <w:sz w:val="32"/>
        </w:rPr>
        <w:t>分。项目全年预算数为3.5万元，执行数为3.5万元，完成预算的100%。主要产出和效果：经济性：主要根据项目实际情况和项目经济效益设置的指标进行综合分析，主要包括项目成本控制情况和项目成本节约情况。严格按照项目预算执行，控制成本，在预算金额内完成预期指标。效率性：按照年初预期指标完成本项目，项目完成率100%。效益性：完成36万吨的计划收购，满足全区150万城镇居民和流动人口的粮食消费需求，确保全区粮食质量安全。发现的问题及原因：我区夏粮收购工作还存在一定的问题和不足，主要表现在，一是各县市现有仓容不足，且都是高大平房仓，无法做到分级分仓储存。二是检化验能力还不足，特别是县一级检验机构和检化验人员不足。三是夏粮收购完成情况总体还不平衡。部分县与去年同比收购量减幅较大。四是各县市不同程度上存在对粮食等级把控不严格、不规范的情况。还有相当一部分部分粮站存在着以感观、经验确定等级的问题。五是部分粮站与农民签订粮食销售订单还不规范、不完整。六是还有相当部分农民优质优价意识不强，不清理直接交“毛粮”，既直接影响农民自己售收购等级和收益，又影响了粮站收购进度；2018年项目绩效目标全部达成，不存在未完成原因分析。下一步改进措施： 建议各县市结合实际，抓好2019年夏粮收购，努力完成夏粮收购指导性计划，避免本地粮食安全出现问题，确保完成我区收购指导性计划，确保本地粮食安全。转变种粮观念，从数量型向质量型转变。粮食种植面积、品种、管理方式，应作合理配置。调整小麦播种面积和管理方式，宜粮则粮、宜果则果，“林粮兼做”应作为过渡性措施，阶段性实施。在小麦生产质量上下功夫，调减次宜粮食品种和种植面积。大力推进优质粮功能区建设，优化粮食种植结构，树立优质粮主产区地位，藏粮与地，藏粮于技，以适应“优质优价、优质优补”小麦收储政策改革要求。</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222（类）01（款）02（项）指：一般行政管理事务。222（类）01（款）01（项）指：行政运行。221（类）02（款）01（项）指：住房公积金。205（类）02（款）01（项）指：学前教育。229（类）99（款）01（项）指：其他支出。208（类）05（款）05（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- 10 -</w:t>
    </w:r>
    <w:r>
      <w:rPr>
        <w:rStyle w:val="9"/>
        <w:rFonts w:ascii="宋体" w:hAnsi="宋体" w:eastAsia="宋体"/>
        <w:sz w:val="28"/>
      </w:rPr>
      <w:fldChar w:fldCharType="end"/>
    </w:r>
    <w:r>
      <w:rPr>
        <w:rStyle w:val="9"/>
        <w:rFonts w:hint="eastAsia" w:ascii="宋体" w:hAnsi="宋体" w:eastAsia="宋体"/>
        <w:sz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b1PVYjgCha0UZgs0WI2zSV8kDCo=" w:salt="G21iPye51n+lNCF0LP/NZg=="/>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1C85"/>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5367"/>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169D"/>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0837F20"/>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5B545F"/>
    <w:rsid w:val="59B332C9"/>
    <w:rsid w:val="5A44758A"/>
    <w:rsid w:val="5ABD6DF8"/>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5635A89"/>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4"/>
    </w:rPr>
  </w:style>
  <w:style w:type="character" w:customStyle="1" w:styleId="13">
    <w:name w:val="批注主题 Char"/>
    <w:basedOn w:val="12"/>
    <w:link w:val="6"/>
    <w:semiHidden/>
    <w:qFormat/>
    <w:uiPriority w:val="99"/>
    <w:rPr>
      <w:rFonts w:ascii="Times New Roman" w:hAnsi="Times New Roman" w:eastAsia="宋体" w:cs="Times New Roman"/>
      <w:b/>
      <w:bCs/>
      <w:szCs w:val="24"/>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1008</Words>
  <Characters>5752</Characters>
  <Lines>47</Lines>
  <Paragraphs>13</Paragraphs>
  <TotalTime>285</TotalTime>
  <ScaleCrop>false</ScaleCrop>
  <LinksUpToDate>false</LinksUpToDate>
  <CharactersWithSpaces>6747</CharactersWithSpaces>
  <Application>WPS Office_11.8.2.8506_F1E327BC-269C-435d-A152-05C5408002CA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2021-07-11T11:26:25Z</dcterms:modified>
  <cp:revision>817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