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sz w:val="32"/>
          <w:szCs w:val="32"/>
        </w:rPr>
      </w:pPr>
      <w:r>
        <w:rPr>
          <w:rFonts w:hint="eastAsia" w:ascii="黑体" w:hAnsi="黑体" w:eastAsia="黑体"/>
          <w:sz w:val="32"/>
          <w:szCs w:val="32"/>
        </w:rPr>
        <w:t xml:space="preserve">附件1： </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2018年度新疆维吾尔自治区喀什地区经济和信息化委员会部门决算</w:t>
      </w: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bCs/>
          <w:kern w:val="0"/>
          <w:sz w:val="32"/>
          <w:szCs w:val="32"/>
        </w:rPr>
      </w:pPr>
      <w:r>
        <w:rPr>
          <w:rFonts w:hint="eastAsia" w:ascii="黑体" w:hAnsi="黑体" w:eastAsia="黑体"/>
          <w:bCs/>
          <w:kern w:val="0"/>
          <w:sz w:val="32"/>
          <w:szCs w:val="32"/>
        </w:rPr>
        <w:t>目  录</w:t>
      </w:r>
    </w:p>
    <w:p>
      <w:pPr>
        <w:spacing w:line="540" w:lineRule="exact"/>
        <w:rPr>
          <w:rFonts w:ascii="仿宋_GB2312" w:hAnsi="宋体" w:eastAsia="仿宋_GB2312"/>
          <w:b/>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5"/>
      <w:bookmarkStart w:id="1" w:name="OLE_LINK94"/>
      <w:r>
        <w:rPr>
          <w:rFonts w:hint="eastAsia" w:ascii="仿宋_GB2312" w:eastAsia="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第一部分 部门单位概况</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500" w:lineRule="exact"/>
        <w:rPr>
          <w:rFonts w:ascii="黑体" w:hAnsi="黑体" w:eastAsia="黑体" w:cs="宋体"/>
          <w:bCs/>
          <w:kern w:val="0"/>
          <w:sz w:val="32"/>
          <w:szCs w:val="32"/>
        </w:rPr>
      </w:pPr>
      <w:r>
        <w:rPr>
          <w:rFonts w:hint="eastAsia" w:ascii="仿宋_GB2312" w:eastAsia="仿宋_GB2312"/>
          <w:sz w:val="32"/>
          <w:szCs w:val="32"/>
        </w:rPr>
        <w:t xml:space="preserve">    贯彻执行国家、自治区有关经济和信息化的方针政策和法律法规，提出地区新型工业化、信息化发展战略和政策建议；制订地区经济和信息化发展的地方优惠政策，并组织实施和监督检查；协调解决工业化和信息化进程中的重大问题；推进信息化和工业化融合。 </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spacing w:line="540" w:lineRule="exact"/>
        <w:ind w:firstLine="640" w:firstLineChars="200"/>
        <w:rPr>
          <w:rFonts w:ascii="仿宋_GB2312" w:hAnsi="宋体" w:eastAsia="仿宋_GB2312" w:cs="宋体"/>
          <w:kern w:val="0"/>
          <w:sz w:val="32"/>
          <w:szCs w:val="32"/>
        </w:rPr>
      </w:pPr>
      <w:bookmarkStart w:id="3" w:name="OLE_LINK51"/>
      <w:r>
        <w:rPr>
          <w:rFonts w:hint="eastAsia" w:ascii="仿宋_GB2312" w:eastAsia="仿宋_GB2312"/>
          <w:sz w:val="32"/>
          <w:szCs w:val="32"/>
        </w:rPr>
        <w:t>从决算单位构成看，</w:t>
      </w:r>
      <w:r>
        <w:rPr>
          <w:rFonts w:ascii="仿宋_GB2312" w:eastAsia="仿宋_GB2312"/>
          <w:sz w:val="32"/>
          <w:szCs w:val="32"/>
        </w:rPr>
        <w:t>新疆维吾尔自治区喀什地区经济和信息化委员会</w:t>
      </w:r>
      <w:r>
        <w:rPr>
          <w:rFonts w:hint="eastAsia" w:ascii="仿宋_GB2312" w:eastAsia="仿宋_GB2312"/>
          <w:sz w:val="32"/>
          <w:szCs w:val="32"/>
        </w:rPr>
        <w:t>部门决算包括：</w:t>
      </w:r>
      <w:r>
        <w:rPr>
          <w:rFonts w:ascii="仿宋_GB2312" w:eastAsia="仿宋_GB2312"/>
          <w:sz w:val="32"/>
          <w:szCs w:val="32"/>
        </w:rPr>
        <w:t>新疆维吾尔自治区喀什地区经济和信息化委员会</w:t>
      </w:r>
      <w:r>
        <w:rPr>
          <w:rFonts w:hint="eastAsia" w:ascii="仿宋_GB2312" w:eastAsia="仿宋_GB2312"/>
          <w:sz w:val="32"/>
          <w:szCs w:val="32"/>
        </w:rPr>
        <w:t>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sz w:val="32"/>
          <w:szCs w:val="32"/>
        </w:rPr>
        <w:t>纳入</w:t>
      </w:r>
      <w:r>
        <w:rPr>
          <w:rFonts w:ascii="仿宋_GB2312" w:eastAsia="仿宋_GB2312"/>
          <w:sz w:val="32"/>
          <w:szCs w:val="32"/>
        </w:rPr>
        <w:t>新疆维吾尔自治区喀什地区经济和信息化委员会</w:t>
      </w:r>
      <w:r>
        <w:rPr>
          <w:rFonts w:hint="eastAsia" w:ascii="仿宋_GB2312" w:eastAsia="仿宋_GB2312"/>
          <w:sz w:val="32"/>
          <w:szCs w:val="32"/>
        </w:rPr>
        <w:t>2018年部门决算编制范围的单位名单见下表</w:t>
      </w:r>
      <w:r>
        <w:rPr>
          <w:rFonts w:hint="eastAsia" w:ascii="仿宋_GB2312" w:eastAsia="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序号</w:t>
            </w:r>
          </w:p>
        </w:tc>
        <w:tc>
          <w:tcPr>
            <w:tcW w:w="3870"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单位名称</w:t>
            </w:r>
          </w:p>
        </w:tc>
        <w:tc>
          <w:tcPr>
            <w:tcW w:w="2538" w:type="dxa"/>
            <w:vAlign w:val="center"/>
          </w:tcPr>
          <w:p>
            <w:pPr>
              <w:spacing w:line="500" w:lineRule="exact"/>
              <w:ind w:firstLine="1280" w:firstLineChars="400"/>
              <w:rPr>
                <w:rFonts w:ascii="仿宋_GB2312" w:eastAsia="仿宋_GB2312"/>
                <w:color w:val="000000" w:themeColor="text1"/>
                <w:sz w:val="32"/>
                <w:szCs w:val="32"/>
                <w:highlight w:val="yellow"/>
              </w:rPr>
            </w:pPr>
            <w:r>
              <w:rPr>
                <w:rFonts w:hint="eastAsia" w:ascii="仿宋_GB2312" w:eastAsia="仿宋_GB2312"/>
                <w:color w:val="000000" w:themeColor="text1"/>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56" w:type="dxa"/>
          </w:tcPr>
          <w:p>
            <w:pPr>
              <w:pageBreakBefore w:val="0"/>
              <w:spacing w:line="500" w:lineRule="exact"/>
              <w:ind w:firstLine="640" w:firstLineChars="200"/>
              <w:jc w:val="left"/>
              <w:textAlignment w:val="auto"/>
            </w:pPr>
            <w:r>
              <w:rPr>
                <w:rFonts w:ascii="Times New Roman" w:hAnsi="Times New Roman" w:eastAsia="Times New Roman" w:cs="Times New Roman"/>
                <w:b w:val="0"/>
                <w:i w:val="0"/>
                <w:strike w:val="0"/>
                <w:color w:val="auto"/>
                <w:position w:val="-1"/>
                <w:sz w:val="32"/>
                <w:u w:val="none"/>
              </w:rPr>
              <w:t>1</w:t>
            </w:r>
          </w:p>
        </w:tc>
        <w:tc>
          <w:tcPr>
            <w:tcW w:w="3870" w:type="dxa"/>
          </w:tcPr>
          <w:p>
            <w:pPr>
              <w:pageBreakBefore w:val="0"/>
              <w:spacing w:line="500" w:lineRule="exact"/>
              <w:ind w:firstLine="640" w:firstLineChars="200"/>
              <w:jc w:val="left"/>
              <w:textAlignment w:val="auto"/>
            </w:pPr>
            <w:r>
              <w:rPr>
                <w:rFonts w:ascii="Times New Roman" w:hAnsi="Times New Roman" w:eastAsia="Times New Roman" w:cs="Times New Roman"/>
                <w:b w:val="0"/>
                <w:i w:val="0"/>
                <w:strike w:val="0"/>
                <w:color w:val="auto"/>
                <w:position w:val="-1"/>
                <w:sz w:val="32"/>
                <w:u w:val="none"/>
              </w:rPr>
              <w:t>新疆维吾尔自治区喀什地区经济和信息化委员会</w:t>
            </w:r>
          </w:p>
        </w:tc>
        <w:tc>
          <w:tcPr>
            <w:tcW w:w="2538" w:type="dxa"/>
            <w:vAlign w:val="center"/>
          </w:tcPr>
          <w:p>
            <w:pPr>
              <w:pageBreakBefore w:val="0"/>
              <w:spacing w:line="500" w:lineRule="exact"/>
              <w:ind w:firstLine="420" w:firstLineChars="200"/>
              <w:jc w:val="left"/>
              <w:textAlignment w:val="auto"/>
            </w:pPr>
          </w:p>
        </w:tc>
      </w:tr>
    </w:tbl>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第二部分 部门决算情况说明</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（一）部门收入支出决算总体情况说明</w:t>
      </w:r>
    </w:p>
    <w:p>
      <w:pPr>
        <w:spacing w:line="540" w:lineRule="exact"/>
        <w:ind w:firstLine="640" w:firstLineChars="200"/>
        <w:rPr>
          <w:rFonts w:ascii="仿宋_GB2312" w:hAnsi="Calibri" w:eastAsia="仿宋_GB2312"/>
          <w:color w:val="000000" w:themeColor="text1"/>
          <w:sz w:val="32"/>
          <w:szCs w:val="32"/>
          <w:lang w:val="en-GB"/>
        </w:rPr>
      </w:pPr>
      <w:bookmarkStart w:id="4" w:name="OLE_LINK100"/>
      <w:bookmarkStart w:id="5" w:name="OLE_LINK99"/>
      <w:bookmarkStart w:id="6" w:name="OLE_LINK52"/>
      <w:r>
        <w:rPr>
          <w:rFonts w:hint="eastAsia" w:ascii="仿宋_GB2312" w:eastAsia="仿宋_GB2312"/>
          <w:color w:val="000000" w:themeColor="text1"/>
          <w:sz w:val="32"/>
          <w:szCs w:val="32"/>
        </w:rPr>
        <w:t>2018年度收入</w:t>
      </w:r>
      <w:r>
        <w:rPr>
          <w:rFonts w:hint="eastAsia" w:ascii="仿宋_GB2312" w:eastAsia="仿宋_GB2312"/>
          <w:sz w:val="32"/>
          <w:szCs w:val="32"/>
        </w:rPr>
        <w:t>872.54</w:t>
      </w:r>
      <w:r>
        <w:rPr>
          <w:rFonts w:hint="eastAsia" w:ascii="仿宋_GB2312" w:eastAsia="仿宋_GB2312"/>
          <w:color w:val="000000" w:themeColor="text1"/>
          <w:sz w:val="32"/>
          <w:szCs w:val="32"/>
        </w:rPr>
        <w:t>万元</w:t>
      </w:r>
      <w:bookmarkEnd w:id="4"/>
      <w:bookmarkEnd w:id="5"/>
      <w:r>
        <w:rPr>
          <w:rFonts w:hint="eastAsia" w:ascii="仿宋_GB2312" w:eastAsia="仿宋_GB2312"/>
          <w:sz w:val="32"/>
          <w:szCs w:val="32"/>
        </w:rPr>
        <w:t>，与上年相比，增加15.83万元，增长1.85%，增加的主要原因是：</w:t>
      </w:r>
      <w:r>
        <w:rPr>
          <w:rFonts w:hint="eastAsia" w:ascii="仿宋_GB2312" w:eastAsia="仿宋_GB2312"/>
          <w:color w:val="000000" w:themeColor="text1"/>
          <w:sz w:val="32"/>
          <w:szCs w:val="32"/>
        </w:rPr>
        <w:t>1、节能减排专项资金项目10.87万元；2、纺织服装优惠政策执行审核费项目7.2万元。3、2018年单位新增加4人事业编制；</w:t>
      </w:r>
      <w:bookmarkEnd w:id="6"/>
      <w:bookmarkStart w:id="7" w:name="OLE_LINK53"/>
      <w:r>
        <w:rPr>
          <w:rFonts w:hint="eastAsia" w:ascii="仿宋_GB2312" w:eastAsia="仿宋_GB2312"/>
          <w:color w:val="000000" w:themeColor="text1"/>
          <w:sz w:val="32"/>
          <w:szCs w:val="32"/>
        </w:rPr>
        <w:t>支出</w:t>
      </w:r>
      <w:r>
        <w:rPr>
          <w:rFonts w:hint="eastAsia" w:ascii="仿宋_GB2312" w:eastAsia="仿宋_GB2312"/>
          <w:sz w:val="32"/>
          <w:szCs w:val="32"/>
        </w:rPr>
        <w:t>872.54</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，与上年相比，增加15.83万元，增长1.85%，增加的主要原因是：</w:t>
      </w:r>
      <w:r>
        <w:rPr>
          <w:rFonts w:hint="eastAsia" w:ascii="仿宋_GB2312" w:eastAsia="仿宋_GB2312"/>
          <w:color w:val="000000" w:themeColor="text1"/>
          <w:sz w:val="32"/>
          <w:szCs w:val="32"/>
        </w:rPr>
        <w:t>1、节能减排专项资金项目10.87万元；2、纺织服装优惠政策执行审核费项目7.2万元。3、2018年单位新增加4人事业编制，工资福利支出增加；</w:t>
      </w:r>
      <w:bookmarkEnd w:id="7"/>
      <w:bookmarkStart w:id="8" w:name="OLE_LINK54"/>
      <w:r>
        <w:rPr>
          <w:rFonts w:hint="eastAsia" w:ascii="仿宋_GB2312" w:eastAsia="仿宋_GB2312"/>
          <w:color w:val="000000" w:themeColor="text1"/>
          <w:sz w:val="32"/>
          <w:szCs w:val="32"/>
        </w:rPr>
        <w:t>结余</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w:t>
      </w:r>
      <w:r>
        <w:rPr>
          <w:rFonts w:ascii="仿宋_GB2312" w:eastAsia="仿宋_GB2312"/>
          <w:color w:val="000000" w:themeColor="text1"/>
          <w:sz w:val="32"/>
          <w:szCs w:val="32"/>
        </w:rPr>
        <w:t>无变化。</w:t>
      </w:r>
      <w:bookmarkEnd w:id="8"/>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（二）部门收入总体情况说明</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本年收入合计</w:t>
      </w:r>
      <w:r>
        <w:rPr>
          <w:rFonts w:hint="eastAsia" w:ascii="仿宋_GB2312" w:eastAsia="仿宋_GB2312"/>
          <w:sz w:val="32"/>
          <w:szCs w:val="32"/>
        </w:rPr>
        <w:t>872.54</w:t>
      </w:r>
      <w:r>
        <w:rPr>
          <w:rFonts w:hint="eastAsia" w:ascii="仿宋_GB2312" w:eastAsia="仿宋_GB2312"/>
          <w:color w:val="000000" w:themeColor="text1"/>
          <w:sz w:val="32"/>
          <w:szCs w:val="32"/>
        </w:rPr>
        <w:t>万元，其中：</w:t>
      </w:r>
      <w:bookmarkStart w:id="9" w:name="OLE_LINK1"/>
      <w:r>
        <w:rPr>
          <w:rFonts w:hint="eastAsia" w:ascii="仿宋_GB2312" w:eastAsia="仿宋_GB2312"/>
          <w:color w:val="000000" w:themeColor="text1"/>
          <w:sz w:val="32"/>
          <w:szCs w:val="32"/>
        </w:rPr>
        <w:t>财政拨款收入</w:t>
      </w:r>
      <w:bookmarkEnd w:id="9"/>
      <w:r>
        <w:rPr>
          <w:rFonts w:hint="eastAsia" w:ascii="仿宋_GB2312" w:eastAsia="仿宋_GB2312"/>
          <w:sz w:val="32"/>
          <w:szCs w:val="32"/>
        </w:rPr>
        <w:t>872.54</w:t>
      </w:r>
      <w:r>
        <w:rPr>
          <w:rFonts w:hint="eastAsia" w:ascii="仿宋_GB2312" w:eastAsia="仿宋_GB2312"/>
          <w:color w:val="000000" w:themeColor="text1"/>
          <w:sz w:val="32"/>
          <w:szCs w:val="32"/>
        </w:rPr>
        <w:t>万元，占</w:t>
      </w:r>
      <w:r>
        <w:rPr>
          <w:rFonts w:hint="eastAsia" w:ascii="仿宋_GB2312" w:eastAsia="仿宋_GB2312"/>
          <w:sz w:val="32"/>
          <w:szCs w:val="32"/>
        </w:rPr>
        <w:t>100%</w:t>
      </w:r>
      <w:r>
        <w:rPr>
          <w:rFonts w:hint="eastAsia" w:ascii="仿宋_GB2312" w:eastAsia="仿宋_GB2312"/>
          <w:color w:val="000000" w:themeColor="text1"/>
          <w:sz w:val="32"/>
          <w:szCs w:val="32"/>
        </w:rPr>
        <w:t>；</w:t>
      </w:r>
      <w:bookmarkStart w:id="10" w:name="OLE_LINK2"/>
      <w:r>
        <w:rPr>
          <w:rFonts w:hint="eastAsia" w:ascii="仿宋_GB2312" w:eastAsia="仿宋_GB2312"/>
          <w:color w:val="000000" w:themeColor="text1"/>
          <w:sz w:val="32"/>
          <w:szCs w:val="32"/>
        </w:rPr>
        <w:t>上级补助收入</w:t>
      </w:r>
      <w:bookmarkEnd w:id="10"/>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1" w:name="OLE_LINK3"/>
      <w:r>
        <w:rPr>
          <w:rFonts w:hint="eastAsia" w:ascii="仿宋_GB2312" w:eastAsia="仿宋_GB2312"/>
          <w:color w:val="000000" w:themeColor="text1"/>
          <w:sz w:val="32"/>
          <w:szCs w:val="32"/>
        </w:rPr>
        <w:t>事业收入</w:t>
      </w:r>
      <w:bookmarkEnd w:id="11"/>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2" w:name="OLE_LINK4"/>
      <w:r>
        <w:rPr>
          <w:rFonts w:hint="eastAsia" w:ascii="仿宋_GB2312" w:eastAsia="仿宋_GB2312"/>
          <w:color w:val="000000" w:themeColor="text1"/>
          <w:sz w:val="32"/>
          <w:szCs w:val="32"/>
        </w:rPr>
        <w:t>经营收入</w:t>
      </w:r>
      <w:bookmarkEnd w:id="1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3" w:name="OLE_LINK5"/>
      <w:r>
        <w:rPr>
          <w:rFonts w:hint="eastAsia" w:ascii="仿宋_GB2312" w:eastAsia="仿宋_GB2312"/>
          <w:color w:val="000000" w:themeColor="text1"/>
          <w:sz w:val="32"/>
          <w:szCs w:val="32"/>
        </w:rPr>
        <w:t>附属单位缴款</w:t>
      </w:r>
      <w:bookmarkEnd w:id="13"/>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4" w:name="OLE_LINK6"/>
      <w:r>
        <w:rPr>
          <w:rFonts w:hint="eastAsia" w:ascii="仿宋_GB2312" w:eastAsia="仿宋_GB2312"/>
          <w:color w:val="000000" w:themeColor="text1"/>
          <w:sz w:val="32"/>
          <w:szCs w:val="32"/>
        </w:rPr>
        <w:t>其他收入</w:t>
      </w:r>
      <w:bookmarkEnd w:id="14"/>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sz w:val="32"/>
          <w:szCs w:val="32"/>
        </w:rPr>
        <w:t>与年初预算数相比情</w:t>
      </w:r>
      <w:r>
        <w:rPr>
          <w:rFonts w:hint="eastAsia" w:ascii="仿宋_GB2312" w:eastAsia="仿宋_GB2312"/>
          <w:color w:val="000000" w:themeColor="text1"/>
          <w:sz w:val="32"/>
          <w:szCs w:val="32"/>
        </w:rPr>
        <w:t>况：本年收入年初预算数864.35万元</w:t>
      </w:r>
      <w:r>
        <w:rPr>
          <w:rFonts w:hint="eastAsia" w:ascii="仿宋_GB2312" w:eastAsia="仿宋_GB2312"/>
          <w:sz w:val="32"/>
          <w:szCs w:val="32"/>
        </w:rPr>
        <w:t>，决算数872.54万元</w:t>
      </w:r>
      <w:r>
        <w:rPr>
          <w:rFonts w:ascii="仿宋_GB2312" w:eastAsia="仿宋_GB2312"/>
          <w:sz w:val="32"/>
          <w:szCs w:val="32"/>
        </w:rPr>
        <w:t>，预决算差异率0.95%，差异主要原因是:1、节能减排专项资金项目10.87万元；2、纺织服装优惠政策执行审核费项目7.2万元。3、2018年单位新增加4人事业编制。</w:t>
      </w:r>
      <w:bookmarkEnd w:id="15"/>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（三）部门支出总体情况说明</w:t>
      </w:r>
    </w:p>
    <w:p>
      <w:pPr>
        <w:spacing w:line="540" w:lineRule="exact"/>
        <w:ind w:firstLine="640" w:firstLineChars="200"/>
        <w:rPr>
          <w:rFonts w:ascii="仿宋_GB2312" w:eastAsia="仿宋_GB2312"/>
          <w:color w:val="000000" w:themeColor="text1"/>
          <w:spacing w:val="-6"/>
          <w:sz w:val="32"/>
          <w:szCs w:val="32"/>
        </w:rPr>
      </w:pPr>
      <w:bookmarkStart w:id="16" w:name="OLE_LINK7"/>
      <w:r>
        <w:rPr>
          <w:rFonts w:hint="eastAsia" w:ascii="仿宋_GB2312" w:eastAsia="仿宋_GB2312"/>
          <w:color w:val="000000" w:themeColor="text1"/>
          <w:sz w:val="32"/>
          <w:szCs w:val="32"/>
        </w:rPr>
        <w:t>本年支出合计</w:t>
      </w:r>
      <w:bookmarkEnd w:id="16"/>
      <w:r>
        <w:rPr>
          <w:rFonts w:hint="eastAsia" w:ascii="仿宋_GB2312" w:eastAsia="仿宋_GB2312"/>
          <w:sz w:val="32"/>
          <w:szCs w:val="32"/>
        </w:rPr>
        <w:t>872.54</w:t>
      </w:r>
      <w:r>
        <w:rPr>
          <w:rFonts w:hint="eastAsia" w:ascii="仿宋_GB2312" w:eastAsia="仿宋_GB2312"/>
          <w:color w:val="000000" w:themeColor="text1"/>
          <w:sz w:val="32"/>
          <w:szCs w:val="32"/>
        </w:rPr>
        <w:t>万元，其中：</w:t>
      </w:r>
      <w:bookmarkStart w:id="17" w:name="OLE_LINK8"/>
      <w:r>
        <w:rPr>
          <w:rFonts w:hint="eastAsia" w:ascii="仿宋_GB2312" w:eastAsia="仿宋_GB2312"/>
          <w:color w:val="000000" w:themeColor="text1"/>
          <w:sz w:val="32"/>
          <w:szCs w:val="32"/>
        </w:rPr>
        <w:t>基本支出</w:t>
      </w:r>
      <w:bookmarkEnd w:id="17"/>
      <w:r>
        <w:rPr>
          <w:rFonts w:hint="eastAsia" w:ascii="仿宋_GB2312" w:eastAsia="仿宋_GB2312"/>
          <w:sz w:val="32"/>
          <w:szCs w:val="32"/>
        </w:rPr>
        <w:t>832.47</w:t>
      </w:r>
      <w:r>
        <w:rPr>
          <w:rFonts w:hint="eastAsia" w:ascii="仿宋_GB2312" w:eastAsia="仿宋_GB2312"/>
          <w:color w:val="000000" w:themeColor="text1"/>
          <w:sz w:val="32"/>
          <w:szCs w:val="32"/>
        </w:rPr>
        <w:t>万元，占</w:t>
      </w:r>
      <w:r>
        <w:rPr>
          <w:rFonts w:hint="eastAsia" w:ascii="仿宋_GB2312" w:eastAsia="仿宋_GB2312"/>
          <w:sz w:val="32"/>
          <w:szCs w:val="32"/>
        </w:rPr>
        <w:t>95.41%</w:t>
      </w:r>
      <w:r>
        <w:rPr>
          <w:rFonts w:hint="eastAsia" w:ascii="仿宋_GB2312" w:eastAsia="仿宋_GB2312"/>
          <w:color w:val="000000" w:themeColor="text1"/>
          <w:sz w:val="32"/>
          <w:szCs w:val="32"/>
        </w:rPr>
        <w:t>；</w:t>
      </w:r>
      <w:bookmarkStart w:id="18" w:name="OLE_LINK9"/>
      <w:r>
        <w:rPr>
          <w:rFonts w:hint="eastAsia" w:ascii="仿宋_GB2312" w:eastAsia="仿宋_GB2312"/>
          <w:color w:val="000000" w:themeColor="text1"/>
          <w:sz w:val="32"/>
          <w:szCs w:val="32"/>
        </w:rPr>
        <w:t>项目支出</w:t>
      </w:r>
      <w:bookmarkEnd w:id="18"/>
      <w:r>
        <w:rPr>
          <w:rFonts w:hint="eastAsia" w:ascii="仿宋_GB2312" w:eastAsia="仿宋_GB2312"/>
          <w:sz w:val="32"/>
          <w:szCs w:val="32"/>
        </w:rPr>
        <w:t>40.07</w:t>
      </w:r>
      <w:r>
        <w:rPr>
          <w:rFonts w:hint="eastAsia" w:ascii="仿宋_GB2312" w:eastAsia="仿宋_GB2312"/>
          <w:color w:val="000000" w:themeColor="text1"/>
          <w:sz w:val="32"/>
          <w:szCs w:val="32"/>
        </w:rPr>
        <w:t>万元，占</w:t>
      </w:r>
      <w:r>
        <w:rPr>
          <w:rFonts w:hint="eastAsia" w:ascii="仿宋_GB2312" w:eastAsia="仿宋_GB2312"/>
          <w:sz w:val="32"/>
          <w:szCs w:val="32"/>
        </w:rPr>
        <w:t>4.59%</w:t>
      </w:r>
      <w:r>
        <w:rPr>
          <w:rFonts w:hint="eastAsia" w:ascii="仿宋_GB2312" w:eastAsia="仿宋_GB2312"/>
          <w:color w:val="000000" w:themeColor="text1"/>
          <w:sz w:val="32"/>
          <w:szCs w:val="32"/>
        </w:rPr>
        <w:t>；</w:t>
      </w:r>
      <w:bookmarkStart w:id="19" w:name="OLE_LINK10"/>
      <w:r>
        <w:rPr>
          <w:rFonts w:hint="eastAsia" w:ascii="仿宋_GB2312" w:eastAsia="仿宋_GB2312"/>
          <w:color w:val="000000" w:themeColor="text1"/>
          <w:sz w:val="32"/>
          <w:szCs w:val="32"/>
        </w:rPr>
        <w:t>上缴上级支出</w:t>
      </w:r>
      <w:bookmarkEnd w:id="1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20" w:name="OLE_LINK11"/>
      <w:r>
        <w:rPr>
          <w:rFonts w:hint="eastAsia" w:ascii="仿宋_GB2312" w:eastAsia="仿宋_GB2312"/>
          <w:color w:val="000000" w:themeColor="text1"/>
          <w:spacing w:val="-6"/>
          <w:sz w:val="32"/>
          <w:szCs w:val="32"/>
        </w:rPr>
        <w:t>经营支出</w:t>
      </w:r>
      <w:bookmarkEnd w:id="20"/>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r>
        <w:rPr>
          <w:rFonts w:hint="eastAsia" w:ascii="仿宋_GB2312" w:eastAsia="仿宋_GB2312"/>
          <w:color w:val="000000" w:themeColor="text1"/>
          <w:spacing w:val="-6"/>
          <w:sz w:val="32"/>
          <w:szCs w:val="32"/>
        </w:rPr>
        <w:t>；</w:t>
      </w:r>
      <w:bookmarkStart w:id="21" w:name="OLE_LINK12"/>
      <w:r>
        <w:rPr>
          <w:rFonts w:hint="eastAsia" w:ascii="仿宋_GB2312" w:eastAsia="仿宋_GB2312"/>
          <w:color w:val="000000" w:themeColor="text1"/>
          <w:spacing w:val="-6"/>
          <w:sz w:val="32"/>
          <w:szCs w:val="32"/>
        </w:rPr>
        <w:t>对附属单位补助支出</w:t>
      </w:r>
      <w:bookmarkEnd w:id="21"/>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olor w:val="000000" w:themeColor="text1"/>
          <w:sz w:val="32"/>
          <w:szCs w:val="32"/>
        </w:rPr>
        <w:t>与年初预算数相比情况：本年支出年初预算数1,881.35万元，</w:t>
      </w:r>
      <w:r>
        <w:rPr>
          <w:rFonts w:hint="eastAsia" w:ascii="仿宋_GB2312" w:eastAsia="仿宋_GB2312"/>
          <w:sz w:val="32"/>
          <w:szCs w:val="32"/>
        </w:rPr>
        <w:t>决算数872.54万元</w:t>
      </w:r>
      <w:r>
        <w:rPr>
          <w:rFonts w:ascii="仿宋_GB2312" w:eastAsia="仿宋_GB2312"/>
          <w:sz w:val="32"/>
          <w:szCs w:val="32"/>
        </w:rPr>
        <w:t>，预决算差异率-53.62%，差异主要原因是:本级安排的工厂项目1000万元未支出。</w:t>
      </w:r>
    </w:p>
    <w:bookmarkEnd w:id="22"/>
    <w:p>
      <w:pPr>
        <w:spacing w:line="540" w:lineRule="exact"/>
        <w:ind w:firstLine="640" w:firstLineChars="200"/>
        <w:rPr>
          <w:rFonts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（一）财政拨款收支总体情况说明</w:t>
      </w:r>
    </w:p>
    <w:p>
      <w:pPr>
        <w:spacing w:line="540" w:lineRule="exact"/>
        <w:ind w:firstLine="640" w:firstLineChars="200"/>
        <w:rPr>
          <w:rFonts w:ascii="仿宋_GB2312" w:eastAsia="仿宋_GB2312"/>
          <w:color w:val="000000" w:themeColor="text1"/>
          <w:sz w:val="32"/>
          <w:szCs w:val="32"/>
        </w:rPr>
      </w:pPr>
      <w:bookmarkStart w:id="23" w:name="OLE_LINK58"/>
      <w:bookmarkStart w:id="24" w:name="OLE_LINK57"/>
      <w:r>
        <w:rPr>
          <w:rFonts w:hint="eastAsia" w:ascii="仿宋_GB2312" w:eastAsia="仿宋_GB2312"/>
          <w:color w:val="000000" w:themeColor="text1"/>
          <w:sz w:val="32"/>
          <w:szCs w:val="32"/>
        </w:rPr>
        <w:t>2018年度</w:t>
      </w:r>
      <w:bookmarkStart w:id="25" w:name="OLE_LINK13"/>
      <w:r>
        <w:rPr>
          <w:rFonts w:hint="eastAsia" w:ascii="仿宋_GB2312" w:eastAsia="仿宋_GB2312"/>
          <w:color w:val="000000" w:themeColor="text1"/>
          <w:sz w:val="32"/>
          <w:szCs w:val="32"/>
        </w:rPr>
        <w:t>财政拨款收入</w:t>
      </w:r>
      <w:bookmarkEnd w:id="25"/>
      <w:r>
        <w:rPr>
          <w:rFonts w:hint="eastAsia" w:ascii="仿宋_GB2312" w:eastAsia="仿宋_GB2312"/>
          <w:sz w:val="32"/>
          <w:szCs w:val="32"/>
        </w:rPr>
        <w:t>872.54</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，与上年相比，增加60.23万元，增长7.41%，增加的主要原因是：1、节能减排专项资金项目10.87万元；2、纺织服装优惠政策执行审核费项目7.2万元。3、工资福利支出2018年单位新增加4人事业编制。</w:t>
      </w:r>
      <w:bookmarkEnd w:id="23"/>
      <w:bookmarkEnd w:id="24"/>
      <w:bookmarkStart w:id="26" w:name="OLE_LINK14"/>
      <w:bookmarkStart w:id="27" w:name="OLE_LINK59"/>
      <w:bookmarkStart w:id="28" w:name="OLE_LINK60"/>
      <w:r>
        <w:rPr>
          <w:rFonts w:hint="eastAsia" w:ascii="仿宋_GB2312" w:eastAsia="仿宋_GB2312"/>
          <w:color w:val="000000" w:themeColor="text1"/>
          <w:sz w:val="32"/>
          <w:szCs w:val="32"/>
        </w:rPr>
        <w:t>财政拨款支出</w:t>
      </w:r>
      <w:bookmarkEnd w:id="26"/>
      <w:r>
        <w:rPr>
          <w:rFonts w:hint="eastAsia" w:ascii="仿宋_GB2312" w:eastAsia="仿宋_GB2312"/>
          <w:sz w:val="32"/>
          <w:szCs w:val="32"/>
        </w:rPr>
        <w:t>872.54</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，与上年相比，增加60.23万元，增长7.41%，增加的主要原因是：</w:t>
      </w:r>
      <w:r>
        <w:rPr>
          <w:rFonts w:ascii="仿宋_GB2312" w:eastAsia="仿宋_GB2312"/>
          <w:sz w:val="32"/>
          <w:szCs w:val="32"/>
        </w:rPr>
        <w:t>1、节能减排专项资金项目10.87万元；2、纺织服装优惠政策执行审核费项目7.2万元。3、2018年单位新增加4人事业编制工资福利支出增加。</w:t>
      </w:r>
      <w:bookmarkEnd w:id="27"/>
      <w:bookmarkEnd w:id="28"/>
      <w:bookmarkStart w:id="29" w:name="OLE_LINK61"/>
      <w:r>
        <w:rPr>
          <w:rFonts w:hint="eastAsia" w:ascii="仿宋_GB2312" w:eastAsia="仿宋_GB2312"/>
          <w:color w:val="000000" w:themeColor="text1"/>
          <w:sz w:val="32"/>
          <w:szCs w:val="32"/>
        </w:rPr>
        <w:t>其中：</w:t>
      </w:r>
      <w:bookmarkStart w:id="30" w:name="OLE_LINK15"/>
      <w:r>
        <w:rPr>
          <w:rFonts w:hint="eastAsia" w:ascii="仿宋_GB2312" w:eastAsia="仿宋_GB2312"/>
          <w:color w:val="000000" w:themeColor="text1"/>
          <w:sz w:val="32"/>
          <w:szCs w:val="32"/>
        </w:rPr>
        <w:t>基本支出</w:t>
      </w:r>
      <w:bookmarkEnd w:id="30"/>
      <w:r>
        <w:rPr>
          <w:rFonts w:hint="eastAsia" w:ascii="仿宋_GB2312" w:eastAsia="仿宋_GB2312"/>
          <w:sz w:val="32"/>
          <w:szCs w:val="32"/>
        </w:rPr>
        <w:t>832.47</w:t>
      </w:r>
      <w:r>
        <w:rPr>
          <w:rFonts w:hint="eastAsia" w:ascii="仿宋_GB2312" w:eastAsia="仿宋_GB2312"/>
          <w:color w:val="000000" w:themeColor="text1"/>
          <w:sz w:val="32"/>
          <w:szCs w:val="32"/>
        </w:rPr>
        <w:t>万元，项目支出</w:t>
      </w:r>
      <w:r>
        <w:rPr>
          <w:rFonts w:hint="eastAsia" w:ascii="仿宋_GB2312" w:eastAsia="仿宋_GB2312"/>
          <w:sz w:val="32"/>
          <w:szCs w:val="32"/>
        </w:rPr>
        <w:t>40.07</w:t>
      </w:r>
      <w:r>
        <w:rPr>
          <w:rFonts w:hint="eastAsia" w:ascii="仿宋_GB2312" w:eastAsia="仿宋_GB2312"/>
          <w:color w:val="000000" w:themeColor="text1"/>
          <w:sz w:val="32"/>
          <w:szCs w:val="32"/>
        </w:rPr>
        <w:t>万元。</w:t>
      </w:r>
      <w:bookmarkStart w:id="31" w:name="OLE_LINK16"/>
      <w:r>
        <w:rPr>
          <w:rFonts w:hint="eastAsia" w:ascii="仿宋_GB2312" w:eastAsia="仿宋_GB2312"/>
          <w:color w:val="000000" w:themeColor="text1"/>
          <w:sz w:val="32"/>
          <w:szCs w:val="32"/>
        </w:rPr>
        <w:t>财政拨款结转结余</w:t>
      </w:r>
      <w:bookmarkEnd w:id="31"/>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，与上年相比，增加0万元，增长0%，主要原因是：无变化。</w:t>
      </w:r>
      <w:bookmarkEnd w:id="29"/>
    </w:p>
    <w:p>
      <w:pPr>
        <w:spacing w:line="540" w:lineRule="exact"/>
        <w:ind w:firstLine="640" w:firstLineChars="200"/>
        <w:rPr>
          <w:rFonts w:ascii="仿宋_GB2312" w:eastAsia="仿宋_GB2312"/>
          <w:color w:val="000000" w:themeColor="text1"/>
          <w:sz w:val="32"/>
          <w:szCs w:val="32"/>
        </w:rPr>
      </w:pPr>
      <w:bookmarkStart w:id="32" w:name="OLE_LINK62"/>
      <w:r>
        <w:rPr>
          <w:rFonts w:hint="eastAsia" w:ascii="仿宋_GB2312" w:eastAsia="仿宋_GB2312"/>
          <w:color w:val="000000" w:themeColor="text1"/>
          <w:sz w:val="32"/>
          <w:szCs w:val="32"/>
        </w:rPr>
        <w:t>与年初预算数相比情况：财政拨款收入年初预算数</w:t>
      </w:r>
      <w:r>
        <w:rPr>
          <w:rFonts w:ascii="仿宋_GB2312" w:eastAsia="仿宋_GB2312"/>
          <w:color w:val="000000" w:themeColor="text1"/>
          <w:sz w:val="32"/>
          <w:szCs w:val="32"/>
        </w:rPr>
        <w:t>864.35</w:t>
      </w:r>
      <w:r>
        <w:rPr>
          <w:rFonts w:hint="eastAsia" w:ascii="仿宋_GB2312" w:eastAsia="仿宋_GB2312"/>
          <w:color w:val="000000" w:themeColor="text1"/>
          <w:sz w:val="32"/>
          <w:szCs w:val="32"/>
        </w:rPr>
        <w:t>万元，决算数</w:t>
      </w:r>
      <w:r>
        <w:rPr>
          <w:rFonts w:hint="eastAsia" w:ascii="仿宋_GB2312" w:eastAsia="仿宋_GB2312"/>
          <w:sz w:val="32"/>
          <w:szCs w:val="32"/>
        </w:rPr>
        <w:t>872.54</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，预决算差异率0.95%，差异主要原因是:1、节能减排专项资金项目10.87万元；2、纺织服装优惠政策执行审核费项目7.2万元。3、2018年单位新增加4人事业编制。</w:t>
      </w:r>
      <w:bookmarkEnd w:id="32"/>
      <w:bookmarkStart w:id="33" w:name="OLE_LINK63"/>
      <w:r>
        <w:rPr>
          <w:rFonts w:hint="eastAsia" w:ascii="仿宋_GB2312" w:eastAsia="仿宋_GB2312"/>
          <w:color w:val="000000" w:themeColor="text1"/>
          <w:sz w:val="32"/>
          <w:szCs w:val="32"/>
        </w:rPr>
        <w:t>财政拨款支出年初预算数</w:t>
      </w:r>
      <w:r>
        <w:rPr>
          <w:rFonts w:ascii="仿宋_GB2312" w:eastAsia="仿宋_GB2312"/>
          <w:color w:val="000000" w:themeColor="text1"/>
          <w:sz w:val="32"/>
          <w:szCs w:val="32"/>
        </w:rPr>
        <w:t>1,881.35</w:t>
      </w:r>
      <w:r>
        <w:rPr>
          <w:rFonts w:hint="eastAsia" w:ascii="仿宋_GB2312" w:eastAsia="仿宋_GB2312"/>
          <w:color w:val="000000" w:themeColor="text1"/>
          <w:sz w:val="32"/>
          <w:szCs w:val="32"/>
        </w:rPr>
        <w:t>万元，决算数</w:t>
      </w:r>
      <w:r>
        <w:rPr>
          <w:rFonts w:hint="eastAsia" w:ascii="仿宋_GB2312" w:eastAsia="仿宋_GB2312"/>
          <w:sz w:val="32"/>
          <w:szCs w:val="32"/>
        </w:rPr>
        <w:t>872.54</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，预决算差异率-53.62%，差异主要原因是:本级安排的扶贫企业项目1000万元未支出。</w:t>
      </w:r>
      <w:bookmarkEnd w:id="3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（二）一般公共预算收支决算情况说明</w:t>
      </w:r>
    </w:p>
    <w:p>
      <w:pPr>
        <w:spacing w:line="540" w:lineRule="exact"/>
        <w:ind w:firstLine="640" w:firstLineChars="200"/>
        <w:rPr>
          <w:rFonts w:ascii="仿宋_GB2312" w:eastAsia="仿宋_GB2312"/>
          <w:color w:val="000000" w:themeColor="text1"/>
          <w:sz w:val="32"/>
          <w:szCs w:val="32"/>
        </w:rPr>
      </w:pPr>
      <w:bookmarkStart w:id="34" w:name="OLE_LINK64"/>
      <w:r>
        <w:rPr>
          <w:rFonts w:hint="eastAsia" w:ascii="仿宋_GB2312" w:eastAsia="仿宋_GB2312"/>
          <w:color w:val="000000" w:themeColor="text1"/>
          <w:sz w:val="32"/>
          <w:szCs w:val="32"/>
        </w:rPr>
        <w:t>2018年度</w:t>
      </w:r>
      <w:bookmarkStart w:id="35" w:name="OLE_LINK17"/>
      <w:r>
        <w:rPr>
          <w:rFonts w:hint="eastAsia" w:ascii="仿宋_GB2312" w:eastAsia="仿宋_GB2312"/>
          <w:color w:val="000000" w:themeColor="text1"/>
          <w:sz w:val="32"/>
          <w:szCs w:val="32"/>
        </w:rPr>
        <w:t>一般公共预算财政拨款收入</w:t>
      </w:r>
      <w:bookmarkEnd w:id="35"/>
      <w:r>
        <w:rPr>
          <w:rFonts w:ascii="仿宋_GB2312" w:eastAsia="仿宋_GB2312"/>
          <w:color w:val="000000" w:themeColor="text1"/>
          <w:sz w:val="32"/>
          <w:szCs w:val="32"/>
        </w:rPr>
        <w:t>872.54</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，与上年相比，增加60.23万元，增长7.41%，增加的主要原因是：1、节能减排专项资金项目10.87万元；2、纺织服装优惠政策执行审核费项目7.2万元。3、2018年单位新增加4人事业编制。</w:t>
      </w:r>
      <w:bookmarkEnd w:id="34"/>
      <w:bookmarkStart w:id="36" w:name="OLE_LINK18"/>
      <w:bookmarkStart w:id="37" w:name="OLE_LINK65"/>
      <w:r>
        <w:rPr>
          <w:rFonts w:hint="eastAsia" w:ascii="仿宋_GB2312" w:eastAsia="仿宋_GB2312"/>
          <w:color w:val="000000" w:themeColor="text1"/>
          <w:sz w:val="32"/>
          <w:szCs w:val="32"/>
        </w:rPr>
        <w:t>一般公共预算财政拨款支出</w:t>
      </w:r>
      <w:r>
        <w:rPr>
          <w:rFonts w:hint="eastAsia" w:ascii="仿宋_GB2312" w:eastAsia="仿宋_GB2312"/>
          <w:sz w:val="32"/>
          <w:szCs w:val="32"/>
        </w:rPr>
        <w:t>872.54</w:t>
      </w:r>
      <w:r>
        <w:rPr>
          <w:rFonts w:hint="eastAsia" w:ascii="仿宋_GB2312" w:eastAsia="仿宋_GB2312"/>
          <w:color w:val="000000" w:themeColor="text1"/>
          <w:sz w:val="32"/>
          <w:szCs w:val="32"/>
        </w:rPr>
        <w:t>万元</w:t>
      </w:r>
      <w:bookmarkEnd w:id="36"/>
      <w:r>
        <w:rPr>
          <w:rFonts w:hint="eastAsia" w:ascii="仿宋_GB2312" w:eastAsia="仿宋_GB2312"/>
          <w:sz w:val="32"/>
          <w:szCs w:val="32"/>
        </w:rPr>
        <w:t>，与上年相比，增加60.23万元，增长7.41%，增加的主要原因是：1、节能减排专项资金项目10.87万元；2、纺织服装优惠政策执行审核费项目7.2万元。3、2018年单位新增加4人事业编制工资福利支出增加。</w:t>
      </w:r>
      <w:bookmarkEnd w:id="37"/>
      <w:r>
        <w:rPr>
          <w:rFonts w:hint="eastAsia" w:ascii="仿宋_GB2312" w:eastAsia="仿宋_GB2312"/>
          <w:color w:val="000000" w:themeColor="text1"/>
          <w:sz w:val="32"/>
          <w:szCs w:val="32"/>
        </w:rPr>
        <w:t>其中：</w:t>
      </w:r>
      <w:bookmarkStart w:id="38" w:name="OLE_LINK19"/>
      <w:r>
        <w:rPr>
          <w:rFonts w:hint="eastAsia" w:ascii="仿宋_GB2312" w:eastAsia="仿宋_GB2312"/>
          <w:color w:val="000000" w:themeColor="text1"/>
          <w:sz w:val="32"/>
          <w:szCs w:val="32"/>
        </w:rPr>
        <w:t>按功能分类科目（按类级科目公开）</w:t>
      </w:r>
      <w:bookmarkEnd w:id="38"/>
      <w:r>
        <w:rPr>
          <w:rFonts w:hint="eastAsia" w:ascii="仿宋_GB2312" w:eastAsia="仿宋_GB2312"/>
          <w:color w:val="000000" w:themeColor="text1"/>
          <w:sz w:val="32"/>
          <w:szCs w:val="32"/>
        </w:rPr>
        <w:t>，</w:t>
      </w:r>
      <w:r>
        <w:rPr>
          <w:rFonts w:hint="eastAsia" w:ascii="仿宋_GB2312" w:eastAsia="仿宋_GB2312"/>
          <w:sz w:val="32"/>
          <w:szCs w:val="32"/>
        </w:rPr>
        <w:t>住房保障支出37.53万元,节能环保支出10.87万元,一般公共服务支出734.41万元,教育支出4.68万元,其他支出25.78万元,社会保障和就业支出59.27万元。</w:t>
      </w:r>
      <w:bookmarkStart w:id="39" w:name="OLE_LINK20"/>
      <w:bookmarkStart w:id="40" w:name="OLE_LINK21"/>
      <w:r>
        <w:rPr>
          <w:rFonts w:hint="eastAsia" w:ascii="仿宋_GB2312" w:eastAsia="仿宋_GB2312"/>
          <w:color w:val="000000" w:themeColor="text1"/>
          <w:sz w:val="32"/>
          <w:szCs w:val="32"/>
        </w:rPr>
        <w:t>按经济分类科目</w:t>
      </w:r>
      <w:bookmarkEnd w:id="39"/>
      <w:r>
        <w:rPr>
          <w:rFonts w:hint="eastAsia" w:ascii="仿宋_GB2312" w:eastAsia="仿宋_GB2312"/>
          <w:color w:val="000000" w:themeColor="text1"/>
          <w:sz w:val="32"/>
          <w:szCs w:val="32"/>
        </w:rPr>
        <w:t>（按类级科目公开）</w:t>
      </w:r>
      <w:bookmarkEnd w:id="40"/>
      <w:r>
        <w:rPr>
          <w:rFonts w:hint="eastAsia" w:ascii="仿宋_GB2312" w:eastAsia="仿宋_GB2312"/>
          <w:color w:val="000000" w:themeColor="text1"/>
          <w:sz w:val="32"/>
          <w:szCs w:val="32"/>
        </w:rPr>
        <w:t>，</w:t>
      </w:r>
      <w:r>
        <w:rPr>
          <w:rFonts w:hint="eastAsia" w:ascii="仿宋_GB2312" w:eastAsia="仿宋_GB2312"/>
          <w:sz w:val="32"/>
          <w:szCs w:val="32"/>
        </w:rPr>
        <w:t>工资福利支出614.53万元,商品和服务支出64.95万元,对个人和家庭的补助193.07万元。</w:t>
      </w:r>
    </w:p>
    <w:p>
      <w:pPr>
        <w:spacing w:line="540" w:lineRule="exact"/>
        <w:ind w:firstLine="640" w:firstLineChars="200"/>
        <w:rPr>
          <w:rFonts w:ascii="仿宋_GB2312" w:eastAsia="仿宋_GB2312"/>
          <w:color w:val="000000" w:themeColor="text1"/>
          <w:sz w:val="32"/>
          <w:szCs w:val="32"/>
        </w:rPr>
      </w:pPr>
      <w:bookmarkStart w:id="41" w:name="OLE_LINK67"/>
      <w:bookmarkStart w:id="42" w:name="OLE_LINK66"/>
      <w:r>
        <w:rPr>
          <w:rFonts w:hint="eastAsia" w:ascii="仿宋_GB2312" w:eastAsia="仿宋_GB2312"/>
          <w:color w:val="000000" w:themeColor="text1"/>
          <w:sz w:val="32"/>
          <w:szCs w:val="32"/>
        </w:rPr>
        <w:t>与年初预算数相比情况：一般公共预算财政拨款收入年初预算数</w:t>
      </w:r>
      <w:r>
        <w:rPr>
          <w:rFonts w:ascii="仿宋_GB2312" w:eastAsia="仿宋_GB2312"/>
          <w:color w:val="000000" w:themeColor="text1"/>
          <w:sz w:val="32"/>
          <w:szCs w:val="32"/>
        </w:rPr>
        <w:t>864.35</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872.54</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，预决算差异率0.95%，差异主要原因是:1、节能减排专项资金项目10.87万元；2、纺织服装优惠政策执行审核费项目7.2万元。3、2018年单位新增加4人事业编制。</w:t>
      </w:r>
      <w:bookmarkEnd w:id="41"/>
      <w:bookmarkEnd w:id="42"/>
      <w:bookmarkStart w:id="43" w:name="OLE_LINK68"/>
      <w:r>
        <w:rPr>
          <w:rFonts w:hint="eastAsia" w:ascii="仿宋_GB2312" w:eastAsia="仿宋_GB2312"/>
          <w:color w:val="000000" w:themeColor="text1"/>
          <w:sz w:val="32"/>
          <w:szCs w:val="32"/>
        </w:rPr>
        <w:t>一般公共预算财政拨款支出年初预算数</w:t>
      </w:r>
      <w:r>
        <w:rPr>
          <w:rFonts w:ascii="仿宋_GB2312" w:eastAsia="仿宋_GB2312"/>
          <w:color w:val="000000" w:themeColor="text1"/>
          <w:sz w:val="32"/>
          <w:szCs w:val="32"/>
        </w:rPr>
        <w:t>1,881.35</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872.54</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，预决算差异率-53.62%，差异主要原因是:本级安排的扶贫企业项目1000万元未支出。</w:t>
      </w:r>
      <w:bookmarkEnd w:id="4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（三）政府性基金预算收支决算情况说明</w:t>
      </w:r>
    </w:p>
    <w:p>
      <w:pPr>
        <w:spacing w:line="540" w:lineRule="exact"/>
        <w:ind w:firstLine="640" w:firstLineChars="200"/>
        <w:rPr>
          <w:rFonts w:ascii="仿宋_GB2312" w:eastAsia="仿宋_GB2312"/>
          <w:color w:val="000000" w:themeColor="text1"/>
          <w:sz w:val="32"/>
          <w:szCs w:val="32"/>
        </w:rPr>
      </w:pPr>
      <w:bookmarkStart w:id="44" w:name="OLE_LINK69"/>
      <w:r>
        <w:rPr>
          <w:rFonts w:hint="eastAsia" w:ascii="仿宋_GB2312" w:eastAsia="仿宋_GB2312"/>
          <w:color w:val="000000" w:themeColor="text1"/>
          <w:sz w:val="32"/>
          <w:szCs w:val="32"/>
        </w:rPr>
        <w:t>2018年度</w:t>
      </w:r>
      <w:bookmarkStart w:id="45" w:name="OLE_LINK22"/>
      <w:r>
        <w:rPr>
          <w:rFonts w:hint="eastAsia" w:ascii="仿宋_GB2312" w:eastAsia="仿宋_GB2312"/>
          <w:color w:val="000000" w:themeColor="text1"/>
          <w:sz w:val="32"/>
          <w:szCs w:val="32"/>
        </w:rPr>
        <w:t>政府性基金预算财政拨款收入</w:t>
      </w:r>
      <w:bookmarkEnd w:id="45"/>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，与上年相比，增加0万元，增长0%，主要原因是：无政府性基金收入。</w:t>
      </w:r>
      <w:bookmarkEnd w:id="44"/>
      <w:bookmarkStart w:id="46" w:name="OLE_LINK23"/>
      <w:bookmarkStart w:id="47" w:name="OLE_LINK70"/>
      <w:r>
        <w:rPr>
          <w:rFonts w:hint="eastAsia" w:ascii="仿宋_GB2312" w:eastAsia="仿宋_GB2312"/>
          <w:color w:val="000000" w:themeColor="text1"/>
          <w:sz w:val="32"/>
          <w:szCs w:val="32"/>
        </w:rPr>
        <w:t>政府性基金预算支出</w:t>
      </w:r>
      <w:bookmarkEnd w:id="46"/>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，与上年相比，增加0万元，增长0%，主要原因是：无政府性基金支出。</w:t>
      </w:r>
      <w:bookmarkEnd w:id="47"/>
      <w:r>
        <w:rPr>
          <w:rFonts w:hint="eastAsia" w:ascii="仿宋_GB2312" w:eastAsia="仿宋_GB2312"/>
          <w:color w:val="000000" w:themeColor="text1"/>
          <w:sz w:val="32"/>
          <w:szCs w:val="32"/>
        </w:rPr>
        <w:t>其中：</w:t>
      </w:r>
      <w:bookmarkStart w:id="48" w:name="OLE_LINK24"/>
      <w:r>
        <w:rPr>
          <w:rFonts w:hint="eastAsia" w:ascii="仿宋_GB2312" w:eastAsia="仿宋_GB2312"/>
          <w:color w:val="000000" w:themeColor="text1"/>
          <w:sz w:val="32"/>
          <w:szCs w:val="32"/>
        </w:rPr>
        <w:t>按功能分类科目（按类级科目公开）</w:t>
      </w:r>
      <w:bookmarkEnd w:id="48"/>
      <w:r>
        <w:rPr>
          <w:rFonts w:hint="eastAsia" w:ascii="仿宋_GB2312" w:eastAsia="仿宋_GB2312"/>
          <w:color w:val="000000" w:themeColor="text1"/>
          <w:sz w:val="32"/>
          <w:szCs w:val="32"/>
        </w:rPr>
        <w:t>，无。按经济分类科目（按类级科目公开），无。</w:t>
      </w:r>
    </w:p>
    <w:p>
      <w:pPr>
        <w:spacing w:line="540" w:lineRule="exact"/>
        <w:ind w:firstLine="640" w:firstLineChars="200"/>
        <w:rPr>
          <w:rFonts w:ascii="仿宋_GB2312" w:eastAsia="仿宋_GB2312"/>
          <w:color w:val="000000" w:themeColor="text1"/>
          <w:sz w:val="32"/>
          <w:szCs w:val="32"/>
        </w:rPr>
      </w:pPr>
      <w:bookmarkStart w:id="49" w:name="OLE_LINK72"/>
      <w:bookmarkStart w:id="50" w:name="OLE_LINK71"/>
      <w:r>
        <w:rPr>
          <w:rFonts w:hint="eastAsia" w:ascii="仿宋_GB2312" w:eastAsia="仿宋_GB2312"/>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，预决算差异率0%，差异主要原因是:无政府性基金收入。</w:t>
      </w:r>
      <w:bookmarkEnd w:id="49"/>
      <w:bookmarkEnd w:id="50"/>
      <w:bookmarkStart w:id="51" w:name="OLE_LINK73"/>
      <w:r>
        <w:rPr>
          <w:rFonts w:hint="eastAsia" w:ascii="仿宋_GB2312" w:eastAsia="仿宋_GB2312"/>
          <w:color w:val="000000" w:themeColor="text1"/>
          <w:sz w:val="32"/>
          <w:szCs w:val="32"/>
        </w:rPr>
        <w:t>政府性基金预算财政拨款支出年初预算数0万元，决算数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，预决算差异率0%，差异主要原因是:无政府性基金支出。</w:t>
      </w:r>
      <w:bookmarkEnd w:id="51"/>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三、部门结转结余情况</w:t>
      </w:r>
    </w:p>
    <w:p>
      <w:pPr>
        <w:spacing w:line="540" w:lineRule="exact"/>
        <w:ind w:firstLine="640" w:firstLineChars="200"/>
        <w:rPr>
          <w:rFonts w:ascii="仿宋_GB2312" w:eastAsia="仿宋_GB2312"/>
          <w:color w:val="000000" w:themeColor="text1"/>
          <w:sz w:val="32"/>
          <w:szCs w:val="32"/>
        </w:rPr>
      </w:pPr>
      <w:bookmarkStart w:id="52" w:name="OLE_LINK26"/>
      <w:bookmarkStart w:id="53" w:name="OLE_LINK25"/>
      <w:r>
        <w:rPr>
          <w:rFonts w:hint="eastAsia" w:ascii="仿宋_GB2312" w:eastAsia="仿宋_GB2312"/>
          <w:color w:val="000000" w:themeColor="text1"/>
          <w:sz w:val="32"/>
          <w:szCs w:val="32"/>
        </w:rPr>
        <w:t>年末结转结余</w:t>
      </w:r>
      <w:bookmarkEnd w:id="52"/>
      <w:bookmarkEnd w:id="53"/>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r>
        <w:rPr>
          <w:rFonts w:hint="eastAsia" w:ascii="仿宋_GB2312" w:eastAsia="仿宋_GB2312"/>
          <w:color w:val="000000" w:themeColor="text1"/>
          <w:sz w:val="32"/>
          <w:szCs w:val="32"/>
        </w:rPr>
        <w:t>其中</w:t>
      </w:r>
      <w:bookmarkStart w:id="54" w:name="OLE_LINK27"/>
      <w:bookmarkStart w:id="55" w:name="OLE_LINK28"/>
      <w:r>
        <w:rPr>
          <w:rFonts w:hint="eastAsia" w:ascii="仿宋_GB2312" w:eastAsia="仿宋_GB2312"/>
          <w:color w:val="000000" w:themeColor="text1"/>
          <w:sz w:val="32"/>
          <w:szCs w:val="32"/>
        </w:rPr>
        <w:t>财政拨款结转结余</w:t>
      </w:r>
      <w:bookmarkEnd w:id="54"/>
      <w:bookmarkEnd w:id="55"/>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四、一般公共预算“三公”经费支出情况</w:t>
      </w:r>
    </w:p>
    <w:p>
      <w:pPr>
        <w:spacing w:line="540" w:lineRule="exact"/>
        <w:ind w:firstLine="640" w:firstLineChars="200"/>
        <w:rPr>
          <w:rFonts w:ascii="仿宋_GB2312" w:eastAsia="仿宋_GB2312"/>
          <w:color w:val="000000" w:themeColor="text1"/>
          <w:sz w:val="32"/>
          <w:szCs w:val="32"/>
        </w:rPr>
      </w:pPr>
      <w:bookmarkStart w:id="56" w:name="OLE_LINK74"/>
      <w:r>
        <w:rPr>
          <w:rFonts w:hint="eastAsia" w:ascii="仿宋_GB2312" w:eastAsia="仿宋_GB2312"/>
          <w:color w:val="000000" w:themeColor="text1"/>
          <w:sz w:val="32"/>
          <w:szCs w:val="32"/>
        </w:rPr>
        <w:t>2018年度</w:t>
      </w:r>
      <w:bookmarkStart w:id="57" w:name="OLE_LINK29"/>
      <w:r>
        <w:rPr>
          <w:rFonts w:hint="eastAsia" w:ascii="仿宋_GB2312" w:eastAsia="仿宋_GB2312"/>
          <w:color w:val="000000" w:themeColor="text1"/>
          <w:sz w:val="32"/>
          <w:szCs w:val="32"/>
        </w:rPr>
        <w:t>一般公共预算“三公”经费支出决算</w:t>
      </w:r>
      <w:bookmarkEnd w:id="57"/>
      <w:r>
        <w:rPr>
          <w:rFonts w:hint="eastAsia" w:ascii="仿宋_GB2312" w:eastAsia="仿宋_GB2312"/>
          <w:sz w:val="32"/>
          <w:szCs w:val="32"/>
        </w:rPr>
        <w:t>8.4</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，与上年相比，减少0.42万元，下降4.76%，减少的主要原因是：压减车辆运行费用，减少开支。</w:t>
      </w:r>
      <w:bookmarkEnd w:id="56"/>
      <w:bookmarkStart w:id="58" w:name="OLE_LINK75"/>
      <w:r>
        <w:rPr>
          <w:rFonts w:hint="eastAsia" w:ascii="仿宋_GB2312" w:eastAsia="仿宋_GB2312"/>
          <w:color w:val="000000" w:themeColor="text1"/>
          <w:sz w:val="32"/>
          <w:szCs w:val="32"/>
        </w:rPr>
        <w:t>其中，</w:t>
      </w:r>
      <w:bookmarkStart w:id="59" w:name="OLE_LINK30"/>
      <w:r>
        <w:rPr>
          <w:rFonts w:hint="eastAsia" w:ascii="仿宋_GB2312" w:eastAsia="仿宋_GB2312"/>
          <w:color w:val="000000" w:themeColor="text1"/>
          <w:sz w:val="32"/>
          <w:szCs w:val="32"/>
        </w:rPr>
        <w:t>因公出国（境）费支出</w:t>
      </w:r>
      <w:bookmarkEnd w:id="5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0%，与上年相比，增加0万元，增长0%，主要原因是：上年度与本年度我单位均无因公出国出境人员；</w:t>
      </w:r>
      <w:bookmarkEnd w:id="58"/>
      <w:bookmarkStart w:id="60" w:name="OLE_LINK31"/>
      <w:bookmarkStart w:id="61" w:name="OLE_LINK76"/>
      <w:r>
        <w:rPr>
          <w:rFonts w:hint="eastAsia" w:ascii="仿宋_GB2312" w:eastAsia="仿宋_GB2312"/>
          <w:color w:val="000000" w:themeColor="text1"/>
          <w:sz w:val="32"/>
          <w:szCs w:val="32"/>
        </w:rPr>
        <w:t>公务用车购置及运行维护费支出</w:t>
      </w:r>
      <w:bookmarkEnd w:id="60"/>
      <w:r>
        <w:rPr>
          <w:rFonts w:hint="eastAsia" w:ascii="仿宋_GB2312" w:eastAsia="仿宋_GB2312"/>
          <w:sz w:val="32"/>
          <w:szCs w:val="32"/>
        </w:rPr>
        <w:t>8.4</w:t>
      </w:r>
      <w:r>
        <w:rPr>
          <w:rFonts w:hint="eastAsia" w:ascii="仿宋_GB2312" w:eastAsia="仿宋_GB2312"/>
          <w:color w:val="000000" w:themeColor="text1"/>
          <w:sz w:val="32"/>
          <w:szCs w:val="32"/>
        </w:rPr>
        <w:t>万元，占</w:t>
      </w:r>
      <w:r>
        <w:rPr>
          <w:rFonts w:hint="eastAsia" w:ascii="仿宋_GB2312" w:eastAsia="仿宋_GB2312"/>
          <w:sz w:val="32"/>
          <w:szCs w:val="32"/>
        </w:rPr>
        <w:t>100%，与上年相比，减少0.42万元，下降4.76%，减少的主要原因是：单位公务用车辆保养、维护和加油费用减小了；</w:t>
      </w:r>
      <w:bookmarkEnd w:id="61"/>
      <w:bookmarkStart w:id="62" w:name="OLE_LINK32"/>
      <w:bookmarkStart w:id="63" w:name="OLE_LINK78"/>
      <w:bookmarkStart w:id="64" w:name="OLE_LINK77"/>
      <w:r>
        <w:rPr>
          <w:rFonts w:hint="eastAsia" w:ascii="仿宋_GB2312" w:eastAsia="仿宋_GB2312"/>
          <w:color w:val="000000" w:themeColor="text1"/>
          <w:sz w:val="32"/>
          <w:szCs w:val="32"/>
        </w:rPr>
        <w:t>公务接待费支出</w:t>
      </w:r>
      <w:bookmarkEnd w:id="6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0%，与上年相比，增加0万元，增长0%，主要原因是：未发生公务接待费。</w:t>
      </w:r>
      <w:bookmarkEnd w:id="63"/>
      <w:bookmarkEnd w:id="64"/>
      <w:r>
        <w:rPr>
          <w:rFonts w:hint="eastAsia" w:ascii="仿宋_GB2312" w:eastAsia="仿宋_GB2312"/>
          <w:color w:val="000000" w:themeColor="text1"/>
          <w:sz w:val="32"/>
          <w:szCs w:val="32"/>
        </w:rPr>
        <w:t>具体情况如下：</w:t>
      </w:r>
    </w:p>
    <w:p>
      <w:pPr>
        <w:spacing w:line="540" w:lineRule="exact"/>
        <w:ind w:firstLine="640" w:firstLineChars="200"/>
        <w:rPr>
          <w:rFonts w:ascii="仿宋_GB2312" w:eastAsia="仿宋_GB2312"/>
          <w:color w:val="000000" w:themeColor="text1"/>
          <w:sz w:val="32"/>
          <w:szCs w:val="32"/>
        </w:rPr>
      </w:pPr>
      <w:bookmarkStart w:id="65" w:name="OLE_LINK79"/>
      <w:bookmarkStart w:id="66" w:name="OLE_LINK80"/>
      <w:r>
        <w:rPr>
          <w:rFonts w:hint="eastAsia" w:ascii="仿宋_GB2312" w:eastAsia="仿宋_GB2312"/>
          <w:color w:val="000000" w:themeColor="text1"/>
          <w:sz w:val="32"/>
          <w:szCs w:val="32"/>
        </w:rPr>
        <w:t>因公出国（境）费支出</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新疆维吾尔自治区喀什地区经济和信息化委员会</w:t>
      </w:r>
      <w:r>
        <w:rPr>
          <w:rFonts w:hint="eastAsia" w:ascii="仿宋_GB2312" w:eastAsia="仿宋_GB2312"/>
          <w:color w:val="000000" w:themeColor="text1"/>
          <w:sz w:val="32"/>
          <w:szCs w:val="32"/>
        </w:rPr>
        <w:t>单位</w:t>
      </w:r>
      <w:bookmarkStart w:id="67" w:name="OLE_LINK33"/>
      <w:r>
        <w:rPr>
          <w:rFonts w:hint="eastAsia" w:ascii="仿宋_GB2312" w:eastAsia="仿宋_GB2312"/>
          <w:color w:val="000000" w:themeColor="text1"/>
          <w:sz w:val="32"/>
          <w:szCs w:val="32"/>
        </w:rPr>
        <w:t>全年</w:t>
      </w:r>
      <w:bookmarkStart w:id="68" w:name="OLE_LINK35"/>
      <w:bookmarkStart w:id="69" w:name="OLE_LINK34"/>
      <w:bookmarkStart w:id="70" w:name="OLE_LINK36"/>
      <w:r>
        <w:rPr>
          <w:rFonts w:hint="eastAsia" w:ascii="仿宋_GB2312" w:eastAsia="仿宋_GB2312"/>
          <w:color w:val="000000" w:themeColor="text1"/>
          <w:sz w:val="32"/>
          <w:szCs w:val="32"/>
        </w:rPr>
        <w:t>使用一般公共预算财政拨款安排的出国（境）团组</w:t>
      </w:r>
      <w:bookmarkEnd w:id="67"/>
      <w:bookmarkEnd w:id="68"/>
      <w:bookmarkEnd w:id="69"/>
      <w:r>
        <w:rPr>
          <w:rFonts w:hint="eastAsia" w:ascii="仿宋_GB2312" w:eastAsia="仿宋_GB2312"/>
          <w:sz w:val="32"/>
          <w:szCs w:val="32"/>
        </w:rPr>
        <w:t>0</w:t>
      </w:r>
      <w:r>
        <w:rPr>
          <w:rFonts w:hint="eastAsia" w:ascii="仿宋_GB2312" w:eastAsia="仿宋_GB2312"/>
          <w:color w:val="000000" w:themeColor="text1"/>
          <w:sz w:val="32"/>
          <w:szCs w:val="32"/>
        </w:rPr>
        <w:t>个</w:t>
      </w:r>
      <w:bookmarkEnd w:id="70"/>
      <w:r>
        <w:rPr>
          <w:rFonts w:hint="eastAsia" w:ascii="仿宋_GB2312" w:eastAsia="仿宋_GB2312"/>
          <w:color w:val="000000" w:themeColor="text1"/>
          <w:sz w:val="32"/>
          <w:szCs w:val="32"/>
        </w:rPr>
        <w:t>，</w:t>
      </w:r>
      <w:bookmarkStart w:id="71" w:name="OLE_LINK37"/>
      <w:r>
        <w:rPr>
          <w:rFonts w:hint="eastAsia" w:ascii="仿宋_GB2312" w:eastAsia="仿宋_GB2312"/>
          <w:color w:val="000000" w:themeColor="text1"/>
          <w:sz w:val="32"/>
          <w:szCs w:val="32"/>
        </w:rPr>
        <w:t>累计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1"/>
      <w:r>
        <w:rPr>
          <w:rFonts w:hint="eastAsia" w:ascii="仿宋_GB2312" w:eastAsia="仿宋_GB2312"/>
          <w:color w:val="000000" w:themeColor="text1"/>
          <w:sz w:val="32"/>
          <w:szCs w:val="32"/>
        </w:rPr>
        <w:t>。</w:t>
      </w:r>
      <w:bookmarkStart w:id="72" w:name="OLE_LINK38"/>
      <w:r>
        <w:rPr>
          <w:rFonts w:hint="eastAsia" w:ascii="仿宋_GB2312" w:eastAsia="仿宋_GB2312"/>
          <w:color w:val="000000" w:themeColor="text1"/>
          <w:sz w:val="32"/>
          <w:szCs w:val="32"/>
        </w:rPr>
        <w:t>开支内容包括：</w:t>
      </w:r>
      <w:r>
        <w:rPr>
          <w:rFonts w:ascii="仿宋_GB2312" w:eastAsia="仿宋_GB2312"/>
          <w:color w:val="000000" w:themeColor="text1"/>
          <w:sz w:val="32"/>
          <w:szCs w:val="32"/>
        </w:rPr>
        <w:t>无此项开支。</w:t>
      </w:r>
      <w:bookmarkEnd w:id="65"/>
      <w:bookmarkEnd w:id="66"/>
      <w:bookmarkEnd w:id="72"/>
    </w:p>
    <w:p>
      <w:pPr>
        <w:spacing w:line="540" w:lineRule="exact"/>
        <w:ind w:firstLine="640" w:firstLineChars="200"/>
        <w:rPr>
          <w:rFonts w:ascii="仿宋_GB2312" w:eastAsia="仿宋_GB2312"/>
          <w:color w:val="000000" w:themeColor="text1"/>
          <w:sz w:val="32"/>
          <w:szCs w:val="32"/>
        </w:rPr>
      </w:pPr>
      <w:bookmarkStart w:id="73" w:name="OLE_LINK81"/>
      <w:r>
        <w:rPr>
          <w:rFonts w:hint="eastAsia" w:ascii="仿宋_GB2312" w:eastAsia="仿宋_GB2312"/>
          <w:color w:val="000000" w:themeColor="text1"/>
          <w:sz w:val="32"/>
          <w:szCs w:val="32"/>
        </w:rPr>
        <w:t>公务用车购置及运行维护费</w:t>
      </w:r>
      <w:r>
        <w:rPr>
          <w:rFonts w:hint="eastAsia" w:ascii="仿宋_GB2312" w:eastAsia="仿宋_GB2312"/>
          <w:sz w:val="32"/>
          <w:szCs w:val="32"/>
        </w:rPr>
        <w:t>8.4</w:t>
      </w:r>
      <w:r>
        <w:rPr>
          <w:rFonts w:hint="eastAsia" w:ascii="仿宋_GB2312" w:eastAsia="仿宋_GB2312"/>
          <w:color w:val="000000" w:themeColor="text1"/>
          <w:sz w:val="32"/>
          <w:szCs w:val="32"/>
        </w:rPr>
        <w:t>万元,其中，</w:t>
      </w:r>
      <w:bookmarkStart w:id="74" w:name="OLE_LINK39"/>
      <w:r>
        <w:rPr>
          <w:rFonts w:hint="eastAsia" w:ascii="仿宋_GB2312" w:eastAsia="仿宋_GB2312"/>
          <w:color w:val="000000" w:themeColor="text1"/>
          <w:sz w:val="32"/>
          <w:szCs w:val="32"/>
        </w:rPr>
        <w:t>公务用车购置</w:t>
      </w:r>
      <w:r>
        <w:rPr>
          <w:rFonts w:hint="eastAsia" w:ascii="仿宋_GB2312" w:eastAsia="仿宋_GB2312"/>
          <w:sz w:val="32"/>
          <w:szCs w:val="32"/>
        </w:rPr>
        <w:t>0</w:t>
      </w:r>
      <w:r>
        <w:rPr>
          <w:rFonts w:hint="eastAsia" w:ascii="仿宋_GB2312" w:eastAsia="仿宋_GB2312"/>
          <w:color w:val="000000" w:themeColor="text1"/>
          <w:sz w:val="32"/>
          <w:szCs w:val="32"/>
        </w:rPr>
        <w:t>万元</w:t>
      </w:r>
      <w:bookmarkEnd w:id="74"/>
      <w:r>
        <w:rPr>
          <w:rFonts w:hint="eastAsia" w:ascii="仿宋_GB2312" w:eastAsia="仿宋_GB2312"/>
          <w:color w:val="000000" w:themeColor="text1"/>
          <w:sz w:val="32"/>
          <w:szCs w:val="32"/>
        </w:rPr>
        <w:t>，</w:t>
      </w:r>
      <w:bookmarkStart w:id="75" w:name="OLE_LINK41"/>
      <w:bookmarkStart w:id="76" w:name="OLE_LINK40"/>
      <w:r>
        <w:rPr>
          <w:rFonts w:hint="eastAsia" w:ascii="仿宋_GB2312" w:eastAsia="仿宋_GB2312"/>
          <w:color w:val="000000" w:themeColor="text1"/>
          <w:sz w:val="32"/>
          <w:szCs w:val="32"/>
        </w:rPr>
        <w:t>公务用车运行维护费</w:t>
      </w:r>
      <w:r>
        <w:rPr>
          <w:rFonts w:hint="eastAsia" w:ascii="仿宋_GB2312" w:eastAsia="仿宋_GB2312"/>
          <w:sz w:val="32"/>
          <w:szCs w:val="32"/>
        </w:rPr>
        <w:t>8.4</w:t>
      </w:r>
      <w:r>
        <w:rPr>
          <w:rFonts w:hint="eastAsia" w:ascii="仿宋_GB2312" w:eastAsia="仿宋_GB2312"/>
          <w:color w:val="000000" w:themeColor="text1"/>
          <w:sz w:val="32"/>
          <w:szCs w:val="32"/>
        </w:rPr>
        <w:t>万元</w:t>
      </w:r>
      <w:bookmarkEnd w:id="75"/>
      <w:bookmarkEnd w:id="76"/>
      <w:r>
        <w:rPr>
          <w:rFonts w:hint="eastAsia" w:ascii="仿宋_GB2312" w:eastAsia="仿宋_GB2312"/>
          <w:color w:val="000000" w:themeColor="text1"/>
          <w:sz w:val="32"/>
          <w:szCs w:val="32"/>
        </w:rPr>
        <w:t>。主要用于</w:t>
      </w:r>
      <w:r>
        <w:rPr>
          <w:rFonts w:hint="eastAsia" w:ascii="仿宋_GB2312" w:eastAsia="仿宋_GB2312"/>
          <w:sz w:val="32"/>
          <w:szCs w:val="32"/>
        </w:rPr>
        <w:t>单位公务用车辆保养、维护和加油</w:t>
      </w:r>
      <w:r>
        <w:rPr>
          <w:rFonts w:hint="eastAsia" w:ascii="仿宋_GB2312" w:eastAsia="仿宋_GB2312"/>
          <w:color w:val="000000" w:themeColor="text1"/>
          <w:sz w:val="32"/>
          <w:szCs w:val="32"/>
        </w:rPr>
        <w:t>等。</w:t>
      </w:r>
      <w:bookmarkEnd w:id="73"/>
      <w:bookmarkStart w:id="77" w:name="OLE_LINK82"/>
      <w:r>
        <w:rPr>
          <w:rFonts w:hint="eastAsia" w:ascii="仿宋_GB2312" w:eastAsia="仿宋_GB2312"/>
          <w:color w:val="000000" w:themeColor="text1"/>
          <w:sz w:val="32"/>
          <w:szCs w:val="32"/>
        </w:rPr>
        <w:t>单位一般公共财政拨款安排的公务用车购置量</w:t>
      </w:r>
      <w:r>
        <w:rPr>
          <w:rFonts w:hint="eastAsia" w:ascii="仿宋_GB2312" w:eastAsia="仿宋_GB2312"/>
          <w:sz w:val="32"/>
          <w:szCs w:val="32"/>
        </w:rPr>
        <w:t>0</w:t>
      </w:r>
      <w:r>
        <w:rPr>
          <w:rFonts w:hint="eastAsia" w:ascii="仿宋_GB2312" w:eastAsia="仿宋_GB2312"/>
          <w:color w:val="000000" w:themeColor="text1"/>
          <w:sz w:val="32"/>
          <w:szCs w:val="32"/>
        </w:rPr>
        <w:t>辆，保有量为</w:t>
      </w:r>
      <w:r>
        <w:rPr>
          <w:rFonts w:hint="eastAsia" w:ascii="仿宋_GB2312" w:eastAsia="仿宋_GB2312"/>
          <w:sz w:val="32"/>
          <w:szCs w:val="32"/>
        </w:rPr>
        <w:t>5</w:t>
      </w:r>
      <w:r>
        <w:rPr>
          <w:rFonts w:hint="eastAsia" w:ascii="仿宋_GB2312" w:eastAsia="仿宋_GB2312"/>
          <w:color w:val="000000" w:themeColor="text1"/>
          <w:sz w:val="32"/>
          <w:szCs w:val="32"/>
        </w:rPr>
        <w:t>辆。</w:t>
      </w:r>
      <w:bookmarkEnd w:id="77"/>
    </w:p>
    <w:p>
      <w:pPr>
        <w:spacing w:line="540" w:lineRule="exact"/>
        <w:ind w:firstLine="640" w:firstLineChars="200"/>
        <w:rPr>
          <w:rFonts w:ascii="仿宋_GB2312" w:eastAsia="仿宋_GB2312"/>
          <w:color w:val="000000" w:themeColor="text1"/>
          <w:sz w:val="32"/>
          <w:szCs w:val="32"/>
        </w:rPr>
      </w:pPr>
      <w:bookmarkStart w:id="78" w:name="OLE_LINK83"/>
      <w:r>
        <w:rPr>
          <w:rFonts w:hint="eastAsia" w:ascii="仿宋_GB2312" w:eastAsia="仿宋_GB2312"/>
          <w:color w:val="000000" w:themeColor="text1"/>
          <w:sz w:val="32"/>
          <w:szCs w:val="32"/>
        </w:rPr>
        <w:t>公务接待费</w:t>
      </w:r>
      <w:r>
        <w:rPr>
          <w:rFonts w:hint="eastAsia" w:ascii="仿宋_GB2312" w:eastAsia="仿宋_GB2312"/>
          <w:sz w:val="32"/>
          <w:szCs w:val="32"/>
        </w:rPr>
        <w:t>0</w:t>
      </w:r>
      <w:r>
        <w:rPr>
          <w:rFonts w:hint="eastAsia" w:ascii="仿宋_GB2312" w:eastAsia="仿宋_GB2312"/>
          <w:color w:val="000000" w:themeColor="text1"/>
          <w:sz w:val="32"/>
          <w:szCs w:val="32"/>
        </w:rPr>
        <w:t>万元。具体是：国内公务接待支出</w:t>
      </w:r>
      <w:r>
        <w:rPr>
          <w:rFonts w:hint="eastAsia" w:ascii="仿宋_GB2312" w:eastAsia="仿宋_GB2312"/>
          <w:sz w:val="32"/>
          <w:szCs w:val="32"/>
        </w:rPr>
        <w:t>0</w:t>
      </w:r>
      <w:r>
        <w:rPr>
          <w:rFonts w:hint="eastAsia" w:ascii="仿宋_GB2312" w:eastAsia="仿宋_GB2312"/>
          <w:color w:val="000000" w:themeColor="text1"/>
          <w:sz w:val="32"/>
          <w:szCs w:val="32"/>
        </w:rPr>
        <w:t>万元，主要是</w:t>
      </w:r>
      <w:r>
        <w:rPr>
          <w:rFonts w:hint="eastAsia" w:ascii="仿宋_GB2312" w:eastAsia="仿宋_GB2312"/>
          <w:sz w:val="32"/>
          <w:szCs w:val="32"/>
        </w:rPr>
        <w:t>无公务接待费</w:t>
      </w:r>
      <w:r>
        <w:rPr>
          <w:rFonts w:hint="eastAsia" w:ascii="仿宋_GB2312" w:eastAsia="仿宋_GB2312"/>
          <w:color w:val="000000" w:themeColor="text1"/>
          <w:sz w:val="32"/>
          <w:szCs w:val="32"/>
        </w:rPr>
        <w:t>等。</w:t>
      </w:r>
      <w:bookmarkEnd w:id="78"/>
      <w:bookmarkStart w:id="79" w:name="OLE_LINK84"/>
      <w:r>
        <w:rPr>
          <w:rFonts w:hint="eastAsia" w:ascii="仿宋_GB2312" w:eastAsia="仿宋_GB2312"/>
          <w:sz w:val="32"/>
          <w:szCs w:val="32"/>
        </w:rPr>
        <w:t>新疆维吾尔自治区喀什地区经济和信息化委员会</w:t>
      </w:r>
      <w:r>
        <w:rPr>
          <w:rFonts w:hint="eastAsia" w:ascii="仿宋_GB2312" w:eastAsia="仿宋_GB2312"/>
          <w:color w:val="000000" w:themeColor="text1"/>
          <w:sz w:val="32"/>
          <w:szCs w:val="32"/>
        </w:rPr>
        <w:t>单位国内公务接待</w:t>
      </w:r>
      <w:r>
        <w:rPr>
          <w:rFonts w:hint="eastAsia" w:ascii="仿宋_GB2312" w:eastAsia="仿宋_GB2312"/>
          <w:sz w:val="32"/>
          <w:szCs w:val="32"/>
        </w:rPr>
        <w:t>0</w:t>
      </w:r>
      <w:r>
        <w:rPr>
          <w:rFonts w:hint="eastAsia" w:ascii="仿宋_GB2312" w:eastAsia="仿宋_GB2312"/>
          <w:color w:val="000000" w:themeColor="text1"/>
          <w:sz w:val="32"/>
          <w:szCs w:val="32"/>
        </w:rPr>
        <w:t>批次，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9"/>
    </w:p>
    <w:p>
      <w:pPr>
        <w:spacing w:line="540" w:lineRule="exact"/>
        <w:ind w:firstLine="640" w:firstLineChars="200"/>
        <w:rPr>
          <w:rFonts w:ascii="仿宋_GB2312" w:hAnsi="宋体" w:eastAsia="仿宋_GB2312" w:cs="宋体"/>
          <w:color w:val="000000" w:themeColor="text1"/>
          <w:kern w:val="0"/>
          <w:sz w:val="32"/>
          <w:szCs w:val="32"/>
        </w:rPr>
      </w:pPr>
      <w:bookmarkStart w:id="80" w:name="OLE_LINK85"/>
      <w:r>
        <w:rPr>
          <w:rFonts w:hint="eastAsia" w:ascii="仿宋_GB2312" w:eastAsia="仿宋_GB2312"/>
          <w:color w:val="000000" w:themeColor="text1"/>
          <w:sz w:val="32"/>
          <w:szCs w:val="32"/>
        </w:rPr>
        <w:t>与年初预算数相比情况：一般公共预算“三公”经费支出年初预算数</w:t>
      </w:r>
      <w:r>
        <w:rPr>
          <w:rFonts w:ascii="仿宋_GB2312" w:eastAsia="仿宋_GB2312"/>
          <w:color w:val="000000" w:themeColor="text1"/>
          <w:sz w:val="32"/>
          <w:szCs w:val="32"/>
        </w:rPr>
        <w:t>8.4</w:t>
      </w:r>
      <w:r>
        <w:rPr>
          <w:rFonts w:hint="eastAsia" w:ascii="仿宋_GB2312" w:eastAsia="仿宋_GB2312"/>
          <w:color w:val="000000" w:themeColor="text1"/>
          <w:sz w:val="32"/>
          <w:szCs w:val="32"/>
        </w:rPr>
        <w:t>万元，决算数8.4万元</w:t>
      </w:r>
      <w:r>
        <w:rPr>
          <w:rFonts w:ascii="仿宋_GB2312" w:eastAsia="仿宋_GB2312"/>
          <w:color w:val="000000" w:themeColor="text1"/>
          <w:sz w:val="32"/>
          <w:szCs w:val="32"/>
        </w:rPr>
        <w:t>，预决算差异率0%，差异主要原因是:严格按照预算执行。</w:t>
      </w:r>
      <w:bookmarkEnd w:id="80"/>
      <w:bookmarkStart w:id="81" w:name="OLE_LINK87"/>
      <w:bookmarkStart w:id="82" w:name="OLE_LINK86"/>
      <w:r>
        <w:rPr>
          <w:rFonts w:hint="eastAsia" w:ascii="仿宋_GB2312" w:hAnsi="宋体" w:eastAsia="仿宋_GB2312" w:cs="宋体"/>
          <w:color w:val="000000" w:themeColor="text1"/>
          <w:kern w:val="0"/>
          <w:sz w:val="32"/>
          <w:szCs w:val="32"/>
        </w:rPr>
        <w:t>其中：因公出国（境）费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，预决算差异率0%，差异主要原因是:未发生因公出国(境）费；</w:t>
      </w:r>
      <w:bookmarkEnd w:id="81"/>
      <w:bookmarkEnd w:id="82"/>
      <w:bookmarkStart w:id="83" w:name="OLE_LINK88"/>
      <w:bookmarkStart w:id="84" w:name="OLE_LINK89"/>
      <w:r>
        <w:rPr>
          <w:rFonts w:hint="eastAsia" w:ascii="仿宋_GB2312" w:hAnsi="宋体" w:eastAsia="仿宋_GB2312" w:cs="宋体"/>
          <w:color w:val="000000" w:themeColor="text1"/>
          <w:kern w:val="0"/>
          <w:sz w:val="32"/>
          <w:szCs w:val="32"/>
        </w:rPr>
        <w:t>公务用车购置</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，预决算差异率0%，差异主要原因是:未购置公务用车；</w:t>
      </w:r>
      <w:bookmarkEnd w:id="83"/>
      <w:bookmarkEnd w:id="84"/>
      <w:bookmarkStart w:id="85" w:name="OLE_LINK90"/>
      <w:r>
        <w:rPr>
          <w:rFonts w:hint="eastAsia" w:ascii="仿宋_GB2312" w:hAnsi="宋体" w:eastAsia="仿宋_GB2312" w:cs="宋体"/>
          <w:color w:val="000000" w:themeColor="text1"/>
          <w:kern w:val="0"/>
          <w:sz w:val="32"/>
          <w:szCs w:val="32"/>
        </w:rPr>
        <w:t>公务用车运行费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8.4</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8.4</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，预决算差异率0%，差异主要原因是:严格按照预算执行；</w:t>
      </w:r>
      <w:bookmarkEnd w:id="85"/>
      <w:bookmarkStart w:id="86" w:name="OLE_LINK91"/>
      <w:r>
        <w:rPr>
          <w:rFonts w:hint="eastAsia" w:ascii="仿宋_GB2312" w:hAnsi="宋体" w:eastAsia="仿宋_GB2312" w:cs="宋体"/>
          <w:color w:val="000000" w:themeColor="text1"/>
          <w:kern w:val="0"/>
          <w:sz w:val="32"/>
          <w:szCs w:val="32"/>
        </w:rPr>
        <w:t>公务接待费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w:t>
      </w:r>
      <w:bookmarkEnd w:id="86"/>
      <w:r>
        <w:rPr>
          <w:rFonts w:ascii="仿宋_GB2312" w:eastAsia="仿宋_GB2312"/>
          <w:color w:val="000000" w:themeColor="text1"/>
          <w:sz w:val="32"/>
          <w:szCs w:val="32"/>
        </w:rPr>
        <w:t>未发生公务接待费。</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五、机关运行经费支出情况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2018年度新疆维吾尔自治区喀什地区经济和信息化委员会机关运行经费支出24.88万元，与上年相比，减少70.31万元，下降73.86%，减少的主要原因是：取消出差人员在县上伙食补贴，减少会议支出和其他支出。</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六、政府采购情况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w:t>
      </w:r>
      <w:bookmarkStart w:id="87" w:name="OLE_LINK45"/>
      <w:r>
        <w:rPr>
          <w:rFonts w:hint="eastAsia" w:ascii="仿宋_GB2312" w:eastAsia="仿宋_GB2312"/>
          <w:color w:val="000000" w:themeColor="text1"/>
          <w:sz w:val="32"/>
          <w:szCs w:val="32"/>
        </w:rPr>
        <w:t>政府采购支出总额</w:t>
      </w:r>
      <w:bookmarkEnd w:id="87"/>
      <w:r>
        <w:rPr>
          <w:rFonts w:hint="eastAsia" w:ascii="仿宋_GB2312" w:eastAsia="仿宋_GB2312"/>
          <w:sz w:val="32"/>
          <w:szCs w:val="32"/>
        </w:rPr>
        <w:t>82.89</w:t>
      </w:r>
      <w:r>
        <w:rPr>
          <w:rFonts w:hint="eastAsia" w:ascii="仿宋_GB2312" w:eastAsia="仿宋_GB2312"/>
          <w:color w:val="000000" w:themeColor="text1"/>
          <w:sz w:val="32"/>
          <w:szCs w:val="32"/>
        </w:rPr>
        <w:t>万元，其中：</w:t>
      </w:r>
      <w:bookmarkStart w:id="88" w:name="OLE_LINK46"/>
      <w:r>
        <w:rPr>
          <w:rFonts w:hint="eastAsia" w:ascii="仿宋_GB2312" w:eastAsia="仿宋_GB2312"/>
          <w:color w:val="000000" w:themeColor="text1"/>
          <w:sz w:val="32"/>
          <w:szCs w:val="32"/>
        </w:rPr>
        <w:t>政府采购货物支出</w:t>
      </w:r>
      <w:bookmarkEnd w:id="88"/>
      <w:r>
        <w:rPr>
          <w:rFonts w:hint="eastAsia" w:ascii="仿宋_GB2312" w:eastAsia="仿宋_GB2312"/>
          <w:sz w:val="32"/>
          <w:szCs w:val="32"/>
        </w:rPr>
        <w:t>9.65</w:t>
      </w:r>
      <w:r>
        <w:rPr>
          <w:rFonts w:hint="eastAsia" w:ascii="仿宋_GB2312" w:eastAsia="仿宋_GB2312"/>
          <w:color w:val="000000" w:themeColor="text1"/>
          <w:sz w:val="32"/>
          <w:szCs w:val="32"/>
        </w:rPr>
        <w:t>万元、</w:t>
      </w:r>
      <w:bookmarkStart w:id="89" w:name="OLE_LINK47"/>
      <w:r>
        <w:rPr>
          <w:rFonts w:hint="eastAsia" w:ascii="仿宋_GB2312" w:eastAsia="仿宋_GB2312"/>
          <w:color w:val="000000" w:themeColor="text1"/>
          <w:sz w:val="32"/>
          <w:szCs w:val="32"/>
        </w:rPr>
        <w:t>政府采购工程支出</w:t>
      </w:r>
      <w:bookmarkEnd w:id="89"/>
      <w:r>
        <w:rPr>
          <w:rFonts w:hint="eastAsia" w:ascii="仿宋_GB2312" w:eastAsia="仿宋_GB2312"/>
          <w:sz w:val="32"/>
          <w:szCs w:val="32"/>
        </w:rPr>
        <w:t>0.35</w:t>
      </w:r>
      <w:r>
        <w:rPr>
          <w:rFonts w:hint="eastAsia" w:ascii="仿宋_GB2312" w:eastAsia="仿宋_GB2312"/>
          <w:color w:val="000000" w:themeColor="text1"/>
          <w:sz w:val="32"/>
          <w:szCs w:val="32"/>
        </w:rPr>
        <w:t>万元、</w:t>
      </w:r>
      <w:bookmarkStart w:id="90" w:name="OLE_LINK48"/>
      <w:r>
        <w:rPr>
          <w:rFonts w:hint="eastAsia" w:ascii="仿宋_GB2312" w:eastAsia="仿宋_GB2312"/>
          <w:color w:val="000000" w:themeColor="text1"/>
          <w:sz w:val="32"/>
          <w:szCs w:val="32"/>
        </w:rPr>
        <w:t>政府采购服务支出</w:t>
      </w:r>
      <w:bookmarkEnd w:id="90"/>
      <w:r>
        <w:rPr>
          <w:rFonts w:hint="eastAsia" w:ascii="仿宋_GB2312" w:eastAsia="仿宋_GB2312"/>
          <w:sz w:val="32"/>
          <w:szCs w:val="32"/>
        </w:rPr>
        <w:t>72.89</w:t>
      </w:r>
      <w:r>
        <w:rPr>
          <w:rFonts w:hint="eastAsia" w:ascii="仿宋_GB2312" w:eastAsia="仿宋_GB2312"/>
          <w:color w:val="000000" w:themeColor="text1"/>
          <w:sz w:val="32"/>
          <w:szCs w:val="32"/>
        </w:rPr>
        <w:t>万元。</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七、其他重要事项的情况</w:t>
      </w:r>
    </w:p>
    <w:p>
      <w:pPr>
        <w:spacing w:line="540" w:lineRule="exact"/>
        <w:ind w:firstLine="643" w:firstLineChars="200"/>
        <w:rPr>
          <w:rFonts w:ascii="楷体_GB2312" w:eastAsia="楷体_GB2312"/>
          <w:b/>
          <w:bCs/>
          <w:color w:val="000000" w:themeColor="text1"/>
          <w:sz w:val="32"/>
          <w:szCs w:val="32"/>
        </w:rPr>
      </w:pPr>
      <w:r>
        <w:rPr>
          <w:rFonts w:hint="eastAsia" w:ascii="楷体_GB2312" w:eastAsia="楷体_GB2312"/>
          <w:b/>
          <w:bCs/>
          <w:color w:val="000000" w:themeColor="text1"/>
          <w:sz w:val="32"/>
          <w:szCs w:val="32"/>
        </w:rPr>
        <w:t>（一）国有资产占用情况说明</w:t>
      </w:r>
    </w:p>
    <w:p>
      <w:pPr>
        <w:spacing w:line="540" w:lineRule="exact"/>
        <w:ind w:firstLine="640" w:firstLineChars="200"/>
        <w:rPr>
          <w:rFonts w:ascii="仿宋_GB2312" w:eastAsia="仿宋_GB2312"/>
          <w:color w:val="000000" w:themeColor="text1"/>
          <w:sz w:val="32"/>
          <w:szCs w:val="32"/>
        </w:rPr>
      </w:pPr>
      <w:bookmarkStart w:id="91" w:name="OLE_LINK97"/>
      <w:r>
        <w:rPr>
          <w:rFonts w:hint="eastAsia" w:ascii="仿宋_GB2312" w:eastAsia="仿宋_GB2312"/>
          <w:color w:val="000000" w:themeColor="text1"/>
          <w:sz w:val="32"/>
          <w:szCs w:val="32"/>
        </w:rPr>
        <w:t>截至2018年12月31日，单位共有车辆</w:t>
      </w:r>
      <w:r>
        <w:rPr>
          <w:rFonts w:hint="eastAsia" w:ascii="仿宋_GB2312" w:eastAsia="仿宋_GB2312"/>
          <w:sz w:val="32"/>
          <w:szCs w:val="32"/>
        </w:rPr>
        <w:t>5</w:t>
      </w:r>
      <w:r>
        <w:rPr>
          <w:rFonts w:hint="eastAsia" w:ascii="仿宋_GB2312" w:eastAsia="仿宋_GB2312"/>
          <w:color w:val="000000" w:themeColor="text1"/>
          <w:sz w:val="32"/>
          <w:szCs w:val="32"/>
        </w:rPr>
        <w:t>辆，价值</w:t>
      </w:r>
      <w:r>
        <w:rPr>
          <w:rFonts w:hint="eastAsia" w:ascii="仿宋_GB2312" w:eastAsia="仿宋_GB2312"/>
          <w:sz w:val="32"/>
          <w:szCs w:val="32"/>
        </w:rPr>
        <w:t>131.32</w:t>
      </w:r>
      <w:r>
        <w:rPr>
          <w:rFonts w:hint="eastAsia" w:ascii="仿宋_GB2312" w:eastAsia="仿宋_GB2312"/>
          <w:color w:val="000000" w:themeColor="text1"/>
          <w:sz w:val="32"/>
          <w:szCs w:val="32"/>
        </w:rPr>
        <w:t>万元，其中：部级领导干部用车</w:t>
      </w:r>
      <w:r>
        <w:rPr>
          <w:rFonts w:hint="eastAsia" w:ascii="仿宋_GB2312" w:eastAsia="仿宋_GB2312"/>
          <w:sz w:val="32"/>
          <w:szCs w:val="32"/>
        </w:rPr>
        <w:t>0</w:t>
      </w:r>
      <w:r>
        <w:rPr>
          <w:rFonts w:hint="eastAsia" w:ascii="仿宋_GB2312" w:eastAsia="仿宋_GB2312"/>
          <w:color w:val="000000" w:themeColor="text1"/>
          <w:sz w:val="32"/>
          <w:szCs w:val="32"/>
        </w:rPr>
        <w:t>辆、主要领导干部用车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辆、机要通信用车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辆、应急保障用车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辆、执法执勤用车</w:t>
      </w:r>
      <w:r>
        <w:rPr>
          <w:rFonts w:hint="eastAsia" w:ascii="仿宋_GB2312" w:eastAsia="仿宋_GB2312"/>
          <w:sz w:val="32"/>
          <w:szCs w:val="32"/>
        </w:rPr>
        <w:t>0</w:t>
      </w:r>
      <w:r>
        <w:rPr>
          <w:rFonts w:hint="eastAsia" w:ascii="仿宋_GB2312" w:eastAsia="仿宋_GB2312"/>
          <w:color w:val="000000" w:themeColor="text1"/>
          <w:sz w:val="32"/>
          <w:szCs w:val="32"/>
        </w:rPr>
        <w:t>辆、特种专业技术用车</w:t>
      </w:r>
      <w:r>
        <w:rPr>
          <w:rFonts w:hint="eastAsia" w:ascii="仿宋_GB2312" w:eastAsia="仿宋_GB2312"/>
          <w:sz w:val="32"/>
          <w:szCs w:val="32"/>
        </w:rPr>
        <w:t>0</w:t>
      </w:r>
      <w:r>
        <w:rPr>
          <w:rFonts w:hint="eastAsia" w:ascii="仿宋_GB2312" w:eastAsia="仿宋_GB2312"/>
          <w:color w:val="000000" w:themeColor="text1"/>
          <w:sz w:val="32"/>
          <w:szCs w:val="32"/>
        </w:rPr>
        <w:t>辆、离退休干部用车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辆、其他用车</w:t>
      </w:r>
      <w:r>
        <w:rPr>
          <w:rFonts w:ascii="仿宋_GB2312" w:eastAsia="仿宋_GB2312"/>
          <w:color w:val="000000" w:themeColor="text1"/>
          <w:sz w:val="32"/>
          <w:szCs w:val="32"/>
        </w:rPr>
        <w:t>5</w:t>
      </w:r>
      <w:r>
        <w:rPr>
          <w:rFonts w:hint="eastAsia" w:ascii="仿宋_GB2312" w:eastAsia="仿宋_GB2312"/>
          <w:color w:val="000000" w:themeColor="text1"/>
          <w:sz w:val="32"/>
          <w:szCs w:val="32"/>
        </w:rPr>
        <w:t>辆，其他用车主要是：</w:t>
      </w:r>
      <w:r>
        <w:rPr>
          <w:rFonts w:ascii="仿宋_GB2312" w:eastAsia="仿宋_GB2312"/>
          <w:color w:val="000000" w:themeColor="text1"/>
          <w:sz w:val="32"/>
          <w:szCs w:val="32"/>
        </w:rPr>
        <w:t>单位工作人员外出办公用车；</w:t>
      </w:r>
      <w:r>
        <w:rPr>
          <w:rFonts w:hint="eastAsia" w:ascii="仿宋_GB2312" w:eastAsia="仿宋_GB2312"/>
          <w:color w:val="000000" w:themeColor="text1"/>
          <w:sz w:val="32"/>
          <w:szCs w:val="32"/>
        </w:rPr>
        <w:t>单位价值50万元以上通用设备</w:t>
      </w:r>
      <w:r>
        <w:rPr>
          <w:rFonts w:hint="eastAsia" w:ascii="仿宋_GB2312" w:eastAsia="仿宋_GB2312"/>
          <w:sz w:val="32"/>
          <w:szCs w:val="32"/>
        </w:rPr>
        <w:t>0</w:t>
      </w:r>
      <w:r>
        <w:rPr>
          <w:rFonts w:hint="eastAsia" w:ascii="仿宋_GB2312" w:eastAsia="仿宋_GB2312"/>
          <w:color w:val="000000" w:themeColor="text1"/>
          <w:sz w:val="32"/>
          <w:szCs w:val="32"/>
        </w:rPr>
        <w:t>台（套）、单位价值100万元以上专用设备</w:t>
      </w:r>
      <w:r>
        <w:rPr>
          <w:rFonts w:hint="eastAsia" w:ascii="仿宋_GB2312" w:eastAsia="仿宋_GB2312"/>
          <w:sz w:val="32"/>
          <w:szCs w:val="32"/>
        </w:rPr>
        <w:t>0</w:t>
      </w:r>
      <w:r>
        <w:rPr>
          <w:rFonts w:hint="eastAsia" w:ascii="仿宋_GB2312" w:eastAsia="仿宋_GB2312"/>
          <w:color w:val="000000" w:themeColor="text1"/>
          <w:sz w:val="32"/>
          <w:szCs w:val="32"/>
        </w:rPr>
        <w:t>台（套）。</w:t>
      </w:r>
      <w:bookmarkEnd w:id="91"/>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（二）预算绩效情况的说明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2018年度，本部门单位预算绩效自评情况：</w:t>
      </w:r>
      <w:r>
        <w:rPr>
          <w:rFonts w:ascii="仿宋_GB2312" w:eastAsia="仿宋_GB2312"/>
          <w:sz w:val="32"/>
          <w:szCs w:val="32"/>
        </w:rPr>
        <w:t>2018年度，本部门单位预算绩效自评情况：本单位2018年有三个项目，均纳入绩效管理，年初设置合理的绩效目标，在项目执行过程中按照设定的绩效目标实施，2018年末完成项目绩效评价。</w:t>
      </w:r>
    </w:p>
    <w:p>
      <w:pPr>
        <w:spacing w:line="540" w:lineRule="exact"/>
        <w:ind w:left="-1" w:right="-1" w:firstLine="646"/>
        <w:jc w:val="left"/>
      </w:pPr>
      <w:r>
        <w:rPr>
          <w:rFonts w:ascii="仿宋_GB2312" w:hAnsi="仿宋_GB2312" w:eastAsia="仿宋_GB2312" w:cs="仿宋_GB2312"/>
          <w:b w:val="0"/>
          <w:color w:val="auto"/>
          <w:sz w:val="32"/>
          <w:u w:val="none"/>
        </w:rPr>
        <w:t>1、纺织服装政策执行审核费的项目绩效自评综述：根据年初设定的绩效目标，该项目绩效自评得分为86分。项目全年预算数为7.2万元，执行数为7.2万元，完成预算的100%。主要产出和效果：经济性：通过对喀什地区12县市36个纺织服装重点项目进行优惠政策执行的审核，促进了纺织服装产业发展，地区全年纺织服装完成工业总产值≥42亿，实现工业增加值≥8亿。在审核过程中，提升审核效率和资金使用率。效率性：2018年1月份开始，分赴各县市进行监督检查，重点服装项目监督检查覆盖率达到90%以上。效益性：拉动纺织服装产业发展，实现纺织服装产业就业5万人以上。发现的问题及原因：项目相关管理制度还有待完善，项目资金未单独设置账本、账套；2018年本项目绩效目标全部达成，不存在未完成原因分析。下一步改进措施： 加强队伍建设，建立绩效评价的长期机制。</w:t>
      </w:r>
    </w:p>
    <w:p>
      <w:pPr>
        <w:spacing w:line="540" w:lineRule="exact"/>
        <w:ind w:left="-1" w:right="-1" w:firstLine="646"/>
        <w:jc w:val="left"/>
      </w:pPr>
      <w:r>
        <w:rPr>
          <w:rFonts w:ascii="仿宋_GB2312" w:hAnsi="仿宋_GB2312" w:eastAsia="仿宋_GB2312" w:cs="仿宋_GB2312"/>
          <w:b w:val="0"/>
          <w:color w:val="auto"/>
          <w:sz w:val="32"/>
          <w:u w:val="none"/>
        </w:rPr>
        <w:t>2、地区能力建设资金项目绩效自评综述：根据年初设定的绩效目标，该项目绩效自评得分为72.79分。项目全年预算数为15万元，执行数为10.87万元，完成预算的72.47%。主要产出和效果：本项目共设置一级指标3个，二级指标11个，三级指标12个，其中已完成三级指标12个，指标完成率为100%。发现的问题及原因：项目资金预算存在打捆下达的情况，在资金使用时不利于支付使用；2018年本项目绩效目标全部达成，不存在未完成情况。下一步改进措施： 预算下达严格按照项目计划执行。</w:t>
      </w:r>
    </w:p>
    <w:p>
      <w:pPr>
        <w:spacing w:line="540" w:lineRule="exact"/>
        <w:ind w:left="-1" w:right="-1" w:firstLine="646"/>
        <w:jc w:val="left"/>
      </w:pPr>
      <w:r>
        <w:rPr>
          <w:rFonts w:ascii="仿宋_GB2312" w:hAnsi="仿宋_GB2312" w:eastAsia="仿宋_GB2312" w:cs="仿宋_GB2312"/>
          <w:b w:val="0"/>
          <w:color w:val="auto"/>
          <w:sz w:val="32"/>
          <w:u w:val="none"/>
        </w:rPr>
        <w:t>3、工作经费项目绩效自评综述：根据年初设定的绩效目标，该项目绩效自评得分为79分。项目全年预算数为22万元，执行数为22万元，完成预算的100%。主要产出和效果：本项目共设置一级指标3个，二级指标9个，三级指标</w:t>
      </w:r>
      <w:r>
        <w:rPr>
          <w:rFonts w:hint="eastAsia" w:ascii="仿宋_GB2312" w:hAnsi="仿宋_GB2312" w:eastAsia="仿宋_GB2312" w:cs="仿宋_GB2312"/>
          <w:b w:val="0"/>
          <w:color w:val="auto"/>
          <w:sz w:val="32"/>
          <w:u w:val="none"/>
          <w:lang w:val="en-US" w:eastAsia="zh-CN"/>
        </w:rPr>
        <w:t>8</w:t>
      </w:r>
      <w:r>
        <w:rPr>
          <w:rFonts w:ascii="仿宋_GB2312" w:hAnsi="仿宋_GB2312" w:eastAsia="仿宋_GB2312" w:cs="仿宋_GB2312"/>
          <w:b w:val="0"/>
          <w:color w:val="auto"/>
          <w:sz w:val="32"/>
          <w:u w:val="none"/>
        </w:rPr>
        <w:t>个，其中已完成三级指标</w:t>
      </w:r>
      <w:r>
        <w:rPr>
          <w:rFonts w:hint="eastAsia" w:ascii="仿宋_GB2312" w:hAnsi="仿宋_GB2312" w:eastAsia="仿宋_GB2312" w:cs="仿宋_GB2312"/>
          <w:b w:val="0"/>
          <w:color w:val="auto"/>
          <w:sz w:val="32"/>
          <w:u w:val="none"/>
          <w:lang w:val="en-US" w:eastAsia="zh-CN"/>
        </w:rPr>
        <w:t>8</w:t>
      </w:r>
      <w:bookmarkStart w:id="92" w:name="_GoBack"/>
      <w:bookmarkEnd w:id="92"/>
      <w:r>
        <w:rPr>
          <w:rFonts w:ascii="仿宋_GB2312" w:hAnsi="仿宋_GB2312" w:eastAsia="仿宋_GB2312" w:cs="仿宋_GB2312"/>
          <w:b w:val="0"/>
          <w:color w:val="auto"/>
          <w:sz w:val="32"/>
          <w:u w:val="none"/>
        </w:rPr>
        <w:t>个，指标完成率为100%。发现的问题及原因：无；2018年本项目绩效目标全部达成，不存在未完成情况。下一步改进措施： 无建议。</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sz w:val="32"/>
          <w:szCs w:val="32"/>
        </w:rPr>
        <w:t>第三部分 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themeColor="text1"/>
          <w:sz w:val="32"/>
          <w:szCs w:val="32"/>
          <w:lang w:val="en-GB"/>
        </w:rPr>
      </w:pPr>
      <w:r>
        <w:rPr>
          <w:rFonts w:hint="eastAsia" w:ascii="仿宋_GB2312" w:eastAsia="仿宋_GB2312"/>
          <w:color w:val="000000" w:themeColor="text1"/>
          <w:sz w:val="32"/>
          <w:szCs w:val="32"/>
        </w:rPr>
        <w:t>本单位支出功能分类说明</w:t>
      </w:r>
      <w:r>
        <w:rPr>
          <w:rFonts w:hint="eastAsia" w:ascii="仿宋_GB2312" w:hAnsi="Calibri" w:eastAsia="仿宋_GB2312"/>
          <w:color w:val="000000" w:themeColor="text1"/>
          <w:sz w:val="32"/>
          <w:szCs w:val="32"/>
          <w:lang w:val="en-GB"/>
        </w:rPr>
        <w:t>。</w:t>
      </w:r>
      <w:r>
        <w:rPr>
          <w:rFonts w:hint="eastAsia" w:ascii="仿宋_GB2312" w:eastAsia="仿宋_GB2312"/>
          <w:sz w:val="32"/>
          <w:szCs w:val="32"/>
        </w:rPr>
        <w:t>221（类）02（款）01（项）指：住房公积金。205（类）02（款）01（项）指：学前教育。211（类）10（款）01（项）指：能源节约利用。229（类）99（款）01（项）指：其他支出。201（类）13（款）02（项）指：一般行政管理事务。201（类）13（款）01（项）指：行政运行。208（类）05（款）05（项）指：机关事业单位基本养老保险缴费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p>
    <w:p>
      <w:pPr>
        <w:spacing w:line="540" w:lineRule="exact"/>
        <w:ind w:firstLine="643" w:firstLineChars="200"/>
        <w:rPr>
          <w:rFonts w:ascii="仿宋_GB2312" w:eastAsia="仿宋_GB2312"/>
          <w:b/>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第四部分 部门决算公开的8张报表（见附表）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footerReference r:id="rId4" w:type="even"/>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sz w:val="32"/>
          <w:szCs w:val="32"/>
        </w:rPr>
        <w:t>八、</w:t>
      </w:r>
      <w:r>
        <w:rPr>
          <w:rFonts w:hint="eastAsia" w:ascii="仿宋_GB2312" w:eastAsia="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9"/>
        <w:rFonts w:ascii="宋体" w:hAnsi="宋体" w:eastAsia="宋体"/>
        <w:sz w:val="28"/>
      </w:rPr>
    </w:pPr>
    <w:r>
      <w:rPr>
        <w:rStyle w:val="9"/>
        <w:rFonts w:ascii="宋体" w:hAnsi="宋体" w:eastAsia="宋体"/>
        <w:sz w:val="28"/>
      </w:rPr>
      <w:fldChar w:fldCharType="begin"/>
    </w:r>
    <w:r>
      <w:rPr>
        <w:rStyle w:val="9"/>
        <w:rFonts w:ascii="宋体" w:hAnsi="宋体" w:eastAsia="宋体"/>
        <w:sz w:val="28"/>
      </w:rPr>
      <w:instrText xml:space="preserve"> PAGE </w:instrText>
    </w:r>
    <w:r>
      <w:rPr>
        <w:rStyle w:val="9"/>
        <w:rFonts w:ascii="宋体" w:hAnsi="宋体" w:eastAsia="宋体"/>
        <w:sz w:val="28"/>
      </w:rPr>
      <w:fldChar w:fldCharType="separate"/>
    </w:r>
    <w:r>
      <w:rPr>
        <w:rStyle w:val="9"/>
        <w:rFonts w:ascii="宋体" w:hAnsi="宋体" w:eastAsia="宋体"/>
        <w:sz w:val="28"/>
      </w:rPr>
      <w:t>- 1 -</w:t>
    </w:r>
    <w:r>
      <w:rPr>
        <w:rStyle w:val="9"/>
        <w:rFonts w:ascii="宋体" w:hAnsi="宋体" w:eastAsia="宋体"/>
        <w:sz w:val="28"/>
      </w:rPr>
      <w:fldChar w:fldCharType="end"/>
    </w:r>
    <w:r>
      <w:rPr>
        <w:rStyle w:val="9"/>
        <w:rFonts w:hint="eastAsia" w:ascii="宋体" w:hAnsi="宋体" w:eastAsia="宋体"/>
        <w:sz w:val="28"/>
      </w:rPr>
      <w:t xml:space="preserve"> </w:t>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1756" w:y="37"/>
      <w:rPr>
        <w:rStyle w:val="9"/>
        <w:rFonts w:ascii="宋体" w:hAnsi="宋体" w:eastAsia="宋体"/>
        <w:sz w:val="28"/>
        <w:szCs w:val="28"/>
      </w:rPr>
    </w:pPr>
    <w:r>
      <w:rPr>
        <w:rStyle w:val="9"/>
        <w:rFonts w:ascii="宋体" w:hAnsi="宋体" w:eastAsia="宋体"/>
        <w:sz w:val="28"/>
        <w:szCs w:val="28"/>
      </w:rPr>
      <w:fldChar w:fldCharType="begin"/>
    </w:r>
    <w:r>
      <w:rPr>
        <w:rStyle w:val="9"/>
        <w:rFonts w:ascii="宋体" w:hAnsi="宋体" w:eastAsia="宋体"/>
        <w:sz w:val="28"/>
        <w:szCs w:val="28"/>
      </w:rPr>
      <w:instrText xml:space="preserve">PAGE  </w:instrText>
    </w:r>
    <w:r>
      <w:rPr>
        <w:rStyle w:val="9"/>
        <w:rFonts w:ascii="宋体" w:hAnsi="宋体" w:eastAsia="宋体"/>
        <w:sz w:val="28"/>
        <w:szCs w:val="28"/>
      </w:rPr>
      <w:fldChar w:fldCharType="separate"/>
    </w:r>
    <w:r>
      <w:rPr>
        <w:rStyle w:val="9"/>
        <w:rFonts w:ascii="宋体" w:hAnsi="宋体" w:eastAsia="宋体"/>
        <w:sz w:val="28"/>
        <w:szCs w:val="28"/>
      </w:rPr>
      <w:t>- 12 -</w:t>
    </w:r>
    <w:r>
      <w:rPr>
        <w:rStyle w:val="9"/>
        <w:rFonts w:ascii="宋体" w:hAnsi="宋体" w:eastAsia="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dit="comments" w:enforcement="1" w:cryptProviderType="rsaFull" w:cryptAlgorithmClass="hash" w:cryptAlgorithmType="typeAny" w:cryptAlgorithmSid="4" w:cryptSpinCount="0" w:hash="sGmH0WpImAlb932vsh/ccYIzgTU=" w:salt="ToZ3dgGlDhuyr9kAceW77w=="/>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C7811"/>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5A"/>
    <w:rsid w:val="001C26F2"/>
    <w:rsid w:val="001C38EB"/>
    <w:rsid w:val="001C40B2"/>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1B0E"/>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2FA4"/>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1E58"/>
    <w:rsid w:val="00592D42"/>
    <w:rsid w:val="005A5B02"/>
    <w:rsid w:val="005B3245"/>
    <w:rsid w:val="005B6754"/>
    <w:rsid w:val="005B75C0"/>
    <w:rsid w:val="005C3143"/>
    <w:rsid w:val="005D311B"/>
    <w:rsid w:val="005D61D8"/>
    <w:rsid w:val="005E011D"/>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67D4E"/>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24A4B"/>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B5C78"/>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467C6"/>
    <w:rsid w:val="00A55F77"/>
    <w:rsid w:val="00A72457"/>
    <w:rsid w:val="00A86966"/>
    <w:rsid w:val="00A872D8"/>
    <w:rsid w:val="00A912CC"/>
    <w:rsid w:val="00A970D1"/>
    <w:rsid w:val="00AA57AE"/>
    <w:rsid w:val="00AB0AFB"/>
    <w:rsid w:val="00AC002C"/>
    <w:rsid w:val="00AC1DD9"/>
    <w:rsid w:val="00AC4218"/>
    <w:rsid w:val="00AD13C4"/>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76C9B"/>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36A8D"/>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3D56"/>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E9E767F"/>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06A013A"/>
    <w:rsid w:val="61460FBE"/>
    <w:rsid w:val="62775810"/>
    <w:rsid w:val="62D83744"/>
    <w:rsid w:val="630F4048"/>
    <w:rsid w:val="63AA02E5"/>
    <w:rsid w:val="64700DE9"/>
    <w:rsid w:val="65C613BD"/>
    <w:rsid w:val="65FD118C"/>
    <w:rsid w:val="65FE2F3D"/>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453BD4"/>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2"/>
    <w:semiHidden/>
    <w:unhideWhenUsed/>
    <w:qFormat/>
    <w:uiPriority w:val="99"/>
    <w:pPr>
      <w:jc w:val="left"/>
    </w:pPr>
  </w:style>
  <w:style w:type="paragraph" w:styleId="3">
    <w:name w:val="Balloon Text"/>
    <w:basedOn w:val="1"/>
    <w:link w:val="14"/>
    <w:semiHidden/>
    <w:unhideWhenUsed/>
    <w:qFormat/>
    <w:uiPriority w:val="99"/>
    <w:rPr>
      <w:sz w:val="18"/>
      <w:szCs w:val="18"/>
    </w:rPr>
  </w:style>
  <w:style w:type="paragraph" w:styleId="4">
    <w:name w:val="footer"/>
    <w:basedOn w:val="1"/>
    <w:link w:val="11"/>
    <w:qFormat/>
    <w:uiPriority w:val="0"/>
    <w:pPr>
      <w:tabs>
        <w:tab w:val="center" w:pos="4153"/>
        <w:tab w:val="right" w:pos="8306"/>
      </w:tabs>
      <w:snapToGrid w:val="0"/>
      <w:jc w:val="left"/>
    </w:pPr>
    <w:rPr>
      <w:rFonts w:eastAsia="黑体"/>
      <w:snapToGrid w:val="0"/>
      <w:kern w:val="0"/>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3"/>
    <w:semiHidden/>
    <w:unhideWhenUsed/>
    <w:qFormat/>
    <w:uiPriority w:val="99"/>
    <w:rPr>
      <w:b/>
      <w:bCs/>
    </w:rPr>
  </w:style>
  <w:style w:type="character" w:styleId="9">
    <w:name w:val="page number"/>
    <w:basedOn w:val="8"/>
    <w:qFormat/>
    <w:uiPriority w:val="0"/>
  </w:style>
  <w:style w:type="character" w:styleId="10">
    <w:name w:val="annotation reference"/>
    <w:basedOn w:val="8"/>
    <w:semiHidden/>
    <w:unhideWhenUsed/>
    <w:qFormat/>
    <w:uiPriority w:val="99"/>
    <w:rPr>
      <w:sz w:val="21"/>
      <w:szCs w:val="21"/>
    </w:rPr>
  </w:style>
  <w:style w:type="character" w:customStyle="1" w:styleId="11">
    <w:name w:val="页脚 Char"/>
    <w:basedOn w:val="8"/>
    <w:link w:val="4"/>
    <w:qFormat/>
    <w:uiPriority w:val="0"/>
    <w:rPr>
      <w:rFonts w:ascii="Times New Roman" w:hAnsi="Times New Roman" w:eastAsia="黑体" w:cs="Times New Roman"/>
      <w:snapToGrid w:val="0"/>
      <w:kern w:val="0"/>
      <w:sz w:val="18"/>
      <w:szCs w:val="18"/>
    </w:rPr>
  </w:style>
  <w:style w:type="character" w:customStyle="1" w:styleId="12">
    <w:name w:val="批注文字 Char"/>
    <w:basedOn w:val="8"/>
    <w:link w:val="2"/>
    <w:semiHidden/>
    <w:qFormat/>
    <w:uiPriority w:val="99"/>
    <w:rPr>
      <w:rFonts w:ascii="Times New Roman" w:hAnsi="Times New Roman" w:eastAsia="宋体" w:cs="Times New Roman"/>
      <w:szCs w:val="24"/>
    </w:rPr>
  </w:style>
  <w:style w:type="character" w:customStyle="1" w:styleId="13">
    <w:name w:val="批注主题 Char"/>
    <w:basedOn w:val="12"/>
    <w:link w:val="6"/>
    <w:semiHidden/>
    <w:qFormat/>
    <w:uiPriority w:val="99"/>
    <w:rPr>
      <w:rFonts w:ascii="Times New Roman" w:hAnsi="Times New Roman" w:eastAsia="宋体" w:cs="Times New Roman"/>
      <w:b/>
      <w:bCs/>
      <w:szCs w:val="24"/>
    </w:rPr>
  </w:style>
  <w:style w:type="character" w:customStyle="1" w:styleId="14">
    <w:name w:val="批注框文本 Char"/>
    <w:basedOn w:val="8"/>
    <w:link w:val="3"/>
    <w:semiHidden/>
    <w:qFormat/>
    <w:uiPriority w:val="99"/>
    <w:rPr>
      <w:rFonts w:ascii="Times New Roman" w:hAnsi="Times New Roman" w:eastAsia="宋体" w:cs="Times New Roman"/>
      <w:sz w:val="18"/>
      <w:szCs w:val="18"/>
    </w:rPr>
  </w:style>
  <w:style w:type="character" w:customStyle="1" w:styleId="15">
    <w:name w:val="页眉 Char"/>
    <w:basedOn w:val="8"/>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1150</Words>
  <Characters>6559</Characters>
  <Lines>54</Lines>
  <Paragraphs>15</Paragraphs>
  <TotalTime>287</TotalTime>
  <ScaleCrop>false</ScaleCrop>
  <LinksUpToDate>false</LinksUpToDate>
  <CharactersWithSpaces>7694</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2021-07-11T11:05:48Z</dcterms:modified>
  <cp:revision>815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