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华文中宋" w:hAnsi="华文中宋" w:eastAsia="华文中宋" w:cs="宋体"/>
          <w:b/>
          <w:kern w:val="0"/>
          <w:sz w:val="52"/>
          <w:szCs w:val="52"/>
        </w:rPr>
      </w:pPr>
      <w:r>
        <w:rPr>
          <w:rFonts w:hint="eastAsia" w:ascii="华文中宋" w:hAnsi="华文中宋" w:eastAsia="华文中宋" w:cs="宋体"/>
          <w:b/>
          <w:kern w:val="0"/>
          <w:sz w:val="52"/>
          <w:szCs w:val="52"/>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华文中宋" w:hAnsi="华文中宋" w:eastAsia="华文中宋" w:cs="宋体"/>
          <w:b/>
          <w:kern w:val="0"/>
          <w:sz w:val="52"/>
          <w:szCs w:val="52"/>
          <w:lang w:eastAsia="zh-CN"/>
        </w:rPr>
        <w:instrText xml:space="preserve">ADDIN CNKISM.UserStyle</w:instrText>
      </w:r>
      <w:r>
        <w:rPr>
          <w:rFonts w:hint="eastAsia" w:ascii="华文中宋" w:hAnsi="华文中宋" w:eastAsia="华文中宋" w:cs="宋体"/>
          <w:b/>
          <w:kern w:val="0"/>
          <w:sz w:val="52"/>
          <w:szCs w:val="52"/>
        </w:rPr>
        <w:fldChar w:fldCharType="separate"/>
      </w:r>
      <w:r>
        <w:rPr>
          <w:rFonts w:hint="eastAsia" w:ascii="华文中宋" w:hAnsi="华文中宋" w:eastAsia="华文中宋" w:cs="宋体"/>
          <w:b/>
          <w:kern w:val="0"/>
          <w:sz w:val="52"/>
          <w:szCs w:val="52"/>
        </w:rPr>
        <w:fldChar w:fldCharType="end"/>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r>
        <w:rPr>
          <w:rFonts w:hint="eastAsia" w:ascii="华文中宋" w:hAnsi="华文中宋" w:eastAsia="华文中宋" w:cs="宋体"/>
          <w:b/>
          <w:kern w:val="0"/>
          <w:sz w:val="52"/>
          <w:szCs w:val="52"/>
        </w:rPr>
        <w:t>新疆财政项目支出绩效自评报告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 xml:space="preserve"> 2018 </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项目名称：纺织服装项目政策执行审核费的项目</w:t>
      </w: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实施单位（公章）：喀什地区经济和信息化委员会</w:t>
      </w:r>
    </w:p>
    <w:p>
      <w:pPr>
        <w:spacing w:line="700" w:lineRule="exact"/>
        <w:ind w:firstLine="540" w:firstLineChars="150"/>
        <w:jc w:val="left"/>
        <w:rPr>
          <w:rFonts w:hAnsi="宋体" w:eastAsia="仿宋_GB2312" w:cs="宋体"/>
          <w:kern w:val="0"/>
          <w:sz w:val="36"/>
          <w:szCs w:val="36"/>
        </w:rPr>
      </w:pPr>
      <w:r>
        <w:rPr>
          <w:rFonts w:hint="eastAsia" w:hAnsi="宋体" w:eastAsia="仿宋_GB2312" w:cs="宋体"/>
          <w:kern w:val="0"/>
          <w:sz w:val="36"/>
          <w:szCs w:val="36"/>
        </w:rPr>
        <w:t>自治区主管部门（公章）：</w:t>
      </w:r>
    </w:p>
    <w:p>
      <w:pPr>
        <w:spacing w:line="700" w:lineRule="exact"/>
        <w:ind w:firstLine="540" w:firstLineChars="150"/>
        <w:jc w:val="left"/>
        <w:rPr>
          <w:rFonts w:hAnsi="宋体" w:eastAsia="仿宋_GB2312" w:cs="宋体"/>
          <w:kern w:val="0"/>
          <w:sz w:val="36"/>
          <w:szCs w:val="36"/>
        </w:rPr>
      </w:pPr>
      <w:r>
        <w:rPr>
          <w:rFonts w:hint="eastAsia" w:hAnsi="宋体" w:eastAsia="仿宋_GB2312" w:cs="宋体"/>
          <w:kern w:val="0"/>
          <w:sz w:val="36"/>
          <w:szCs w:val="36"/>
        </w:rPr>
        <w:t>项目负责人（签章）：刘洪波</w:t>
      </w:r>
    </w:p>
    <w:p>
      <w:pPr>
        <w:spacing w:line="700" w:lineRule="exact"/>
        <w:ind w:firstLine="540" w:firstLineChars="150"/>
        <w:jc w:val="left"/>
        <w:rPr>
          <w:rFonts w:hAnsi="宋体" w:eastAsia="仿宋_GB2312" w:cs="宋体"/>
          <w:kern w:val="0"/>
          <w:sz w:val="36"/>
          <w:szCs w:val="36"/>
        </w:rPr>
      </w:pPr>
      <w:r>
        <w:rPr>
          <w:rFonts w:hint="eastAsia" w:hAnsi="宋体" w:eastAsia="仿宋_GB2312" w:cs="宋体"/>
          <w:kern w:val="0"/>
          <w:sz w:val="36"/>
          <w:szCs w:val="36"/>
        </w:rPr>
        <w:t>填报时间：</w:t>
      </w:r>
      <w:r>
        <w:rPr>
          <w:rFonts w:hAnsi="宋体" w:eastAsia="仿宋_GB2312" w:cs="宋体"/>
          <w:kern w:val="0"/>
          <w:sz w:val="36"/>
          <w:szCs w:val="36"/>
        </w:rPr>
        <w:t xml:space="preserve">  2018   </w:t>
      </w:r>
      <w:r>
        <w:rPr>
          <w:rFonts w:hint="eastAsia" w:hAnsi="宋体" w:eastAsia="仿宋_GB2312" w:cs="宋体"/>
          <w:kern w:val="0"/>
          <w:sz w:val="36"/>
          <w:szCs w:val="36"/>
        </w:rPr>
        <w:t>年</w:t>
      </w:r>
      <w:r>
        <w:rPr>
          <w:rFonts w:hAnsi="宋体" w:eastAsia="仿宋_GB2312" w:cs="宋体"/>
          <w:kern w:val="0"/>
          <w:sz w:val="36"/>
          <w:szCs w:val="36"/>
        </w:rPr>
        <w:t xml:space="preserve">   12  </w:t>
      </w:r>
      <w:r>
        <w:rPr>
          <w:rFonts w:hint="eastAsia" w:hAnsi="宋体" w:eastAsia="仿宋_GB2312" w:cs="宋体"/>
          <w:kern w:val="0"/>
          <w:sz w:val="36"/>
          <w:szCs w:val="36"/>
        </w:rPr>
        <w:t>月</w:t>
      </w:r>
      <w:r>
        <w:rPr>
          <w:rFonts w:hAnsi="宋体" w:eastAsia="仿宋_GB2312" w:cs="宋体"/>
          <w:kern w:val="0"/>
          <w:sz w:val="36"/>
          <w:szCs w:val="36"/>
        </w:rPr>
        <w:t xml:space="preserve">   10  </w:t>
      </w:r>
      <w:r>
        <w:rPr>
          <w:rFonts w:hint="eastAsia" w:hAnsi="宋体" w:eastAsia="仿宋_GB2312" w:cs="宋体"/>
          <w:kern w:val="0"/>
          <w:sz w:val="36"/>
          <w:szCs w:val="36"/>
        </w:rPr>
        <w:t>日</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640"/>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40" w:lineRule="exact"/>
        <w:ind w:firstLine="640"/>
        <w:rPr>
          <w:rFonts w:hint="eastAsia" w:ascii="仿宋_GB2312" w:eastAsia="仿宋_GB2312"/>
          <w:bCs/>
          <w:kern w:val="0"/>
          <w:sz w:val="32"/>
          <w:szCs w:val="32"/>
          <w:lang w:val="en-US" w:eastAsia="zh-CN"/>
        </w:rPr>
      </w:pPr>
      <w:r>
        <w:rPr>
          <w:rFonts w:hint="eastAsia" w:ascii="仿宋_GB2312" w:eastAsia="仿宋_GB2312"/>
          <w:bCs/>
          <w:kern w:val="0"/>
          <w:sz w:val="32"/>
          <w:szCs w:val="32"/>
          <w:lang w:val="en-US" w:eastAsia="zh-CN"/>
        </w:rPr>
        <w:t>喀什地区经济和信息化委员会属喀什地区行政公署组成部门，编制人数46人，实有在职人数38人，其中：行政在职 28人，参照公务员管理的事业单位人员1人，事业在职9人。主要负责制定喀什地区纺织服装等重点产业规划及扶持政策，并组织实施和监督检查；指导地区产业合理布局和结构调整，促进一、二、三产业协调发展；制订工业和信息产业优化布局、结构调整的政策措施并组织实施，组织协调重点产业调整和规划的制订与实施。</w:t>
      </w:r>
    </w:p>
    <w:p>
      <w:pPr>
        <w:spacing w:line="540" w:lineRule="exact"/>
        <w:ind w:firstLine="627" w:firstLineChars="200"/>
        <w:rPr>
          <w:rStyle w:val="17"/>
          <w:rFonts w:ascii="楷体" w:hAnsi="楷体" w:eastAsia="楷体"/>
          <w:spacing w:val="-4"/>
          <w:sz w:val="32"/>
          <w:szCs w:val="32"/>
        </w:rPr>
      </w:pPr>
      <w:r>
        <w:rPr>
          <w:rStyle w:val="17"/>
          <w:rFonts w:hint="eastAsia" w:ascii="楷体" w:hAnsi="楷体" w:eastAsia="楷体"/>
          <w:spacing w:val="-4"/>
          <w:sz w:val="32"/>
          <w:szCs w:val="32"/>
        </w:rPr>
        <w:t>（二）项目预算绩效目标设定情况</w:t>
      </w:r>
    </w:p>
    <w:p>
      <w:pPr>
        <w:adjustRightInd w:val="0"/>
        <w:snapToGrid w:val="0"/>
        <w:spacing w:line="560" w:lineRule="exact"/>
        <w:ind w:firstLine="627" w:firstLineChars="200"/>
        <w:rPr>
          <w:rStyle w:val="17"/>
          <w:rFonts w:ascii="仿宋" w:hAnsi="仿宋" w:eastAsia="仿宋"/>
          <w:spacing w:val="-4"/>
          <w:sz w:val="32"/>
          <w:szCs w:val="32"/>
        </w:rPr>
      </w:pPr>
      <w:r>
        <w:rPr>
          <w:rFonts w:ascii="仿宋" w:hAnsi="仿宋" w:eastAsia="仿宋"/>
          <w:b/>
          <w:bCs/>
          <w:spacing w:val="-4"/>
          <w:sz w:val="32"/>
          <w:szCs w:val="32"/>
        </w:rPr>
        <w:t>1</w:t>
      </w:r>
      <w:r>
        <w:rPr>
          <w:rFonts w:hint="eastAsia" w:ascii="仿宋" w:hAnsi="仿宋" w:eastAsia="仿宋"/>
          <w:b/>
          <w:bCs/>
          <w:spacing w:val="-4"/>
          <w:sz w:val="32"/>
          <w:szCs w:val="32"/>
        </w:rPr>
        <w:t>、项目预期目标及阶段性目标</w:t>
      </w:r>
    </w:p>
    <w:p>
      <w:pPr>
        <w:spacing w:line="540" w:lineRule="exact"/>
        <w:ind w:firstLine="640"/>
        <w:rPr>
          <w:rFonts w:ascii="仿宋_GB2312" w:eastAsia="仿宋_GB2312"/>
          <w:bCs/>
          <w:kern w:val="0"/>
          <w:sz w:val="32"/>
          <w:szCs w:val="32"/>
        </w:rPr>
      </w:pPr>
      <w:r>
        <w:rPr>
          <w:rFonts w:hint="eastAsia" w:ascii="仿宋_GB2312" w:eastAsia="仿宋_GB2312"/>
          <w:bCs/>
          <w:kern w:val="0"/>
          <w:sz w:val="32"/>
          <w:szCs w:val="32"/>
        </w:rPr>
        <w:t>全年监督纺织服装重点项目</w:t>
      </w:r>
      <w:r>
        <w:rPr>
          <w:rFonts w:ascii="仿宋_GB2312" w:eastAsia="仿宋_GB2312"/>
          <w:bCs/>
          <w:kern w:val="0"/>
          <w:sz w:val="32"/>
          <w:szCs w:val="32"/>
        </w:rPr>
        <w:t>36</w:t>
      </w:r>
      <w:r>
        <w:rPr>
          <w:rFonts w:hint="eastAsia" w:ascii="仿宋_GB2312" w:eastAsia="仿宋_GB2312"/>
          <w:bCs/>
          <w:kern w:val="0"/>
          <w:sz w:val="32"/>
          <w:szCs w:val="32"/>
        </w:rPr>
        <w:t>个；资金拨付补贴县市</w:t>
      </w:r>
      <w:r>
        <w:rPr>
          <w:rFonts w:ascii="仿宋_GB2312" w:eastAsia="仿宋_GB2312"/>
          <w:bCs/>
          <w:kern w:val="0"/>
          <w:sz w:val="32"/>
          <w:szCs w:val="32"/>
        </w:rPr>
        <w:t>12</w:t>
      </w:r>
      <w:r>
        <w:rPr>
          <w:rFonts w:hint="eastAsia" w:ascii="仿宋_GB2312" w:eastAsia="仿宋_GB2312"/>
          <w:bCs/>
          <w:kern w:val="0"/>
          <w:sz w:val="32"/>
          <w:szCs w:val="32"/>
        </w:rPr>
        <w:t>个；重点服装项目监督检查覆盖率≥</w:t>
      </w:r>
      <w:r>
        <w:rPr>
          <w:rFonts w:ascii="仿宋_GB2312" w:eastAsia="仿宋_GB2312"/>
          <w:bCs/>
          <w:kern w:val="0"/>
          <w:sz w:val="32"/>
          <w:szCs w:val="32"/>
        </w:rPr>
        <w:t>90%</w:t>
      </w:r>
      <w:r>
        <w:rPr>
          <w:rFonts w:hint="eastAsia" w:ascii="仿宋_GB2312" w:eastAsia="仿宋_GB2312"/>
          <w:bCs/>
          <w:kern w:val="0"/>
          <w:sz w:val="32"/>
          <w:szCs w:val="32"/>
        </w:rPr>
        <w:t>；监督检查单位</w:t>
      </w:r>
      <w:r>
        <w:rPr>
          <w:rFonts w:ascii="仿宋_GB2312" w:eastAsia="仿宋_GB2312"/>
          <w:bCs/>
          <w:kern w:val="0"/>
          <w:sz w:val="32"/>
          <w:szCs w:val="32"/>
        </w:rPr>
        <w:t>10</w:t>
      </w:r>
      <w:r>
        <w:rPr>
          <w:rFonts w:hint="eastAsia" w:ascii="仿宋_GB2312" w:eastAsia="仿宋_GB2312"/>
          <w:bCs/>
          <w:kern w:val="0"/>
          <w:sz w:val="32"/>
          <w:szCs w:val="32"/>
        </w:rPr>
        <w:t>个；</w:t>
      </w:r>
      <w:r>
        <w:rPr>
          <w:rFonts w:ascii="仿宋_GB2312" w:eastAsia="仿宋_GB2312"/>
          <w:bCs/>
          <w:kern w:val="0"/>
          <w:sz w:val="32"/>
          <w:szCs w:val="32"/>
        </w:rPr>
        <w:t>2018</w:t>
      </w:r>
      <w:r>
        <w:rPr>
          <w:rFonts w:hint="eastAsia" w:ascii="仿宋_GB2312" w:eastAsia="仿宋_GB2312"/>
          <w:bCs/>
          <w:kern w:val="0"/>
          <w:sz w:val="32"/>
          <w:szCs w:val="32"/>
        </w:rPr>
        <w:t>年</w:t>
      </w:r>
      <w:r>
        <w:rPr>
          <w:rFonts w:ascii="仿宋_GB2312" w:eastAsia="仿宋_GB2312"/>
          <w:bCs/>
          <w:kern w:val="0"/>
          <w:sz w:val="32"/>
          <w:szCs w:val="32"/>
        </w:rPr>
        <w:t>1</w:t>
      </w:r>
      <w:r>
        <w:rPr>
          <w:rFonts w:hint="eastAsia" w:ascii="仿宋_GB2312" w:eastAsia="仿宋_GB2312"/>
          <w:bCs/>
          <w:kern w:val="0"/>
          <w:sz w:val="32"/>
          <w:szCs w:val="32"/>
        </w:rPr>
        <w:t>月份开始督查；纺织服装项目政策执行审核费的项目成本</w:t>
      </w:r>
      <w:r>
        <w:rPr>
          <w:rFonts w:ascii="仿宋_GB2312" w:eastAsia="仿宋_GB2312"/>
          <w:bCs/>
          <w:kern w:val="0"/>
          <w:sz w:val="32"/>
          <w:szCs w:val="32"/>
        </w:rPr>
        <w:t>7.2</w:t>
      </w:r>
      <w:r>
        <w:rPr>
          <w:rFonts w:hint="eastAsia" w:ascii="仿宋_GB2312" w:eastAsia="仿宋_GB2312"/>
          <w:bCs/>
          <w:kern w:val="0"/>
          <w:sz w:val="32"/>
          <w:szCs w:val="32"/>
        </w:rPr>
        <w:t>万元。全年纺织服装行业完成工业总产值≥</w:t>
      </w:r>
      <w:r>
        <w:rPr>
          <w:rFonts w:ascii="仿宋_GB2312" w:eastAsia="仿宋_GB2312"/>
          <w:bCs/>
          <w:kern w:val="0"/>
          <w:sz w:val="32"/>
          <w:szCs w:val="32"/>
        </w:rPr>
        <w:t>42</w:t>
      </w:r>
      <w:r>
        <w:rPr>
          <w:rFonts w:hint="eastAsia" w:ascii="仿宋_GB2312" w:eastAsia="仿宋_GB2312"/>
          <w:bCs/>
          <w:kern w:val="0"/>
          <w:sz w:val="32"/>
          <w:szCs w:val="32"/>
        </w:rPr>
        <w:t>亿；全年纺织服装行业实现工业增加值≥</w:t>
      </w:r>
      <w:r>
        <w:rPr>
          <w:rFonts w:ascii="仿宋_GB2312" w:eastAsia="仿宋_GB2312"/>
          <w:bCs/>
          <w:kern w:val="0"/>
          <w:sz w:val="32"/>
          <w:szCs w:val="32"/>
        </w:rPr>
        <w:t>8</w:t>
      </w:r>
      <w:r>
        <w:rPr>
          <w:rFonts w:hint="eastAsia" w:ascii="仿宋_GB2312" w:eastAsia="仿宋_GB2312"/>
          <w:bCs/>
          <w:kern w:val="0"/>
          <w:sz w:val="32"/>
          <w:szCs w:val="32"/>
        </w:rPr>
        <w:t>亿；实现纺织服装产业就业人数≥</w:t>
      </w:r>
      <w:r>
        <w:rPr>
          <w:rFonts w:ascii="仿宋_GB2312" w:eastAsia="仿宋_GB2312"/>
          <w:bCs/>
          <w:kern w:val="0"/>
          <w:sz w:val="32"/>
          <w:szCs w:val="32"/>
        </w:rPr>
        <w:t>5</w:t>
      </w:r>
      <w:r>
        <w:rPr>
          <w:rFonts w:hint="eastAsia" w:ascii="仿宋_GB2312" w:eastAsia="仿宋_GB2312"/>
          <w:bCs/>
          <w:kern w:val="0"/>
          <w:sz w:val="32"/>
          <w:szCs w:val="32"/>
        </w:rPr>
        <w:t>万人；企业对政策情况满意度≥</w:t>
      </w:r>
      <w:r>
        <w:rPr>
          <w:rFonts w:ascii="仿宋_GB2312" w:eastAsia="仿宋_GB2312"/>
          <w:bCs/>
          <w:kern w:val="0"/>
          <w:sz w:val="32"/>
          <w:szCs w:val="32"/>
        </w:rPr>
        <w:t>95%</w:t>
      </w:r>
      <w:r>
        <w:rPr>
          <w:rFonts w:hint="eastAsia" w:ascii="仿宋_GB2312" w:eastAsia="仿宋_GB2312"/>
          <w:bCs/>
          <w:kern w:val="0"/>
          <w:sz w:val="32"/>
          <w:szCs w:val="32"/>
        </w:rPr>
        <w:t>。</w:t>
      </w:r>
    </w:p>
    <w:p>
      <w:pPr>
        <w:adjustRightInd w:val="0"/>
        <w:snapToGrid w:val="0"/>
        <w:spacing w:line="560" w:lineRule="exact"/>
        <w:ind w:firstLine="627" w:firstLineChars="200"/>
        <w:rPr>
          <w:rFonts w:ascii="仿宋" w:hAnsi="仿宋" w:eastAsia="仿宋"/>
          <w:b/>
          <w:bCs/>
          <w:spacing w:val="-4"/>
          <w:sz w:val="32"/>
          <w:szCs w:val="32"/>
        </w:rPr>
      </w:pPr>
      <w:r>
        <w:rPr>
          <w:rFonts w:ascii="仿宋" w:hAnsi="仿宋" w:eastAsia="仿宋"/>
          <w:b/>
          <w:bCs/>
          <w:spacing w:val="-4"/>
          <w:sz w:val="32"/>
          <w:szCs w:val="32"/>
        </w:rPr>
        <w:t>2</w:t>
      </w:r>
      <w:r>
        <w:rPr>
          <w:rFonts w:hint="eastAsia" w:ascii="仿宋" w:hAnsi="仿宋" w:eastAsia="仿宋"/>
          <w:b/>
          <w:bCs/>
          <w:spacing w:val="-4"/>
          <w:sz w:val="32"/>
          <w:szCs w:val="32"/>
        </w:rPr>
        <w:t>、项目基本性质</w:t>
      </w:r>
    </w:p>
    <w:p>
      <w:pPr>
        <w:spacing w:line="540" w:lineRule="exact"/>
        <w:ind w:firstLine="640"/>
        <w:rPr>
          <w:rFonts w:ascii="仿宋_GB2312" w:eastAsia="仿宋_GB2312"/>
          <w:bCs/>
          <w:kern w:val="0"/>
          <w:sz w:val="32"/>
          <w:szCs w:val="32"/>
        </w:rPr>
      </w:pPr>
      <w:r>
        <w:rPr>
          <w:rFonts w:hint="eastAsia" w:ascii="仿宋_GB2312" w:eastAsia="仿宋_GB2312"/>
          <w:bCs/>
          <w:kern w:val="0"/>
          <w:sz w:val="32"/>
          <w:szCs w:val="32"/>
        </w:rPr>
        <w:t>本项目性质为新增项目。</w:t>
      </w:r>
    </w:p>
    <w:p>
      <w:pPr>
        <w:adjustRightInd w:val="0"/>
        <w:snapToGrid w:val="0"/>
        <w:spacing w:line="560" w:lineRule="exact"/>
        <w:ind w:firstLine="627" w:firstLineChars="200"/>
        <w:rPr>
          <w:rFonts w:ascii="仿宋" w:hAnsi="仿宋" w:eastAsia="仿宋"/>
          <w:b/>
          <w:bCs/>
          <w:spacing w:val="-4"/>
          <w:sz w:val="32"/>
          <w:szCs w:val="32"/>
        </w:rPr>
      </w:pPr>
      <w:r>
        <w:rPr>
          <w:rFonts w:ascii="仿宋" w:hAnsi="仿宋" w:eastAsia="仿宋"/>
          <w:b/>
          <w:bCs/>
          <w:spacing w:val="-4"/>
          <w:sz w:val="32"/>
          <w:szCs w:val="32"/>
        </w:rPr>
        <w:t>3</w:t>
      </w:r>
      <w:r>
        <w:rPr>
          <w:rFonts w:hint="eastAsia" w:ascii="仿宋" w:hAnsi="仿宋" w:eastAsia="仿宋"/>
          <w:b/>
          <w:bCs/>
          <w:spacing w:val="-4"/>
          <w:sz w:val="32"/>
          <w:szCs w:val="32"/>
        </w:rPr>
        <w:t>、项目用途及范围</w:t>
      </w:r>
    </w:p>
    <w:p>
      <w:pPr>
        <w:spacing w:line="540" w:lineRule="exact"/>
        <w:ind w:firstLine="640"/>
        <w:rPr>
          <w:rFonts w:ascii="仿宋_GB2312" w:eastAsia="仿宋_GB2312"/>
          <w:bCs/>
          <w:kern w:val="0"/>
          <w:sz w:val="32"/>
          <w:szCs w:val="32"/>
        </w:rPr>
      </w:pPr>
      <w:r>
        <w:rPr>
          <w:rFonts w:hint="eastAsia" w:ascii="仿宋_GB2312" w:eastAsia="仿宋_GB2312"/>
          <w:bCs/>
          <w:kern w:val="0"/>
          <w:sz w:val="32"/>
          <w:szCs w:val="32"/>
        </w:rPr>
        <w:t>项目主要用于对喀什地区纺织服装项目政策执行进行审核，范围涉及</w:t>
      </w:r>
      <w:r>
        <w:rPr>
          <w:rFonts w:ascii="仿宋_GB2312" w:eastAsia="仿宋_GB2312"/>
          <w:bCs/>
          <w:kern w:val="0"/>
          <w:sz w:val="32"/>
          <w:szCs w:val="32"/>
        </w:rPr>
        <w:t>12</w:t>
      </w:r>
      <w:r>
        <w:rPr>
          <w:rFonts w:hint="eastAsia" w:ascii="仿宋_GB2312" w:eastAsia="仿宋_GB2312"/>
          <w:bCs/>
          <w:kern w:val="0"/>
          <w:sz w:val="32"/>
          <w:szCs w:val="32"/>
        </w:rPr>
        <w:t>县市，主要开展对区域内政策执行的监督、检查。</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627" w:firstLineChars="200"/>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640"/>
        <w:rPr>
          <w:rFonts w:ascii="仿宋_GB2312" w:eastAsia="仿宋_GB2312"/>
          <w:bCs/>
          <w:kern w:val="0"/>
          <w:sz w:val="32"/>
          <w:szCs w:val="32"/>
        </w:rPr>
      </w:pPr>
      <w:r>
        <w:rPr>
          <w:rFonts w:hint="eastAsia" w:ascii="仿宋_GB2312" w:eastAsia="仿宋_GB2312"/>
          <w:bCs/>
          <w:kern w:val="0"/>
          <w:sz w:val="32"/>
          <w:szCs w:val="32"/>
        </w:rPr>
        <w:t>纺织服装项目政策执行审核费的项目预算安排总额为</w:t>
      </w:r>
      <w:r>
        <w:rPr>
          <w:rFonts w:ascii="仿宋_GB2312" w:eastAsia="仿宋_GB2312"/>
          <w:bCs/>
          <w:kern w:val="0"/>
          <w:sz w:val="32"/>
          <w:szCs w:val="32"/>
        </w:rPr>
        <w:t>7.2</w:t>
      </w:r>
      <w:r>
        <w:rPr>
          <w:rFonts w:hint="eastAsia" w:ascii="仿宋_GB2312" w:eastAsia="仿宋_GB2312"/>
          <w:bCs/>
          <w:kern w:val="0"/>
          <w:sz w:val="32"/>
          <w:szCs w:val="32"/>
        </w:rPr>
        <w:t>万元，其中财政资金</w:t>
      </w:r>
      <w:r>
        <w:rPr>
          <w:rFonts w:ascii="仿宋_GB2312" w:eastAsia="仿宋_GB2312"/>
          <w:bCs/>
          <w:kern w:val="0"/>
          <w:sz w:val="32"/>
          <w:szCs w:val="32"/>
        </w:rPr>
        <w:t>7.2</w:t>
      </w:r>
      <w:r>
        <w:rPr>
          <w:rFonts w:hint="eastAsia" w:ascii="仿宋_GB2312" w:eastAsia="仿宋_GB2312"/>
          <w:bCs/>
          <w:kern w:val="0"/>
          <w:sz w:val="32"/>
          <w:szCs w:val="32"/>
        </w:rPr>
        <w:t>万元，自筹资金</w:t>
      </w:r>
      <w:r>
        <w:rPr>
          <w:rFonts w:ascii="仿宋_GB2312" w:eastAsia="仿宋_GB2312"/>
          <w:bCs/>
          <w:kern w:val="0"/>
          <w:sz w:val="32"/>
          <w:szCs w:val="32"/>
        </w:rPr>
        <w:t>0</w:t>
      </w:r>
      <w:r>
        <w:rPr>
          <w:rFonts w:hint="eastAsia" w:ascii="仿宋_GB2312" w:eastAsia="仿宋_GB2312"/>
          <w:bCs/>
          <w:kern w:val="0"/>
          <w:sz w:val="32"/>
          <w:szCs w:val="32"/>
        </w:rPr>
        <w:t>万元，</w:t>
      </w:r>
      <w:r>
        <w:rPr>
          <w:rFonts w:ascii="仿宋_GB2312" w:eastAsia="仿宋_GB2312"/>
          <w:bCs/>
          <w:kern w:val="0"/>
          <w:sz w:val="32"/>
          <w:szCs w:val="32"/>
        </w:rPr>
        <w:t>2018</w:t>
      </w:r>
      <w:r>
        <w:rPr>
          <w:rFonts w:hint="eastAsia" w:ascii="仿宋_GB2312" w:eastAsia="仿宋_GB2312"/>
          <w:bCs/>
          <w:kern w:val="0"/>
          <w:sz w:val="32"/>
          <w:szCs w:val="32"/>
        </w:rPr>
        <w:t>年实际收到预算资金</w:t>
      </w:r>
      <w:r>
        <w:rPr>
          <w:rFonts w:ascii="仿宋_GB2312" w:eastAsia="仿宋_GB2312"/>
          <w:bCs/>
          <w:kern w:val="0"/>
          <w:sz w:val="32"/>
          <w:szCs w:val="32"/>
        </w:rPr>
        <w:t>7.2</w:t>
      </w:r>
      <w:r>
        <w:rPr>
          <w:rFonts w:hint="eastAsia" w:ascii="仿宋_GB2312" w:eastAsia="仿宋_GB2312"/>
          <w:bCs/>
          <w:kern w:val="0"/>
          <w:sz w:val="32"/>
          <w:szCs w:val="32"/>
        </w:rPr>
        <w:t>万元。</w:t>
      </w:r>
    </w:p>
    <w:p>
      <w:pPr>
        <w:spacing w:line="540" w:lineRule="exact"/>
        <w:ind w:firstLine="627" w:firstLineChars="200"/>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640"/>
        <w:rPr>
          <w:rFonts w:ascii="仿宋_GB2312" w:eastAsia="仿宋_GB2312"/>
          <w:bCs/>
          <w:kern w:val="0"/>
          <w:sz w:val="32"/>
          <w:szCs w:val="32"/>
        </w:rPr>
      </w:pPr>
      <w:r>
        <w:rPr>
          <w:rFonts w:hint="eastAsia" w:ascii="仿宋_GB2312" w:eastAsia="仿宋_GB2312"/>
          <w:bCs/>
          <w:kern w:val="0"/>
          <w:sz w:val="32"/>
          <w:szCs w:val="32"/>
        </w:rPr>
        <w:t>本项目实际支付资金</w:t>
      </w:r>
      <w:r>
        <w:rPr>
          <w:rFonts w:ascii="仿宋_GB2312" w:eastAsia="仿宋_GB2312"/>
          <w:bCs/>
          <w:kern w:val="0"/>
          <w:sz w:val="32"/>
          <w:szCs w:val="32"/>
        </w:rPr>
        <w:t>7.2</w:t>
      </w:r>
      <w:r>
        <w:rPr>
          <w:rFonts w:hint="eastAsia" w:ascii="仿宋_GB2312" w:eastAsia="仿宋_GB2312"/>
          <w:bCs/>
          <w:kern w:val="0"/>
          <w:sz w:val="32"/>
          <w:szCs w:val="32"/>
        </w:rPr>
        <w:t>万元，预算执行率</w:t>
      </w:r>
      <w:r>
        <w:rPr>
          <w:rFonts w:ascii="仿宋_GB2312" w:eastAsia="仿宋_GB2312"/>
          <w:bCs/>
          <w:kern w:val="0"/>
          <w:sz w:val="32"/>
          <w:szCs w:val="32"/>
        </w:rPr>
        <w:t>100%</w:t>
      </w:r>
      <w:r>
        <w:rPr>
          <w:rFonts w:hint="eastAsia" w:ascii="仿宋_GB2312" w:eastAsia="仿宋_GB2312"/>
          <w:bCs/>
          <w:kern w:val="0"/>
          <w:sz w:val="32"/>
          <w:szCs w:val="32"/>
        </w:rPr>
        <w:t>。项目资金主要用于支付用办公费</w:t>
      </w:r>
      <w:r>
        <w:rPr>
          <w:rFonts w:ascii="仿宋_GB2312" w:eastAsia="仿宋_GB2312"/>
          <w:bCs/>
          <w:kern w:val="0"/>
          <w:sz w:val="32"/>
          <w:szCs w:val="32"/>
        </w:rPr>
        <w:t>2.2</w:t>
      </w:r>
      <w:r>
        <w:rPr>
          <w:rFonts w:hint="eastAsia" w:ascii="仿宋_GB2312" w:eastAsia="仿宋_GB2312"/>
          <w:bCs/>
          <w:kern w:val="0"/>
          <w:sz w:val="32"/>
          <w:szCs w:val="32"/>
        </w:rPr>
        <w:t>万元、汽车运行费</w:t>
      </w:r>
      <w:r>
        <w:rPr>
          <w:rFonts w:ascii="仿宋_GB2312" w:eastAsia="仿宋_GB2312"/>
          <w:bCs/>
          <w:kern w:val="0"/>
          <w:sz w:val="32"/>
          <w:szCs w:val="32"/>
        </w:rPr>
        <w:t>1.6</w:t>
      </w:r>
      <w:r>
        <w:rPr>
          <w:rFonts w:hint="eastAsia" w:ascii="仿宋_GB2312" w:eastAsia="仿宋_GB2312"/>
          <w:bCs/>
          <w:kern w:val="0"/>
          <w:sz w:val="32"/>
          <w:szCs w:val="32"/>
        </w:rPr>
        <w:t>万、差旅费</w:t>
      </w:r>
      <w:r>
        <w:rPr>
          <w:rFonts w:ascii="仿宋_GB2312" w:eastAsia="仿宋_GB2312"/>
          <w:bCs/>
          <w:kern w:val="0"/>
          <w:sz w:val="32"/>
          <w:szCs w:val="32"/>
        </w:rPr>
        <w:t>3.4</w:t>
      </w:r>
      <w:r>
        <w:rPr>
          <w:rFonts w:hint="eastAsia" w:ascii="仿宋_GB2312" w:eastAsia="仿宋_GB2312"/>
          <w:bCs/>
          <w:kern w:val="0"/>
          <w:sz w:val="32"/>
          <w:szCs w:val="32"/>
        </w:rPr>
        <w:t>万。</w:t>
      </w:r>
    </w:p>
    <w:p>
      <w:pPr>
        <w:spacing w:line="540" w:lineRule="exact"/>
        <w:ind w:firstLine="761" w:firstLineChars="243"/>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640"/>
        <w:rPr>
          <w:rFonts w:ascii="仿宋_GB2312" w:eastAsia="仿宋_GB2312"/>
          <w:kern w:val="0"/>
        </w:rPr>
      </w:pPr>
      <w:r>
        <w:rPr>
          <w:rFonts w:hint="eastAsia" w:ascii="仿宋_GB2312" w:eastAsia="仿宋_GB2312"/>
          <w:bCs/>
          <w:kern w:val="0"/>
          <w:sz w:val="32"/>
          <w:szCs w:val="32"/>
        </w:rPr>
        <w:t>本项目支出符合喀什地区经济和信息化委员会相关财务管理制度，包括会计人员集中核算工作管理制度、财务收支审批制度、财务稽核制度、财务牵制制度、会计主管岗位职责等制度规定，资金的拨付有完整的审批程序和手续，不存在截留、挤占、挪用等情况。</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761" w:firstLineChars="243"/>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640"/>
        <w:rPr>
          <w:rFonts w:ascii="仿宋_GB2312" w:eastAsia="仿宋_GB2312"/>
          <w:bCs/>
          <w:kern w:val="0"/>
          <w:sz w:val="32"/>
          <w:szCs w:val="32"/>
        </w:rPr>
      </w:pPr>
      <w:r>
        <w:rPr>
          <w:rFonts w:hint="eastAsia" w:ascii="仿宋_GB2312" w:eastAsia="仿宋_GB2312"/>
          <w:bCs/>
          <w:kern w:val="0"/>
          <w:sz w:val="32"/>
          <w:szCs w:val="32"/>
        </w:rPr>
        <w:t>该项目属于经常性零星项目</w:t>
      </w:r>
      <w:r>
        <w:rPr>
          <w:rFonts w:ascii="仿宋_GB2312" w:eastAsia="仿宋_GB2312"/>
          <w:bCs/>
          <w:kern w:val="0"/>
          <w:sz w:val="32"/>
          <w:szCs w:val="32"/>
        </w:rPr>
        <w:t>,</w:t>
      </w:r>
      <w:r>
        <w:rPr>
          <w:rFonts w:hint="eastAsia" w:ascii="仿宋_GB2312" w:eastAsia="仿宋_GB2312"/>
          <w:bCs/>
          <w:kern w:val="0"/>
          <w:sz w:val="32"/>
          <w:szCs w:val="32"/>
        </w:rPr>
        <w:t>没有达到招投标限额</w:t>
      </w:r>
      <w:r>
        <w:rPr>
          <w:rFonts w:ascii="仿宋_GB2312" w:eastAsia="仿宋_GB2312"/>
          <w:bCs/>
          <w:kern w:val="0"/>
          <w:sz w:val="32"/>
          <w:szCs w:val="32"/>
        </w:rPr>
        <w:t>,</w:t>
      </w:r>
      <w:r>
        <w:rPr>
          <w:rFonts w:hint="eastAsia" w:ascii="仿宋_GB2312" w:eastAsia="仿宋_GB2312"/>
          <w:bCs/>
          <w:kern w:val="0"/>
          <w:sz w:val="32"/>
          <w:szCs w:val="32"/>
        </w:rPr>
        <w:t>由本单位自行组织实施。实施过程均按照本单位制定的管理制度执行。</w:t>
      </w:r>
    </w:p>
    <w:p>
      <w:pPr>
        <w:spacing w:line="540" w:lineRule="exact"/>
        <w:ind w:firstLine="640" w:firstLineChars="200"/>
        <w:rPr>
          <w:rFonts w:ascii="仿宋_GB2312" w:eastAsia="仿宋_GB2312"/>
          <w:bCs/>
          <w:kern w:val="0"/>
          <w:sz w:val="32"/>
          <w:szCs w:val="32"/>
        </w:rPr>
      </w:pPr>
      <w:r>
        <w:rPr>
          <w:rFonts w:hint="eastAsia" w:ascii="仿宋_GB2312" w:eastAsia="仿宋_GB2312"/>
          <w:bCs/>
          <w:kern w:val="0"/>
          <w:sz w:val="32"/>
          <w:szCs w:val="32"/>
        </w:rPr>
        <w:t>本项目不存在调整情况。</w:t>
      </w:r>
    </w:p>
    <w:p>
      <w:pPr>
        <w:spacing w:line="540" w:lineRule="exact"/>
        <w:ind w:firstLine="640" w:firstLineChars="200"/>
        <w:rPr>
          <w:rFonts w:ascii="仿宋_GB2312" w:eastAsia="仿宋_GB2312"/>
          <w:bCs/>
          <w:kern w:val="0"/>
          <w:sz w:val="32"/>
          <w:szCs w:val="32"/>
        </w:rPr>
      </w:pPr>
      <w:r>
        <w:rPr>
          <w:rFonts w:hint="eastAsia" w:ascii="仿宋_GB2312" w:eastAsia="仿宋_GB2312"/>
          <w:bCs/>
          <w:kern w:val="0"/>
          <w:sz w:val="32"/>
          <w:szCs w:val="32"/>
        </w:rPr>
        <w:t>本项目不存在检查验收程序。</w:t>
      </w:r>
    </w:p>
    <w:p>
      <w:pPr>
        <w:spacing w:line="540" w:lineRule="exact"/>
        <w:ind w:firstLine="761" w:firstLineChars="243"/>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640" w:firstLineChars="200"/>
        <w:rPr>
          <w:rFonts w:ascii="仿宋_GB2312" w:eastAsia="仿宋_GB2312"/>
          <w:bCs/>
          <w:kern w:val="0"/>
          <w:sz w:val="32"/>
          <w:szCs w:val="32"/>
        </w:rPr>
      </w:pPr>
      <w:r>
        <w:rPr>
          <w:rFonts w:hint="eastAsia" w:ascii="仿宋_GB2312" w:eastAsia="仿宋_GB2312"/>
          <w:bCs/>
          <w:kern w:val="0"/>
          <w:sz w:val="32"/>
          <w:szCs w:val="32"/>
        </w:rPr>
        <w:t>项目实施过程中，喀什地区经济和信息化委员会建立了《纺织服装项目政策执行审核费的项目手册》保障项目的顺利实施。项目的实施遵守相关法律法规和业务管理规定，项目资料齐全并及时归档。已建立《纺织服装项目政策执行审核费的项目日常检查监督检查机制》，不定期对项目进度情况进行督导检查，对检查过程中发现的问题及时督促整改，确保了项目按时保质完成。</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ascii="黑体" w:hAnsi="黑体" w:eastAsia="黑体"/>
        </w:rPr>
        <w:t xml:space="preserve"> </w:t>
      </w:r>
    </w:p>
    <w:p>
      <w:pPr>
        <w:spacing w:line="540" w:lineRule="exact"/>
        <w:ind w:firstLine="761" w:firstLineChars="243"/>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774" w:firstLineChars="242"/>
        <w:rPr>
          <w:rFonts w:ascii="仿宋_GB2312" w:eastAsia="仿宋_GB2312"/>
          <w:bCs/>
          <w:kern w:val="0"/>
          <w:sz w:val="32"/>
          <w:szCs w:val="32"/>
        </w:rPr>
      </w:pPr>
      <w:r>
        <w:rPr>
          <w:rFonts w:hint="eastAsia" w:ascii="仿宋_GB2312" w:eastAsia="仿宋_GB2312"/>
          <w:bCs/>
          <w:kern w:val="0"/>
          <w:sz w:val="32"/>
          <w:szCs w:val="32"/>
        </w:rPr>
        <w:t>本项目共设置一级指标</w:t>
      </w:r>
      <w:r>
        <w:rPr>
          <w:rFonts w:ascii="仿宋_GB2312" w:eastAsia="仿宋_GB2312"/>
          <w:bCs/>
          <w:kern w:val="0"/>
          <w:sz w:val="32"/>
          <w:szCs w:val="32"/>
        </w:rPr>
        <w:t>3</w:t>
      </w:r>
      <w:r>
        <w:rPr>
          <w:rFonts w:hint="eastAsia" w:ascii="仿宋_GB2312" w:eastAsia="仿宋_GB2312"/>
          <w:bCs/>
          <w:kern w:val="0"/>
          <w:sz w:val="32"/>
          <w:szCs w:val="32"/>
        </w:rPr>
        <w:t>个，二级指标</w:t>
      </w:r>
      <w:r>
        <w:rPr>
          <w:rFonts w:hint="eastAsia" w:ascii="仿宋_GB2312" w:eastAsia="仿宋_GB2312"/>
          <w:bCs/>
          <w:kern w:val="0"/>
          <w:sz w:val="32"/>
          <w:szCs w:val="32"/>
          <w:lang w:val="en-US" w:eastAsia="zh-CN"/>
        </w:rPr>
        <w:t>9</w:t>
      </w:r>
      <w:r>
        <w:rPr>
          <w:rFonts w:hint="eastAsia" w:ascii="仿宋_GB2312" w:eastAsia="仿宋_GB2312"/>
          <w:bCs/>
          <w:kern w:val="0"/>
          <w:sz w:val="32"/>
          <w:szCs w:val="32"/>
        </w:rPr>
        <w:t>个，三级指标</w:t>
      </w:r>
      <w:r>
        <w:rPr>
          <w:rFonts w:ascii="仿宋_GB2312" w:eastAsia="仿宋_GB2312"/>
          <w:bCs/>
          <w:kern w:val="0"/>
          <w:sz w:val="32"/>
          <w:szCs w:val="32"/>
        </w:rPr>
        <w:t>10</w:t>
      </w:r>
      <w:r>
        <w:rPr>
          <w:rFonts w:hint="eastAsia" w:ascii="仿宋_GB2312" w:eastAsia="仿宋_GB2312"/>
          <w:bCs/>
          <w:kern w:val="0"/>
          <w:sz w:val="32"/>
          <w:szCs w:val="32"/>
        </w:rPr>
        <w:t>个，其中已完成三级指标</w:t>
      </w:r>
      <w:r>
        <w:rPr>
          <w:rFonts w:ascii="仿宋_GB2312" w:eastAsia="仿宋_GB2312"/>
          <w:bCs/>
          <w:kern w:val="0"/>
          <w:sz w:val="32"/>
          <w:szCs w:val="32"/>
        </w:rPr>
        <w:t>10</w:t>
      </w:r>
      <w:r>
        <w:rPr>
          <w:rFonts w:hint="eastAsia" w:ascii="仿宋_GB2312" w:eastAsia="仿宋_GB2312"/>
          <w:bCs/>
          <w:kern w:val="0"/>
          <w:sz w:val="32"/>
          <w:szCs w:val="32"/>
        </w:rPr>
        <w:t>个，指标完成率为</w:t>
      </w:r>
      <w:r>
        <w:rPr>
          <w:rFonts w:ascii="仿宋_GB2312" w:eastAsia="仿宋_GB2312"/>
          <w:bCs/>
          <w:kern w:val="0"/>
          <w:sz w:val="32"/>
          <w:szCs w:val="32"/>
        </w:rPr>
        <w:t>100%</w:t>
      </w:r>
      <w:r>
        <w:rPr>
          <w:rFonts w:hint="eastAsia" w:ascii="仿宋_GB2312" w:eastAsia="仿宋_GB2312"/>
          <w:bCs/>
          <w:kern w:val="0"/>
          <w:sz w:val="32"/>
          <w:szCs w:val="32"/>
        </w:rPr>
        <w:t>。</w:t>
      </w:r>
    </w:p>
    <w:p>
      <w:pPr>
        <w:spacing w:line="540" w:lineRule="exact"/>
        <w:ind w:firstLine="774" w:firstLineChars="242"/>
        <w:rPr>
          <w:rFonts w:ascii="仿宋_GB2312" w:eastAsia="仿宋_GB2312"/>
          <w:bCs/>
          <w:kern w:val="0"/>
          <w:sz w:val="32"/>
          <w:szCs w:val="32"/>
        </w:rPr>
      </w:pPr>
      <w:r>
        <w:rPr>
          <w:rFonts w:hint="eastAsia" w:ascii="仿宋_GB2312" w:eastAsia="仿宋_GB2312"/>
          <w:bCs/>
          <w:kern w:val="0"/>
          <w:sz w:val="32"/>
          <w:szCs w:val="32"/>
        </w:rPr>
        <w:t>经济性：通过对喀什地区</w:t>
      </w:r>
      <w:r>
        <w:rPr>
          <w:rFonts w:ascii="仿宋_GB2312" w:eastAsia="仿宋_GB2312"/>
          <w:bCs/>
          <w:kern w:val="0"/>
          <w:sz w:val="32"/>
          <w:szCs w:val="32"/>
        </w:rPr>
        <w:t>12</w:t>
      </w:r>
      <w:r>
        <w:rPr>
          <w:rFonts w:hint="eastAsia" w:ascii="仿宋_GB2312" w:eastAsia="仿宋_GB2312"/>
          <w:bCs/>
          <w:kern w:val="0"/>
          <w:sz w:val="32"/>
          <w:szCs w:val="32"/>
        </w:rPr>
        <w:t>县市</w:t>
      </w:r>
      <w:r>
        <w:rPr>
          <w:rFonts w:ascii="仿宋_GB2312" w:eastAsia="仿宋_GB2312"/>
          <w:bCs/>
          <w:kern w:val="0"/>
          <w:sz w:val="32"/>
          <w:szCs w:val="32"/>
        </w:rPr>
        <w:t>36</w:t>
      </w:r>
      <w:r>
        <w:rPr>
          <w:rFonts w:hint="eastAsia" w:ascii="仿宋_GB2312" w:eastAsia="仿宋_GB2312"/>
          <w:bCs/>
          <w:kern w:val="0"/>
          <w:sz w:val="32"/>
          <w:szCs w:val="32"/>
        </w:rPr>
        <w:t>个纺织服装重点项目进行优惠政策执行的审核</w:t>
      </w:r>
      <w:bookmarkStart w:id="0" w:name="_GoBack"/>
      <w:bookmarkEnd w:id="0"/>
      <w:r>
        <w:rPr>
          <w:rFonts w:hint="eastAsia" w:ascii="仿宋_GB2312" w:eastAsia="仿宋_GB2312"/>
          <w:bCs/>
          <w:kern w:val="0"/>
          <w:sz w:val="32"/>
          <w:szCs w:val="32"/>
        </w:rPr>
        <w:t>，促进了纺织服装产业发展，地区全年纺织服装完成工业总产值≥</w:t>
      </w:r>
      <w:r>
        <w:rPr>
          <w:rFonts w:ascii="仿宋_GB2312" w:eastAsia="仿宋_GB2312"/>
          <w:bCs/>
          <w:kern w:val="0"/>
          <w:sz w:val="32"/>
          <w:szCs w:val="32"/>
        </w:rPr>
        <w:t>42</w:t>
      </w:r>
      <w:r>
        <w:rPr>
          <w:rFonts w:hint="eastAsia" w:ascii="仿宋_GB2312" w:eastAsia="仿宋_GB2312"/>
          <w:bCs/>
          <w:kern w:val="0"/>
          <w:sz w:val="32"/>
          <w:szCs w:val="32"/>
        </w:rPr>
        <w:t>亿，实现工业增加值≥</w:t>
      </w:r>
      <w:r>
        <w:rPr>
          <w:rFonts w:ascii="仿宋_GB2312" w:eastAsia="仿宋_GB2312"/>
          <w:bCs/>
          <w:kern w:val="0"/>
          <w:sz w:val="32"/>
          <w:szCs w:val="32"/>
        </w:rPr>
        <w:t>8</w:t>
      </w:r>
      <w:r>
        <w:rPr>
          <w:rFonts w:hint="eastAsia" w:ascii="仿宋_GB2312" w:eastAsia="仿宋_GB2312"/>
          <w:bCs/>
          <w:kern w:val="0"/>
          <w:sz w:val="32"/>
          <w:szCs w:val="32"/>
        </w:rPr>
        <w:t>亿。在审核过程中，提升审核效率和资金使用率。</w:t>
      </w:r>
    </w:p>
    <w:p>
      <w:pPr>
        <w:spacing w:line="540" w:lineRule="exact"/>
        <w:ind w:firstLine="774" w:firstLineChars="242"/>
        <w:rPr>
          <w:rFonts w:ascii="仿宋_GB2312" w:eastAsia="仿宋_GB2312"/>
          <w:bCs/>
          <w:kern w:val="0"/>
          <w:sz w:val="32"/>
          <w:szCs w:val="32"/>
        </w:rPr>
      </w:pPr>
      <w:r>
        <w:rPr>
          <w:rFonts w:hint="eastAsia" w:ascii="仿宋_GB2312" w:eastAsia="仿宋_GB2312"/>
          <w:bCs/>
          <w:kern w:val="0"/>
          <w:sz w:val="32"/>
          <w:szCs w:val="32"/>
        </w:rPr>
        <w:t>效率性：</w:t>
      </w:r>
      <w:r>
        <w:rPr>
          <w:rFonts w:ascii="仿宋_GB2312" w:eastAsia="仿宋_GB2312"/>
          <w:bCs/>
          <w:kern w:val="0"/>
          <w:sz w:val="32"/>
          <w:szCs w:val="32"/>
        </w:rPr>
        <w:t>2018</w:t>
      </w:r>
      <w:r>
        <w:rPr>
          <w:rFonts w:hint="eastAsia" w:ascii="仿宋_GB2312" w:eastAsia="仿宋_GB2312"/>
          <w:bCs/>
          <w:kern w:val="0"/>
          <w:sz w:val="32"/>
          <w:szCs w:val="32"/>
        </w:rPr>
        <w:t>年</w:t>
      </w:r>
      <w:r>
        <w:rPr>
          <w:rFonts w:ascii="仿宋_GB2312" w:eastAsia="仿宋_GB2312"/>
          <w:bCs/>
          <w:kern w:val="0"/>
          <w:sz w:val="32"/>
          <w:szCs w:val="32"/>
        </w:rPr>
        <w:t>1</w:t>
      </w:r>
      <w:r>
        <w:rPr>
          <w:rFonts w:hint="eastAsia" w:ascii="仿宋_GB2312" w:eastAsia="仿宋_GB2312"/>
          <w:bCs/>
          <w:kern w:val="0"/>
          <w:sz w:val="32"/>
          <w:szCs w:val="32"/>
        </w:rPr>
        <w:t>月份开始，分赴各县市进行监督检查，重点服装项目监督检查覆盖率达到</w:t>
      </w:r>
      <w:r>
        <w:rPr>
          <w:rFonts w:ascii="仿宋_GB2312" w:eastAsia="仿宋_GB2312"/>
          <w:bCs/>
          <w:kern w:val="0"/>
          <w:sz w:val="32"/>
          <w:szCs w:val="32"/>
        </w:rPr>
        <w:t>90%</w:t>
      </w:r>
      <w:r>
        <w:rPr>
          <w:rFonts w:hint="eastAsia" w:ascii="仿宋_GB2312" w:eastAsia="仿宋_GB2312"/>
          <w:bCs/>
          <w:kern w:val="0"/>
          <w:sz w:val="32"/>
          <w:szCs w:val="32"/>
        </w:rPr>
        <w:t>以上。</w:t>
      </w:r>
    </w:p>
    <w:p>
      <w:pPr>
        <w:spacing w:line="540" w:lineRule="exact"/>
        <w:ind w:firstLine="774" w:firstLineChars="242"/>
        <w:rPr>
          <w:rFonts w:ascii="仿宋_GB2312" w:eastAsia="仿宋_GB2312"/>
          <w:bCs/>
          <w:kern w:val="0"/>
          <w:sz w:val="32"/>
          <w:szCs w:val="32"/>
        </w:rPr>
      </w:pPr>
      <w:r>
        <w:rPr>
          <w:rFonts w:hint="eastAsia" w:ascii="仿宋_GB2312" w:eastAsia="仿宋_GB2312"/>
          <w:bCs/>
          <w:kern w:val="0"/>
          <w:sz w:val="32"/>
          <w:szCs w:val="32"/>
        </w:rPr>
        <w:t>效益性：拉动纺织服装产业发展，实现纺织服装产业就业</w:t>
      </w:r>
      <w:r>
        <w:rPr>
          <w:rFonts w:ascii="仿宋_GB2312" w:eastAsia="仿宋_GB2312"/>
          <w:bCs/>
          <w:kern w:val="0"/>
          <w:sz w:val="32"/>
          <w:szCs w:val="32"/>
        </w:rPr>
        <w:t>5</w:t>
      </w:r>
      <w:r>
        <w:rPr>
          <w:rFonts w:hint="eastAsia" w:ascii="仿宋_GB2312" w:eastAsia="仿宋_GB2312"/>
          <w:bCs/>
          <w:kern w:val="0"/>
          <w:sz w:val="32"/>
          <w:szCs w:val="32"/>
        </w:rPr>
        <w:t>万人以上。</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774" w:firstLineChars="242"/>
        <w:rPr>
          <w:rFonts w:ascii="仿宋_GB2312" w:eastAsia="仿宋_GB2312"/>
          <w:bCs/>
          <w:kern w:val="0"/>
          <w:sz w:val="32"/>
          <w:szCs w:val="32"/>
        </w:rPr>
      </w:pPr>
      <w:r>
        <w:rPr>
          <w:rFonts w:ascii="仿宋_GB2312" w:eastAsia="仿宋_GB2312"/>
          <w:bCs/>
          <w:kern w:val="0"/>
          <w:sz w:val="32"/>
          <w:szCs w:val="32"/>
        </w:rPr>
        <w:t>2018</w:t>
      </w:r>
      <w:r>
        <w:rPr>
          <w:rFonts w:hint="eastAsia" w:ascii="仿宋_GB2312" w:eastAsia="仿宋_GB2312"/>
          <w:bCs/>
          <w:kern w:val="0"/>
          <w:sz w:val="32"/>
          <w:szCs w:val="32"/>
        </w:rPr>
        <w:t>年本项目绩效目标全部达成，不存在未完成原因分析。</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758" w:firstLineChars="242"/>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774" w:firstLineChars="242"/>
        <w:rPr>
          <w:rFonts w:ascii="仿宋_GB2312" w:eastAsia="仿宋_GB2312"/>
          <w:bCs/>
          <w:kern w:val="0"/>
          <w:sz w:val="32"/>
          <w:szCs w:val="32"/>
        </w:rPr>
      </w:pPr>
      <w:r>
        <w:rPr>
          <w:rFonts w:hint="eastAsia" w:ascii="仿宋_GB2312" w:eastAsia="仿宋_GB2312"/>
          <w:bCs/>
          <w:kern w:val="0"/>
          <w:sz w:val="32"/>
          <w:szCs w:val="32"/>
        </w:rPr>
        <w:t>不定期对该项目</w:t>
      </w:r>
      <w:r>
        <w:rPr>
          <w:rFonts w:ascii="仿宋_GB2312" w:eastAsia="仿宋_GB2312"/>
          <w:bCs/>
          <w:kern w:val="0"/>
          <w:sz w:val="32"/>
          <w:szCs w:val="32"/>
        </w:rPr>
        <w:t>2018</w:t>
      </w:r>
      <w:r>
        <w:rPr>
          <w:rFonts w:hint="eastAsia" w:ascii="仿宋_GB2312" w:eastAsia="仿宋_GB2312"/>
          <w:bCs/>
          <w:kern w:val="0"/>
          <w:sz w:val="32"/>
          <w:szCs w:val="32"/>
        </w:rPr>
        <w:t>年的实施情况进行抽查，保障项目按计划有效实施，加强对财政专项资金的管理使用，保障资金使用的平衡性、有效性。</w:t>
      </w:r>
    </w:p>
    <w:p>
      <w:pPr>
        <w:numPr>
          <w:ilvl w:val="0"/>
          <w:numId w:val="1"/>
        </w:numPr>
        <w:spacing w:line="540" w:lineRule="exact"/>
        <w:ind w:firstLine="758" w:firstLineChars="242"/>
        <w:rPr>
          <w:rFonts w:ascii="楷体" w:hAnsi="楷体" w:eastAsia="楷体"/>
          <w:b/>
          <w:spacing w:val="-4"/>
          <w:sz w:val="32"/>
          <w:szCs w:val="32"/>
        </w:rPr>
      </w:pPr>
      <w:r>
        <w:rPr>
          <w:rFonts w:hint="eastAsia" w:ascii="楷体" w:hAnsi="楷体" w:eastAsia="楷体"/>
          <w:b/>
          <w:spacing w:val="-4"/>
          <w:sz w:val="32"/>
          <w:szCs w:val="32"/>
        </w:rPr>
        <w:t>主要经验及做法、存在问题和建议</w:t>
      </w:r>
    </w:p>
    <w:p>
      <w:pPr>
        <w:spacing w:line="540" w:lineRule="exact"/>
        <w:ind w:firstLine="774" w:firstLineChars="242"/>
        <w:rPr>
          <w:rFonts w:ascii="仿宋_GB2312" w:eastAsia="仿宋_GB2312"/>
          <w:bCs/>
          <w:kern w:val="0"/>
          <w:sz w:val="32"/>
          <w:szCs w:val="32"/>
        </w:rPr>
      </w:pPr>
      <w:r>
        <w:rPr>
          <w:rFonts w:ascii="仿宋_GB2312" w:eastAsia="仿宋_GB2312"/>
          <w:bCs/>
          <w:kern w:val="0"/>
          <w:sz w:val="32"/>
          <w:szCs w:val="32"/>
        </w:rPr>
        <w:t>1</w:t>
      </w:r>
      <w:r>
        <w:rPr>
          <w:rFonts w:hint="eastAsia" w:ascii="仿宋_GB2312" w:eastAsia="仿宋_GB2312"/>
          <w:bCs/>
          <w:kern w:val="0"/>
          <w:sz w:val="32"/>
          <w:szCs w:val="32"/>
        </w:rPr>
        <w:t>、主要经验及做法</w:t>
      </w:r>
    </w:p>
    <w:p>
      <w:pPr>
        <w:spacing w:line="540" w:lineRule="exact"/>
        <w:ind w:firstLine="774" w:firstLineChars="242"/>
        <w:rPr>
          <w:rFonts w:ascii="仿宋_GB2312" w:eastAsia="仿宋_GB2312"/>
          <w:bCs/>
          <w:kern w:val="0"/>
          <w:sz w:val="32"/>
          <w:szCs w:val="32"/>
        </w:rPr>
      </w:pPr>
      <w:r>
        <w:rPr>
          <w:rFonts w:hint="eastAsia" w:ascii="仿宋_GB2312" w:eastAsia="仿宋_GB2312"/>
          <w:bCs/>
          <w:kern w:val="0"/>
          <w:sz w:val="32"/>
          <w:szCs w:val="32"/>
        </w:rPr>
        <w:t>通过临时抽查方式，对纺织服装项目政策执行进行监督检查，保证检查结果的真实有效性。</w:t>
      </w:r>
    </w:p>
    <w:p>
      <w:pPr>
        <w:spacing w:line="540" w:lineRule="exact"/>
        <w:ind w:firstLine="774" w:firstLineChars="242"/>
        <w:rPr>
          <w:rFonts w:ascii="仿宋_GB2312" w:eastAsia="仿宋_GB2312"/>
          <w:bCs/>
          <w:kern w:val="0"/>
          <w:sz w:val="32"/>
          <w:szCs w:val="32"/>
        </w:rPr>
      </w:pPr>
      <w:r>
        <w:rPr>
          <w:rFonts w:ascii="仿宋_GB2312" w:eastAsia="仿宋_GB2312"/>
          <w:bCs/>
          <w:kern w:val="0"/>
          <w:sz w:val="32"/>
          <w:szCs w:val="32"/>
        </w:rPr>
        <w:t>2</w:t>
      </w:r>
      <w:r>
        <w:rPr>
          <w:rFonts w:hint="eastAsia" w:ascii="仿宋_GB2312" w:eastAsia="仿宋_GB2312"/>
          <w:bCs/>
          <w:kern w:val="0"/>
          <w:sz w:val="32"/>
          <w:szCs w:val="32"/>
        </w:rPr>
        <w:t>、存在的问题</w:t>
      </w:r>
    </w:p>
    <w:p>
      <w:pPr>
        <w:spacing w:line="540" w:lineRule="exact"/>
        <w:ind w:firstLine="774" w:firstLineChars="242"/>
        <w:rPr>
          <w:rFonts w:ascii="仿宋_GB2312" w:eastAsia="仿宋_GB2312"/>
          <w:bCs/>
          <w:kern w:val="0"/>
          <w:sz w:val="32"/>
          <w:szCs w:val="32"/>
        </w:rPr>
      </w:pPr>
      <w:r>
        <w:rPr>
          <w:rFonts w:hint="eastAsia" w:ascii="仿宋_GB2312" w:eastAsia="仿宋_GB2312"/>
          <w:bCs/>
          <w:kern w:val="0"/>
          <w:sz w:val="32"/>
          <w:szCs w:val="32"/>
        </w:rPr>
        <w:t>项目相关管理制度还有待完善，项目资金未单独设置账本、账套。</w:t>
      </w:r>
    </w:p>
    <w:p>
      <w:pPr>
        <w:spacing w:line="540" w:lineRule="exact"/>
        <w:ind w:firstLine="774" w:firstLineChars="242"/>
        <w:rPr>
          <w:rFonts w:ascii="仿宋_GB2312" w:eastAsia="仿宋_GB2312"/>
          <w:bCs/>
          <w:kern w:val="0"/>
          <w:sz w:val="32"/>
          <w:szCs w:val="32"/>
        </w:rPr>
      </w:pPr>
      <w:r>
        <w:rPr>
          <w:rFonts w:ascii="仿宋_GB2312" w:eastAsia="仿宋_GB2312"/>
          <w:bCs/>
          <w:kern w:val="0"/>
          <w:sz w:val="32"/>
          <w:szCs w:val="32"/>
        </w:rPr>
        <w:t>3</w:t>
      </w:r>
      <w:r>
        <w:rPr>
          <w:rFonts w:hint="eastAsia" w:ascii="仿宋_GB2312" w:eastAsia="仿宋_GB2312"/>
          <w:bCs/>
          <w:kern w:val="0"/>
          <w:sz w:val="32"/>
          <w:szCs w:val="32"/>
        </w:rPr>
        <w:t>、建议</w:t>
      </w:r>
    </w:p>
    <w:p>
      <w:pPr>
        <w:spacing w:line="540" w:lineRule="exact"/>
        <w:ind w:firstLine="774" w:firstLineChars="242"/>
        <w:rPr>
          <w:rFonts w:ascii="仿宋_GB2312" w:eastAsia="仿宋_GB2312"/>
          <w:bCs/>
          <w:kern w:val="0"/>
          <w:sz w:val="32"/>
          <w:szCs w:val="32"/>
        </w:rPr>
      </w:pPr>
      <w:r>
        <w:rPr>
          <w:rFonts w:hint="eastAsia" w:ascii="仿宋_GB2312" w:eastAsia="仿宋_GB2312"/>
          <w:bCs/>
          <w:kern w:val="0"/>
          <w:sz w:val="32"/>
          <w:szCs w:val="32"/>
        </w:rPr>
        <w:t>加强队伍建设，建立绩效评价的长期机制。</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774" w:firstLineChars="242"/>
        <w:rPr>
          <w:rFonts w:ascii="仿宋_GB2312" w:eastAsia="仿宋_GB2312"/>
          <w:bCs/>
          <w:kern w:val="0"/>
          <w:sz w:val="32"/>
          <w:szCs w:val="32"/>
        </w:rPr>
      </w:pPr>
      <w:r>
        <w:rPr>
          <w:rFonts w:hint="eastAsia" w:ascii="仿宋_GB2312" w:eastAsia="仿宋_GB2312"/>
          <w:bCs/>
          <w:kern w:val="0"/>
          <w:sz w:val="32"/>
          <w:szCs w:val="32"/>
        </w:rPr>
        <w:t>无其他说明内容</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spacing w:line="540" w:lineRule="exact"/>
        <w:ind w:firstLine="640"/>
        <w:rPr>
          <w:rFonts w:ascii="仿宋_GB2312" w:eastAsia="仿宋_GB2312"/>
          <w:spacing w:val="-4"/>
          <w:sz w:val="32"/>
          <w:szCs w:val="32"/>
        </w:rPr>
      </w:pPr>
      <w:r>
        <w:rPr>
          <w:rFonts w:hint="eastAsia" w:ascii="仿宋_GB2312" w:eastAsia="仿宋_GB2312"/>
          <w:spacing w:val="-4"/>
          <w:sz w:val="32"/>
          <w:szCs w:val="32"/>
        </w:rPr>
        <w:t>本次评价通过文件研读、实地调研、数据分析等方式，全面了解纺织服装项目政策执行审核费的项目资金的使用效率和效果，项目管理过程规范，完成了预期绩效目标。同时，通过开展自我评价来总结经验和教训，为喀什地区纺织服装项目政策执行审核费的项目今后的开展提供参考建议。</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七、附表</w:t>
      </w:r>
    </w:p>
    <w:p>
      <w:pPr>
        <w:spacing w:line="540" w:lineRule="exact"/>
        <w:ind w:firstLine="312" w:firstLineChars="100"/>
        <w:rPr>
          <w:rStyle w:val="17"/>
          <w:rFonts w:ascii="仿宋" w:hAnsi="仿宋" w:eastAsia="仿宋"/>
          <w:b w:val="0"/>
          <w:spacing w:val="-4"/>
          <w:sz w:val="32"/>
          <w:szCs w:val="32"/>
        </w:rPr>
      </w:pPr>
      <w:r>
        <w:rPr>
          <w:rStyle w:val="17"/>
          <w:rFonts w:hint="eastAsia" w:ascii="仿宋" w:hAnsi="仿宋" w:eastAsia="仿宋"/>
          <w:b w:val="0"/>
          <w:spacing w:val="-4"/>
          <w:sz w:val="32"/>
          <w:szCs w:val="32"/>
        </w:rPr>
        <w:t>《项目支出绩效目标自评表》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10" w:usb3="00000000" w:csb0="00040000" w:csb1="00000000"/>
  </w:font>
  <w:font w:name="黑体">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3722710067">
    <w:nsid w:val="DDE40C33"/>
    <w:multiLevelType w:val="singleLevel"/>
    <w:tmpl w:val="DDE40C33"/>
    <w:lvl w:ilvl="0" w:tentative="1">
      <w:start w:val="2"/>
      <w:numFmt w:val="chineseCounting"/>
      <w:suff w:val="nothing"/>
      <w:lvlText w:val="（%1）"/>
      <w:lvlJc w:val="left"/>
      <w:rPr>
        <w:rFonts w:hint="eastAsia" w:cs="Times New Roman"/>
      </w:rPr>
    </w:lvl>
  </w:abstractNum>
  <w:num w:numId="1">
    <w:abstractNumId w:val="372271006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11540A"/>
    <w:rsid w:val="00144EC4"/>
    <w:rsid w:val="00186FA6"/>
    <w:rsid w:val="00213D5D"/>
    <w:rsid w:val="002279A2"/>
    <w:rsid w:val="00297E6D"/>
    <w:rsid w:val="002A21F2"/>
    <w:rsid w:val="004318B8"/>
    <w:rsid w:val="004609CF"/>
    <w:rsid w:val="004D28B9"/>
    <w:rsid w:val="005162F1"/>
    <w:rsid w:val="00535153"/>
    <w:rsid w:val="00582233"/>
    <w:rsid w:val="006560D6"/>
    <w:rsid w:val="006E2212"/>
    <w:rsid w:val="00714B9B"/>
    <w:rsid w:val="00790805"/>
    <w:rsid w:val="00790DA3"/>
    <w:rsid w:val="007C1025"/>
    <w:rsid w:val="00842AA1"/>
    <w:rsid w:val="00855E3A"/>
    <w:rsid w:val="00922CB9"/>
    <w:rsid w:val="009F586E"/>
    <w:rsid w:val="00A26421"/>
    <w:rsid w:val="00A4293B"/>
    <w:rsid w:val="00A93CBA"/>
    <w:rsid w:val="00B33EE6"/>
    <w:rsid w:val="00B41F61"/>
    <w:rsid w:val="00B92885"/>
    <w:rsid w:val="00BB6605"/>
    <w:rsid w:val="00BD0A51"/>
    <w:rsid w:val="00C20B4D"/>
    <w:rsid w:val="00C569B6"/>
    <w:rsid w:val="00C56C72"/>
    <w:rsid w:val="00CA6457"/>
    <w:rsid w:val="00CF3AD4"/>
    <w:rsid w:val="00D06F98"/>
    <w:rsid w:val="00D14927"/>
    <w:rsid w:val="00D17F2E"/>
    <w:rsid w:val="00DB4270"/>
    <w:rsid w:val="00E36BDE"/>
    <w:rsid w:val="00E556ED"/>
    <w:rsid w:val="00E769FE"/>
    <w:rsid w:val="00EA2CBE"/>
    <w:rsid w:val="00F32FEE"/>
    <w:rsid w:val="00F6425E"/>
    <w:rsid w:val="00F817C4"/>
    <w:rsid w:val="29131065"/>
    <w:rsid w:val="510A7785"/>
    <w:rsid w:val="5381252A"/>
    <w:rsid w:val="64CA1C9B"/>
  </w:rsids>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99"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1"/>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2"/>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3"/>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4"/>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5"/>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6"/>
    <w:qFormat/>
    <w:uiPriority w:val="99"/>
    <w:pPr>
      <w:widowControl/>
      <w:spacing w:before="240" w:after="60"/>
      <w:jc w:val="left"/>
      <w:outlineLvl w:val="6"/>
    </w:pPr>
    <w:rPr>
      <w:rFonts w:ascii="Calibri" w:hAnsi="Calibri"/>
      <w:kern w:val="0"/>
      <w:sz w:val="24"/>
    </w:rPr>
  </w:style>
  <w:style w:type="paragraph" w:styleId="9">
    <w:name w:val="heading 8"/>
    <w:basedOn w:val="1"/>
    <w:next w:val="1"/>
    <w:link w:val="27"/>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8"/>
    <w:qFormat/>
    <w:uiPriority w:val="99"/>
    <w:pPr>
      <w:widowControl/>
      <w:spacing w:before="240" w:after="60"/>
      <w:jc w:val="left"/>
      <w:outlineLvl w:val="8"/>
    </w:pPr>
    <w:rPr>
      <w:rFonts w:ascii="Cambria" w:hAnsi="Cambria"/>
      <w:kern w:val="0"/>
      <w:sz w:val="22"/>
      <w:szCs w:val="22"/>
    </w:rPr>
  </w:style>
  <w:style w:type="character" w:default="1" w:styleId="16">
    <w:name w:val="Default Paragraph Font"/>
    <w:unhideWhenUsed/>
    <w:qFormat/>
    <w:uiPriority w:val="1"/>
  </w:style>
  <w:style w:type="table" w:default="1" w:styleId="19">
    <w:name w:val="Normal Table"/>
    <w:unhideWhenUsed/>
    <w:uiPriority w:val="99"/>
    <w:tblPr>
      <w:tblLayout w:type="fixed"/>
      <w:tblCellMar>
        <w:top w:w="0" w:type="dxa"/>
        <w:left w:w="108" w:type="dxa"/>
        <w:bottom w:w="0" w:type="dxa"/>
        <w:right w:w="108" w:type="dxa"/>
      </w:tblCellMar>
    </w:tblPr>
  </w:style>
  <w:style w:type="paragraph" w:styleId="11">
    <w:name w:val="footer"/>
    <w:basedOn w:val="1"/>
    <w:link w:val="29"/>
    <w:uiPriority w:val="99"/>
    <w:pPr>
      <w:tabs>
        <w:tab w:val="center" w:pos="4153"/>
        <w:tab w:val="right" w:pos="8306"/>
      </w:tabs>
      <w:snapToGrid w:val="0"/>
      <w:jc w:val="left"/>
    </w:pPr>
    <w:rPr>
      <w:rFonts w:ascii="Calibri" w:hAnsi="Calibri"/>
      <w:sz w:val="18"/>
      <w:szCs w:val="18"/>
    </w:rPr>
  </w:style>
  <w:style w:type="paragraph" w:styleId="12">
    <w:name w:val="header"/>
    <w:basedOn w:val="1"/>
    <w:link w:val="30"/>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3">
    <w:name w:val="Subtitle"/>
    <w:basedOn w:val="1"/>
    <w:next w:val="1"/>
    <w:link w:val="31"/>
    <w:qFormat/>
    <w:uiPriority w:val="99"/>
    <w:pPr>
      <w:widowControl/>
      <w:spacing w:after="60"/>
      <w:jc w:val="center"/>
      <w:outlineLvl w:val="1"/>
    </w:pPr>
    <w:rPr>
      <w:rFonts w:ascii="Cambria" w:hAnsi="Cambria"/>
      <w:kern w:val="0"/>
      <w:sz w:val="24"/>
    </w:rPr>
  </w:style>
  <w:style w:type="paragraph" w:styleId="14">
    <w:name w:val="Normal (Web)"/>
    <w:basedOn w:val="1"/>
    <w:qFormat/>
    <w:uiPriority w:val="99"/>
    <w:pPr>
      <w:widowControl/>
      <w:spacing w:before="100" w:beforeAutospacing="1" w:after="240"/>
      <w:jc w:val="left"/>
    </w:pPr>
    <w:rPr>
      <w:rFonts w:ascii="宋体" w:hAnsi="宋体" w:cs="宋体"/>
      <w:kern w:val="0"/>
      <w:sz w:val="24"/>
    </w:rPr>
  </w:style>
  <w:style w:type="paragraph" w:styleId="15">
    <w:name w:val="Title"/>
    <w:basedOn w:val="1"/>
    <w:next w:val="1"/>
    <w:link w:val="32"/>
    <w:qFormat/>
    <w:uiPriority w:val="99"/>
    <w:pPr>
      <w:widowControl/>
      <w:spacing w:before="240" w:after="60"/>
      <w:jc w:val="center"/>
      <w:outlineLvl w:val="0"/>
    </w:pPr>
    <w:rPr>
      <w:rFonts w:ascii="Cambria" w:hAnsi="Cambria"/>
      <w:b/>
      <w:bCs/>
      <w:kern w:val="28"/>
      <w:sz w:val="32"/>
      <w:szCs w:val="32"/>
    </w:rPr>
  </w:style>
  <w:style w:type="character" w:styleId="17">
    <w:name w:val="Strong"/>
    <w:qFormat/>
    <w:uiPriority w:val="99"/>
    <w:rPr>
      <w:rFonts w:cs="Times New Roman"/>
      <w:b/>
      <w:bCs/>
    </w:rPr>
  </w:style>
  <w:style w:type="character" w:styleId="18">
    <w:name w:val="Emphasis"/>
    <w:qFormat/>
    <w:uiPriority w:val="99"/>
    <w:rPr>
      <w:rFonts w:ascii="Calibri" w:hAnsi="Calibri" w:cs="Times New Roman"/>
      <w:b/>
      <w:i/>
      <w:iCs/>
    </w:rPr>
  </w:style>
  <w:style w:type="character" w:customStyle="1" w:styleId="20">
    <w:name w:val="标题 1 Char"/>
    <w:link w:val="2"/>
    <w:qFormat/>
    <w:locked/>
    <w:uiPriority w:val="99"/>
    <w:rPr>
      <w:rFonts w:ascii="Cambria" w:hAnsi="Cambria" w:eastAsia="宋体" w:cs="Times New Roman"/>
      <w:b/>
      <w:bCs/>
      <w:kern w:val="32"/>
      <w:sz w:val="32"/>
      <w:szCs w:val="32"/>
    </w:rPr>
  </w:style>
  <w:style w:type="character" w:customStyle="1" w:styleId="21">
    <w:name w:val="标题 2 Char"/>
    <w:link w:val="3"/>
    <w:semiHidden/>
    <w:qFormat/>
    <w:locked/>
    <w:uiPriority w:val="99"/>
    <w:rPr>
      <w:rFonts w:ascii="Cambria" w:hAnsi="Cambria" w:eastAsia="宋体" w:cs="Times New Roman"/>
      <w:b/>
      <w:bCs/>
      <w:i/>
      <w:iCs/>
      <w:sz w:val="28"/>
      <w:szCs w:val="28"/>
    </w:rPr>
  </w:style>
  <w:style w:type="character" w:customStyle="1" w:styleId="22">
    <w:name w:val="标题 3 Char"/>
    <w:link w:val="4"/>
    <w:semiHidden/>
    <w:locked/>
    <w:uiPriority w:val="99"/>
    <w:rPr>
      <w:rFonts w:ascii="Cambria" w:hAnsi="Cambria" w:eastAsia="宋体" w:cs="Times New Roman"/>
      <w:b/>
      <w:bCs/>
      <w:sz w:val="26"/>
      <w:szCs w:val="26"/>
    </w:rPr>
  </w:style>
  <w:style w:type="character" w:customStyle="1" w:styleId="23">
    <w:name w:val="标题 4 Char"/>
    <w:link w:val="5"/>
    <w:semiHidden/>
    <w:qFormat/>
    <w:locked/>
    <w:uiPriority w:val="99"/>
    <w:rPr>
      <w:rFonts w:cs="Times New Roman"/>
      <w:b/>
      <w:bCs/>
      <w:sz w:val="28"/>
      <w:szCs w:val="28"/>
    </w:rPr>
  </w:style>
  <w:style w:type="character" w:customStyle="1" w:styleId="24">
    <w:name w:val="标题 5 Char"/>
    <w:link w:val="6"/>
    <w:semiHidden/>
    <w:qFormat/>
    <w:locked/>
    <w:uiPriority w:val="99"/>
    <w:rPr>
      <w:rFonts w:cs="Times New Roman"/>
      <w:b/>
      <w:bCs/>
      <w:i/>
      <w:iCs/>
      <w:sz w:val="26"/>
      <w:szCs w:val="26"/>
    </w:rPr>
  </w:style>
  <w:style w:type="character" w:customStyle="1" w:styleId="25">
    <w:name w:val="标题 6 Char"/>
    <w:link w:val="7"/>
    <w:semiHidden/>
    <w:qFormat/>
    <w:locked/>
    <w:uiPriority w:val="99"/>
    <w:rPr>
      <w:rFonts w:cs="Times New Roman"/>
      <w:b/>
      <w:bCs/>
    </w:rPr>
  </w:style>
  <w:style w:type="character" w:customStyle="1" w:styleId="26">
    <w:name w:val="标题 7 Char"/>
    <w:link w:val="8"/>
    <w:semiHidden/>
    <w:qFormat/>
    <w:locked/>
    <w:uiPriority w:val="99"/>
    <w:rPr>
      <w:rFonts w:cs="Times New Roman"/>
      <w:sz w:val="24"/>
      <w:szCs w:val="24"/>
    </w:rPr>
  </w:style>
  <w:style w:type="character" w:customStyle="1" w:styleId="27">
    <w:name w:val="标题 8 Char"/>
    <w:link w:val="9"/>
    <w:semiHidden/>
    <w:qFormat/>
    <w:locked/>
    <w:uiPriority w:val="99"/>
    <w:rPr>
      <w:rFonts w:cs="Times New Roman"/>
      <w:i/>
      <w:iCs/>
      <w:sz w:val="24"/>
      <w:szCs w:val="24"/>
    </w:rPr>
  </w:style>
  <w:style w:type="character" w:customStyle="1" w:styleId="28">
    <w:name w:val="标题 9 Char"/>
    <w:link w:val="10"/>
    <w:semiHidden/>
    <w:locked/>
    <w:uiPriority w:val="99"/>
    <w:rPr>
      <w:rFonts w:ascii="Cambria" w:hAnsi="Cambria" w:eastAsia="宋体" w:cs="Times New Roman"/>
    </w:rPr>
  </w:style>
  <w:style w:type="character" w:customStyle="1" w:styleId="29">
    <w:name w:val="页脚 Char"/>
    <w:link w:val="11"/>
    <w:locked/>
    <w:uiPriority w:val="99"/>
    <w:rPr>
      <w:rFonts w:ascii="Calibri" w:hAnsi="Calibri" w:eastAsia="宋体" w:cs="Times New Roman"/>
      <w:kern w:val="2"/>
      <w:sz w:val="18"/>
      <w:szCs w:val="18"/>
    </w:rPr>
  </w:style>
  <w:style w:type="character" w:customStyle="1" w:styleId="30">
    <w:name w:val="页眉 Char"/>
    <w:link w:val="12"/>
    <w:qFormat/>
    <w:locked/>
    <w:uiPriority w:val="99"/>
    <w:rPr>
      <w:rFonts w:ascii="Calibri" w:hAnsi="Calibri" w:eastAsia="宋体" w:cs="Times New Roman"/>
      <w:kern w:val="2"/>
      <w:sz w:val="18"/>
      <w:szCs w:val="18"/>
    </w:rPr>
  </w:style>
  <w:style w:type="character" w:customStyle="1" w:styleId="31">
    <w:name w:val="副标题 Char"/>
    <w:link w:val="13"/>
    <w:qFormat/>
    <w:locked/>
    <w:uiPriority w:val="99"/>
    <w:rPr>
      <w:rFonts w:ascii="Cambria" w:hAnsi="Cambria" w:eastAsia="宋体" w:cs="Times New Roman"/>
      <w:sz w:val="24"/>
      <w:szCs w:val="24"/>
    </w:rPr>
  </w:style>
  <w:style w:type="character" w:customStyle="1" w:styleId="32">
    <w:name w:val="标题 Char"/>
    <w:link w:val="15"/>
    <w:qFormat/>
    <w:locked/>
    <w:uiPriority w:val="99"/>
    <w:rPr>
      <w:rFonts w:ascii="Cambria" w:hAnsi="Cambria" w:eastAsia="宋体" w:cs="Times New Roman"/>
      <w:b/>
      <w:bCs/>
      <w:kern w:val="28"/>
      <w:sz w:val="32"/>
      <w:szCs w:val="32"/>
    </w:rPr>
  </w:style>
  <w:style w:type="paragraph" w:customStyle="1" w:styleId="33">
    <w:name w:val="No Spacing"/>
    <w:basedOn w:val="1"/>
    <w:qFormat/>
    <w:uiPriority w:val="99"/>
    <w:pPr>
      <w:widowControl/>
      <w:jc w:val="left"/>
    </w:pPr>
    <w:rPr>
      <w:rFonts w:ascii="Calibri" w:hAnsi="Calibri"/>
      <w:kern w:val="0"/>
      <w:sz w:val="24"/>
      <w:szCs w:val="32"/>
      <w:lang w:eastAsia="en-US"/>
    </w:rPr>
  </w:style>
  <w:style w:type="paragraph" w:customStyle="1" w:styleId="34">
    <w:name w:val="List Paragraph"/>
    <w:basedOn w:val="1"/>
    <w:qFormat/>
    <w:uiPriority w:val="99"/>
    <w:pPr>
      <w:widowControl/>
      <w:ind w:left="720"/>
      <w:contextualSpacing/>
      <w:jc w:val="left"/>
    </w:pPr>
    <w:rPr>
      <w:rFonts w:ascii="Calibri" w:hAnsi="Calibri"/>
      <w:kern w:val="0"/>
      <w:sz w:val="24"/>
      <w:lang w:eastAsia="en-US"/>
    </w:rPr>
  </w:style>
  <w:style w:type="paragraph" w:customStyle="1" w:styleId="35">
    <w:name w:val="Quote"/>
    <w:basedOn w:val="1"/>
    <w:next w:val="1"/>
    <w:link w:val="36"/>
    <w:qFormat/>
    <w:uiPriority w:val="99"/>
    <w:pPr>
      <w:widowControl/>
      <w:jc w:val="left"/>
    </w:pPr>
    <w:rPr>
      <w:rFonts w:ascii="Calibri" w:hAnsi="Calibri"/>
      <w:i/>
      <w:kern w:val="0"/>
      <w:sz w:val="24"/>
    </w:rPr>
  </w:style>
  <w:style w:type="character" w:customStyle="1" w:styleId="36">
    <w:name w:val="引用 Char"/>
    <w:link w:val="35"/>
    <w:locked/>
    <w:uiPriority w:val="99"/>
    <w:rPr>
      <w:rFonts w:cs="Times New Roman"/>
      <w:i/>
      <w:sz w:val="24"/>
      <w:szCs w:val="24"/>
    </w:rPr>
  </w:style>
  <w:style w:type="paragraph" w:customStyle="1" w:styleId="37">
    <w:name w:val="Intense Quote"/>
    <w:basedOn w:val="1"/>
    <w:next w:val="1"/>
    <w:link w:val="38"/>
    <w:qFormat/>
    <w:uiPriority w:val="99"/>
    <w:pPr>
      <w:widowControl/>
      <w:ind w:left="720" w:right="720"/>
      <w:jc w:val="left"/>
    </w:pPr>
    <w:rPr>
      <w:rFonts w:ascii="Calibri" w:hAnsi="Calibri"/>
      <w:b/>
      <w:i/>
      <w:kern w:val="0"/>
      <w:sz w:val="24"/>
      <w:szCs w:val="22"/>
    </w:rPr>
  </w:style>
  <w:style w:type="character" w:customStyle="1" w:styleId="38">
    <w:name w:val="明显引用 Char"/>
    <w:link w:val="37"/>
    <w:locked/>
    <w:uiPriority w:val="99"/>
    <w:rPr>
      <w:rFonts w:cs="Times New Roman"/>
      <w:b/>
      <w:i/>
      <w:sz w:val="24"/>
    </w:rPr>
  </w:style>
  <w:style w:type="character" w:customStyle="1" w:styleId="39">
    <w:name w:val="不明显强调1"/>
    <w:uiPriority w:val="99"/>
    <w:rPr>
      <w:i/>
      <w:color w:val="595959"/>
    </w:rPr>
  </w:style>
  <w:style w:type="character" w:customStyle="1" w:styleId="40">
    <w:name w:val="明显强调1"/>
    <w:uiPriority w:val="99"/>
    <w:rPr>
      <w:rFonts w:cs="Times New Roman"/>
      <w:b/>
      <w:i/>
      <w:sz w:val="24"/>
      <w:szCs w:val="24"/>
      <w:u w:val="single"/>
    </w:rPr>
  </w:style>
  <w:style w:type="character" w:customStyle="1" w:styleId="41">
    <w:name w:val="不明显参考1"/>
    <w:uiPriority w:val="99"/>
    <w:rPr>
      <w:rFonts w:cs="Times New Roman"/>
      <w:sz w:val="24"/>
      <w:szCs w:val="24"/>
      <w:u w:val="single"/>
    </w:rPr>
  </w:style>
  <w:style w:type="character" w:customStyle="1" w:styleId="42">
    <w:name w:val="明显参考1"/>
    <w:uiPriority w:val="99"/>
    <w:rPr>
      <w:rFonts w:cs="Times New Roman"/>
      <w:b/>
      <w:sz w:val="24"/>
      <w:u w:val="single"/>
    </w:rPr>
  </w:style>
  <w:style w:type="character" w:customStyle="1" w:styleId="43">
    <w:name w:val="书籍标题1"/>
    <w:uiPriority w:val="99"/>
    <w:rPr>
      <w:rFonts w:ascii="Cambria" w:hAnsi="Cambria" w:eastAsia="宋体" w:cs="Times New Roman"/>
      <w:b/>
      <w:i/>
      <w:sz w:val="24"/>
      <w:szCs w:val="24"/>
    </w:rPr>
  </w:style>
  <w:style w:type="paragraph" w:customStyle="1" w:styleId="44">
    <w:name w:val="TOC 标题1"/>
    <w:basedOn w:val="2"/>
    <w:next w:val="1"/>
    <w:semiHidden/>
    <w:uiPriority w:val="99"/>
    <w:pPr>
      <w:outlineLvl w:val="9"/>
    </w:pPr>
    <w:rPr>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290</Words>
  <Characters>1657</Characters>
  <Lines>13</Lines>
  <Paragraphs>3</Paragraphs>
  <TotalTime>0</TotalTime>
  <ScaleCrop>false</ScaleCrop>
  <LinksUpToDate>false</LinksUpToDate>
  <CharactersWithSpaces>1944</CharactersWithSpaces>
  <Application>WPS Office_10.1.0.5559_F1E327BC-269C-435d-A152-05C5408002CA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腊晓林</cp:lastModifiedBy>
  <cp:lastPrinted>2018-12-25T11:39:00Z</cp:lastPrinted>
  <dcterms:modified xsi:type="dcterms:W3CDTF">2019-08-24T11:13:39Z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2052-10.1.0.5559</vt:lpwstr>
  </property>
</Properties>
</file>