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2018年度新疆维吾尔自治区喀什地区交通运输局部门决算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1、贯彻执行国家、自治区有关公路交通运输行业以及涉外道路运输的方针、政策、法律、法规并组织实施和监督检查。</w:t>
      </w:r>
      <w:r>
        <w:rPr>
          <w:rFonts w:hint="eastAsia" w:ascii="仿宋_GB2312" w:eastAsia="仿宋_GB2312"/>
          <w:sz w:val="32"/>
          <w:szCs w:val="32"/>
        </w:rPr>
        <w:br w:type="textWrapping"/>
      </w:r>
      <w:r>
        <w:rPr>
          <w:rFonts w:hint="eastAsia" w:ascii="仿宋_GB2312" w:eastAsia="仿宋_GB2312"/>
          <w:sz w:val="32"/>
          <w:szCs w:val="32"/>
        </w:rPr>
        <w:t xml:space="preserve">    2、拟订地区公路交通运输建设发展规划；会同有关部门组织编制地区综合交通运输体系规划；参与拟订地区物流业发展战略与规划；制定公路交通运输战略规划以及科技、战备中长期规划和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3、负责地区县、乡公路（农村公路）以及专用公路的建设、管理和养护；负责农村公路路政综合管理，依法保护公路路产、路权；负责农村公路安保工作和车辆超限超载治理工作；指导、检查、考核管辖范围骨县道、乡道的建设、管理和养护工作。</w:t>
      </w:r>
      <w:r>
        <w:rPr>
          <w:rFonts w:hint="eastAsia" w:ascii="仿宋_GB2312" w:eastAsia="仿宋_GB2312"/>
          <w:sz w:val="32"/>
          <w:szCs w:val="32"/>
        </w:rPr>
        <w:br w:type="textWrapping"/>
      </w:r>
      <w:r>
        <w:rPr>
          <w:rFonts w:hint="eastAsia" w:ascii="仿宋_GB2312" w:eastAsia="仿宋_GB2312"/>
          <w:sz w:val="32"/>
          <w:szCs w:val="32"/>
        </w:rPr>
        <w:t xml:space="preserve">    4、负责指导地区交通运输市场和交通基础设施建设市场发展，建立完善信息、服务、信用评价考核体系；会同有关部门制定交通运输行业价格，对涉及财政、土地、价格等方面的问题提出政策建议。</w:t>
      </w:r>
      <w:r>
        <w:rPr>
          <w:rFonts w:hint="eastAsia" w:ascii="仿宋_GB2312" w:eastAsia="仿宋_GB2312"/>
          <w:sz w:val="32"/>
          <w:szCs w:val="32"/>
        </w:rPr>
        <w:br w:type="textWrapping"/>
      </w:r>
      <w:r>
        <w:rPr>
          <w:rFonts w:hint="eastAsia" w:ascii="仿宋_GB2312" w:eastAsia="仿宋_GB2312"/>
          <w:sz w:val="32"/>
          <w:szCs w:val="32"/>
        </w:rPr>
        <w:t xml:space="preserve">    1、贯彻执行国家、自治区有关公路交通运输行业以及涉外道路运输的方针、政策、法律、法规并组织实施和监督检查。</w:t>
      </w:r>
      <w:r>
        <w:rPr>
          <w:rFonts w:hint="eastAsia" w:ascii="仿宋_GB2312" w:eastAsia="仿宋_GB2312"/>
          <w:sz w:val="32"/>
          <w:szCs w:val="32"/>
        </w:rPr>
        <w:br w:type="textWrapping"/>
      </w:r>
      <w:r>
        <w:rPr>
          <w:rFonts w:hint="eastAsia" w:ascii="仿宋_GB2312" w:eastAsia="仿宋_GB2312"/>
          <w:sz w:val="32"/>
          <w:szCs w:val="32"/>
        </w:rPr>
        <w:t xml:space="preserve">    2、拟订地区公路交通运输建设发展规划；会同有关部门组织编制地区综合交通运输体系规划；参与拟订地区物流业发展战略与规划；制定公路交通运输战略规划以及科技、战备中长期规划和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3、负责地区县、乡公路（农村公路）以及专用公路的建设、管理和养护；负责农村公路路政综合管理，依法保护公路路产、路权；负责农村公路安保工作和车辆超限超载治理工作；指导、检查、考核管辖范围骨县道、乡道的建设、管理和养护工作。</w:t>
      </w:r>
      <w:r>
        <w:rPr>
          <w:rFonts w:hint="eastAsia" w:ascii="仿宋_GB2312" w:eastAsia="仿宋_GB2312"/>
          <w:sz w:val="32"/>
          <w:szCs w:val="32"/>
        </w:rPr>
        <w:br w:type="textWrapping"/>
      </w:r>
      <w:r>
        <w:rPr>
          <w:rFonts w:hint="eastAsia" w:ascii="仿宋_GB2312" w:eastAsia="仿宋_GB2312"/>
          <w:sz w:val="32"/>
          <w:szCs w:val="32"/>
        </w:rPr>
        <w:t xml:space="preserve">    4、负责指导地区交通运输市场和交通基础设施建设市场发展，建立完善信息、服务、信用评价考核体系；会同有关部门制定交通运输行业价格，对涉及财政、土地、价格等方面的问题提出政策建议。</w:t>
      </w:r>
      <w:r>
        <w:rPr>
          <w:rFonts w:hint="eastAsia" w:ascii="仿宋_GB2312" w:eastAsia="仿宋_GB2312"/>
          <w:sz w:val="32"/>
          <w:szCs w:val="32"/>
        </w:rPr>
        <w:br w:type="textWrapping"/>
      </w:r>
      <w:r>
        <w:rPr>
          <w:rFonts w:hint="eastAsia" w:ascii="仿宋_GB2312" w:eastAsia="仿宋_GB2312"/>
          <w:sz w:val="32"/>
          <w:szCs w:val="32"/>
        </w:rPr>
        <w:t xml:space="preserve">    5、承担地区道路运输市场监管职责。负责公路运输经济及技术管理；负责指导车辆维修、营运车辆综合性能检测、机动车驾驶员培训等工作的行业管理；指导城乡客运及有关设施规划和管理工作；指导出租汽车行业管理；指导交通运输行业安生和应急管理工作；指导国际道路运输管理与对交流工作；按规定组织协调地区重点物资和紧急客货运输。</w:t>
      </w:r>
      <w:r>
        <w:rPr>
          <w:rFonts w:hint="eastAsia" w:ascii="仿宋_GB2312" w:eastAsia="仿宋_GB2312"/>
          <w:sz w:val="32"/>
          <w:szCs w:val="32"/>
        </w:rPr>
        <w:br w:type="textWrapping"/>
      </w:r>
      <w:r>
        <w:rPr>
          <w:rFonts w:hint="eastAsia" w:ascii="仿宋_GB2312" w:eastAsia="仿宋_GB2312"/>
          <w:sz w:val="32"/>
          <w:szCs w:val="32"/>
        </w:rPr>
        <w:t xml:space="preserve">    6、指导地区交通运输行业体制改革，引导交通行业优化结构、协调发展；会同有关部门培育和管理交通运输市场和交通基础设施建设市场，维护地区交通运输行业的平等竞争秩序；负责对交通运输行业单位有国资产的管理和保值增值的监督；指导地区交通运输行业环境保护和节能减排工作。</w:t>
      </w:r>
      <w:r>
        <w:rPr>
          <w:rFonts w:hint="eastAsia" w:ascii="仿宋_GB2312" w:eastAsia="仿宋_GB2312"/>
          <w:sz w:val="32"/>
          <w:szCs w:val="32"/>
        </w:rPr>
        <w:br w:type="textWrapping"/>
      </w:r>
      <w:r>
        <w:rPr>
          <w:rFonts w:hint="eastAsia" w:ascii="仿宋_GB2312" w:eastAsia="仿宋_GB2312"/>
          <w:sz w:val="32"/>
          <w:szCs w:val="32"/>
        </w:rPr>
        <w:t xml:space="preserve">    7、承担地区农村公路建设市场监管职责；组织协调公路交通重点工程建设和工程质量、安全监督管理。</w:t>
      </w:r>
      <w:r>
        <w:rPr>
          <w:rFonts w:hint="eastAsia" w:ascii="仿宋_GB2312" w:eastAsia="仿宋_GB2312"/>
          <w:sz w:val="32"/>
          <w:szCs w:val="32"/>
        </w:rPr>
        <w:br w:type="textWrapping"/>
      </w:r>
      <w:r>
        <w:rPr>
          <w:rFonts w:hint="eastAsia" w:ascii="仿宋_GB2312" w:eastAsia="仿宋_GB2312"/>
          <w:sz w:val="32"/>
          <w:szCs w:val="32"/>
        </w:rPr>
        <w:t xml:space="preserve">    8、指导地区交通运输行业精神文明建设以及交通运输文化建设；指导交通运输行业职工教育和培训工作；负责公路交通运输科技管理和重大科研项目的组织实施。</w:t>
      </w:r>
      <w:r>
        <w:rPr>
          <w:rFonts w:hint="eastAsia" w:ascii="仿宋_GB2312" w:eastAsia="仿宋_GB2312"/>
          <w:sz w:val="32"/>
          <w:szCs w:val="32"/>
        </w:rPr>
        <w:br w:type="textWrapping"/>
      </w:r>
      <w:r>
        <w:rPr>
          <w:rFonts w:hint="eastAsia" w:ascii="仿宋_GB2312" w:eastAsia="仿宋_GB2312"/>
          <w:sz w:val="32"/>
          <w:szCs w:val="32"/>
        </w:rPr>
        <w:t xml:space="preserve">    9、指导地区公路交通运输行业财务、审计和统计工作。</w:t>
      </w:r>
      <w:r>
        <w:rPr>
          <w:rFonts w:hint="eastAsia" w:ascii="仿宋_GB2312" w:eastAsia="仿宋_GB2312"/>
          <w:sz w:val="32"/>
          <w:szCs w:val="32"/>
        </w:rPr>
        <w:br w:type="textWrapping"/>
      </w:r>
      <w:r>
        <w:rPr>
          <w:rFonts w:hint="eastAsia" w:ascii="仿宋_GB2312" w:eastAsia="仿宋_GB2312"/>
          <w:sz w:val="32"/>
          <w:szCs w:val="32"/>
        </w:rPr>
        <w:t xml:space="preserve">    10、指导地区交通运输行业法制宣传、行政复议、行政应诉、行政指法和监督工作。</w:t>
      </w:r>
      <w:r>
        <w:rPr>
          <w:rFonts w:hint="eastAsia" w:ascii="仿宋_GB2312" w:eastAsia="仿宋_GB2312"/>
          <w:sz w:val="32"/>
          <w:szCs w:val="32"/>
        </w:rPr>
        <w:br w:type="textWrapping"/>
      </w:r>
      <w:r>
        <w:rPr>
          <w:rFonts w:hint="eastAsia" w:ascii="仿宋_GB2312" w:eastAsia="仿宋_GB2312"/>
          <w:sz w:val="32"/>
          <w:szCs w:val="32"/>
        </w:rPr>
        <w:t xml:space="preserve">    11、负责地区国防交通战备工作。承办地委、行署交办的其他工作。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新疆维吾尔自治区喀什地区交通运输局</w:t>
      </w:r>
      <w:r>
        <w:rPr>
          <w:rFonts w:hint="eastAsia" w:ascii="仿宋_GB2312" w:eastAsia="仿宋_GB2312"/>
          <w:sz w:val="32"/>
          <w:szCs w:val="32"/>
        </w:rPr>
        <w:t>部门决算包括：</w:t>
      </w:r>
      <w:r>
        <w:rPr>
          <w:rFonts w:ascii="仿宋_GB2312" w:eastAsia="仿宋_GB2312"/>
          <w:sz w:val="32"/>
          <w:szCs w:val="32"/>
        </w:rPr>
        <w:t>新疆维吾尔自治区喀什地区交通运输局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新疆维吾尔自治区喀什地区交通运输局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新疆维吾尔自治区喀什地区交通运输局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1,424.41</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，与上年相比，增加520.33万元，增长57.55%，增加的主要原因是：</w:t>
      </w:r>
      <w:r>
        <w:rPr>
          <w:rFonts w:hint="eastAsia" w:ascii="仿宋_GB2312" w:eastAsia="仿宋_GB2312"/>
          <w:color w:val="000000" w:themeColor="text1"/>
          <w:sz w:val="32"/>
          <w:szCs w:val="32"/>
        </w:rPr>
        <w:t>工作经费增加，新增人员5人，人员工资晋升增资；</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1,424.41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，与上年相比，增加520.33万元，增长57.55%，增加的主要原因是：</w:t>
      </w:r>
      <w:r>
        <w:rPr>
          <w:rFonts w:hint="eastAsia" w:ascii="仿宋_GB2312" w:eastAsia="仿宋_GB2312"/>
          <w:color w:val="000000" w:themeColor="text1"/>
          <w:sz w:val="32"/>
          <w:szCs w:val="32"/>
        </w:rPr>
        <w:t>工作经费增加，新增人员工资晋升增资</w:t>
      </w:r>
      <w:r>
        <w:rPr>
          <w:rFonts w:hint="eastAsia" w:ascii="仿宋_GB2312" w:eastAsia="仿宋_GB2312"/>
          <w:color w:val="000000" w:themeColor="text1"/>
          <w:sz w:val="32"/>
          <w:szCs w:val="32"/>
          <w:lang w:eastAsia="zh-CN"/>
        </w:rPr>
        <w:t>和新增项目经费</w:t>
      </w:r>
      <w:r>
        <w:rPr>
          <w:rFonts w:hint="eastAsia" w:ascii="仿宋_GB2312" w:eastAsia="仿宋_GB2312"/>
          <w:color w:val="000000" w:themeColor="text1"/>
          <w:sz w:val="32"/>
          <w:szCs w:val="32"/>
          <w:lang w:val="en-US" w:eastAsia="zh-CN"/>
        </w:rPr>
        <w:t>389万元</w:t>
      </w:r>
      <w:r>
        <w:rPr>
          <w:rFonts w:hint="eastAsia" w:ascii="仿宋_GB2312" w:eastAsia="仿宋_GB2312"/>
          <w:color w:val="000000" w:themeColor="text1"/>
          <w:sz w:val="32"/>
          <w:szCs w:val="32"/>
        </w:rPr>
        <w:t>；</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1,424.41</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1,424.41</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况：本年收入年初预算数1,007.98万元</w:t>
      </w:r>
      <w:r>
        <w:rPr>
          <w:rFonts w:hint="eastAsia" w:ascii="仿宋_GB2312" w:eastAsia="仿宋_GB2312"/>
          <w:sz w:val="32"/>
          <w:szCs w:val="32"/>
        </w:rPr>
        <w:t>，决算数1,424.41万元</w:t>
      </w:r>
      <w:r>
        <w:rPr>
          <w:rFonts w:ascii="仿宋_GB2312" w:eastAsia="仿宋_GB2312"/>
          <w:sz w:val="32"/>
          <w:szCs w:val="32"/>
        </w:rPr>
        <w:t>，预决算差异率41.31%，差异主要原因是:工作经费增加，新增人员5人，人员工资增资。</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1,424.41</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989.72</w:t>
      </w:r>
      <w:r>
        <w:rPr>
          <w:rFonts w:hint="eastAsia" w:ascii="仿宋_GB2312" w:eastAsia="仿宋_GB2312"/>
          <w:color w:val="000000" w:themeColor="text1"/>
          <w:sz w:val="32"/>
          <w:szCs w:val="32"/>
        </w:rPr>
        <w:t>万元，占</w:t>
      </w:r>
      <w:r>
        <w:rPr>
          <w:rFonts w:hint="eastAsia" w:ascii="仿宋_GB2312" w:eastAsia="仿宋_GB2312"/>
          <w:sz w:val="32"/>
          <w:szCs w:val="32"/>
        </w:rPr>
        <w:t>69.48%</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434.69</w:t>
      </w:r>
      <w:r>
        <w:rPr>
          <w:rFonts w:hint="eastAsia" w:ascii="仿宋_GB2312" w:eastAsia="仿宋_GB2312"/>
          <w:color w:val="000000" w:themeColor="text1"/>
          <w:sz w:val="32"/>
          <w:szCs w:val="32"/>
        </w:rPr>
        <w:t>万元，占</w:t>
      </w:r>
      <w:r>
        <w:rPr>
          <w:rFonts w:hint="eastAsia" w:ascii="仿宋_GB2312" w:eastAsia="仿宋_GB2312"/>
          <w:sz w:val="32"/>
          <w:szCs w:val="32"/>
        </w:rPr>
        <w:t>30.52%</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与年初预算数相比情况：本年支出年初预算数34,124.23万元，</w:t>
      </w:r>
      <w:r>
        <w:rPr>
          <w:rFonts w:hint="eastAsia" w:ascii="仿宋_GB2312" w:eastAsia="仿宋_GB2312"/>
          <w:sz w:val="32"/>
          <w:szCs w:val="32"/>
        </w:rPr>
        <w:t>决算数1,424.41万元</w:t>
      </w:r>
      <w:r>
        <w:rPr>
          <w:rFonts w:ascii="仿宋_GB2312" w:eastAsia="仿宋_GB2312"/>
          <w:sz w:val="32"/>
          <w:szCs w:val="32"/>
        </w:rPr>
        <w:t>，预决算差异率-95.83%，差异主要原因是:</w:t>
      </w:r>
      <w:r>
        <w:rPr>
          <w:rFonts w:hint="eastAsia" w:ascii="仿宋_GB2312" w:eastAsia="仿宋_GB2312"/>
          <w:sz w:val="32"/>
          <w:szCs w:val="32"/>
          <w:lang w:eastAsia="zh-CN"/>
        </w:rPr>
        <w:t>年初填列预算时包含项目经费，所以年初预算数比决算数据大</w:t>
      </w:r>
      <w:r>
        <w:rPr>
          <w:rFonts w:ascii="仿宋_GB2312" w:eastAsia="仿宋_GB2312"/>
          <w:sz w:val="32"/>
          <w:szCs w:val="32"/>
        </w:rPr>
        <w:t>。</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1,424.41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，与上年相比，增加579.53万元，增长68.59%，增加的主要原因是：工作经费增加，新增人员5人，人员工资晋升增资。</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1,424.41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，与上年相比，增加579.53万元，增长68.59%，增加的主要原因是：</w:t>
      </w:r>
      <w:r>
        <w:rPr>
          <w:rFonts w:ascii="仿宋_GB2312" w:eastAsia="仿宋_GB2312"/>
          <w:sz w:val="32"/>
          <w:szCs w:val="32"/>
        </w:rPr>
        <w:t>工作经费增加，新增人员5人，人员工资晋升增资。</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989.72</w:t>
      </w:r>
      <w:r>
        <w:rPr>
          <w:rFonts w:hint="eastAsia" w:ascii="仿宋_GB2312" w:eastAsia="仿宋_GB2312"/>
          <w:color w:val="000000" w:themeColor="text1"/>
          <w:sz w:val="32"/>
          <w:szCs w:val="32"/>
        </w:rPr>
        <w:t>万元，项目支出</w:t>
      </w:r>
      <w:r>
        <w:rPr>
          <w:rFonts w:hint="eastAsia" w:ascii="仿宋_GB2312" w:eastAsia="仿宋_GB2312"/>
          <w:sz w:val="32"/>
          <w:szCs w:val="32"/>
        </w:rPr>
        <w:t>434.69</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，与上年相比，增加0万元，增长0%，主要原因是：新增5人经费，工作经费增加，正常增资调资，增加农村公路小修养护资金及工作经费。</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1,007.98</w:t>
      </w:r>
      <w:r>
        <w:rPr>
          <w:rFonts w:hint="eastAsia" w:ascii="仿宋_GB2312" w:eastAsia="仿宋_GB2312"/>
          <w:color w:val="000000" w:themeColor="text1"/>
          <w:sz w:val="32"/>
          <w:szCs w:val="32"/>
        </w:rPr>
        <w:t>万元，决算数</w:t>
      </w:r>
      <w:r>
        <w:rPr>
          <w:rFonts w:hint="eastAsia" w:ascii="仿宋_GB2312" w:eastAsia="仿宋_GB2312"/>
          <w:sz w:val="32"/>
          <w:szCs w:val="32"/>
        </w:rPr>
        <w:t>1,424.41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，预决算差异率41.31%，差异主要原因是:工作经费增加，新增人员5人，人员工资增资，农村公路小修养护费项目。</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1,007.98</w:t>
      </w:r>
      <w:r>
        <w:rPr>
          <w:rFonts w:hint="eastAsia" w:ascii="仿宋_GB2312" w:eastAsia="仿宋_GB2312"/>
          <w:color w:val="000000" w:themeColor="text1"/>
          <w:sz w:val="32"/>
          <w:szCs w:val="32"/>
        </w:rPr>
        <w:t>万元，决算数</w:t>
      </w:r>
      <w:r>
        <w:rPr>
          <w:rFonts w:hint="eastAsia" w:ascii="仿宋_GB2312" w:eastAsia="仿宋_GB2312"/>
          <w:sz w:val="32"/>
          <w:szCs w:val="32"/>
        </w:rPr>
        <w:t>1,424.41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，预决算差异率41.31%，差异主要原因是:增加工作经费，新增人员工资，工资正常晋升及农村公路小修养护费项目。</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1,424.41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，与上年相比，增加579.53万元，增长68.59%，增加的主要原因是：工作经费增加，新增人员5人，人员工资增资。</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1,424.41</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，与上年相比，增加579.53万元，增长68.59%，增加的主要原因是：工作经费增加，农村公路小修养护费项目增加。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住房保障支出53.41万元,交通运输支出1,225.61万元,教育支出12.74万元,其他支出52.81万元,社会保障和就业支出79.84万元。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工资福利支出779.57万元,商品和服务支出22.79万元,对个人和家庭的补助233.05万元,资本性支出389万元。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1,007.98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1,424.41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，预决算差异率41.31%，差异主要原因是:工作经费增加，新增人员5人，人员工资增资。</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1,007.98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1,424.41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，预决算差异率41.31%，差异主要原因是:工作经费增加，新增人员5人，人员工资增资。</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5.4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0%，与上年相比，增加0万元，增长0%，主要原因是：无因公出国出（境）费；</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5.4</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100%，与上年相比，增加0万元，增长0%，主要原因是：无公务用车购置及运行维护费；</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0%，与上年相比，增加0万元，增长0%，主要原因是：无公务接待费用。</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新疆维吾尔自治区喀什地区交通运输局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无公务接待费。</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5.4</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5.4</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车辆保险费及维修、加油费用</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8</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新疆维吾尔自治区喀什地区交通运输局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5.4</w:t>
      </w:r>
      <w:r>
        <w:rPr>
          <w:rFonts w:hint="eastAsia" w:ascii="仿宋_GB2312" w:eastAsia="仿宋_GB2312"/>
          <w:color w:val="000000" w:themeColor="text1"/>
          <w:sz w:val="32"/>
          <w:szCs w:val="32"/>
        </w:rPr>
        <w:t>万元，决算数5.4万元</w:t>
      </w:r>
      <w:r>
        <w:rPr>
          <w:rFonts w:ascii="仿宋_GB2312" w:eastAsia="仿宋_GB2312"/>
          <w:color w:val="000000" w:themeColor="text1"/>
          <w:sz w:val="32"/>
          <w:szCs w:val="32"/>
        </w:rPr>
        <w:t>，预决算差异率0%，差异主要原因是:严格按照预算执行。</w:t>
      </w:r>
      <w:bookmarkEnd w:id="80"/>
      <w:bookmarkStart w:id="81" w:name="OLE_LINK86"/>
      <w:bookmarkStart w:id="82"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5.4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无变化。</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2018年度新疆维吾尔自治区喀什地区交通运输局机关运行经费支出22.79万元，与上年相比，减少60.58万元，下降72.66%，减少的主要原因是：压缩机关运行经费。</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17.59</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15.74</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1.86</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8</w:t>
      </w:r>
      <w:r>
        <w:rPr>
          <w:rFonts w:hint="eastAsia" w:ascii="仿宋_GB2312" w:eastAsia="仿宋_GB2312"/>
          <w:color w:val="000000" w:themeColor="text1"/>
          <w:sz w:val="32"/>
          <w:szCs w:val="32"/>
        </w:rPr>
        <w:t>辆，价值</w:t>
      </w:r>
      <w:r>
        <w:rPr>
          <w:rFonts w:hint="eastAsia" w:ascii="仿宋_GB2312" w:eastAsia="仿宋_GB2312"/>
          <w:sz w:val="32"/>
          <w:szCs w:val="32"/>
        </w:rPr>
        <w:t>203.78</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8</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单位公务用车；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rPr>
        <w:t>2018年度，本部门单位预算绩效自评情况：自述有关预算绩效管理和绩效自评开展情况。</w:t>
      </w:r>
    </w:p>
    <w:p>
      <w:pPr>
        <w:spacing w:line="540" w:lineRule="exact"/>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rPr>
        <w:t>1、新疆维吾尔自治区喀什地区交通运输局工作经费项目绩效自评综述：根据年初设定的绩效目标，该项目绩效自评得分</w:t>
      </w:r>
      <w:bookmarkStart w:id="92" w:name="_GoBack"/>
      <w:bookmarkEnd w:id="92"/>
      <w:r>
        <w:rPr>
          <w:rFonts w:hint="eastAsia" w:ascii="仿宋_GB2312" w:eastAsia="仿宋_GB2312"/>
          <w:color w:val="000000" w:themeColor="text1"/>
          <w:sz w:val="32"/>
          <w:szCs w:val="32"/>
        </w:rPr>
        <w:t>为8</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分</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项目全年预算数为</w:t>
      </w:r>
      <w:r>
        <w:rPr>
          <w:rFonts w:hint="eastAsia" w:ascii="仿宋_GB2312" w:eastAsia="仿宋_GB2312"/>
          <w:color w:val="000000" w:themeColor="text1"/>
          <w:sz w:val="32"/>
          <w:szCs w:val="32"/>
          <w:lang w:val="en-US" w:eastAsia="zh-CN"/>
        </w:rPr>
        <w:t>45.69</w:t>
      </w:r>
      <w:r>
        <w:rPr>
          <w:rFonts w:hint="eastAsia" w:ascii="仿宋_GB2312" w:eastAsia="仿宋_GB2312"/>
          <w:color w:val="000000" w:themeColor="text1"/>
          <w:sz w:val="32"/>
          <w:szCs w:val="32"/>
        </w:rPr>
        <w:t>万元，执行数为</w:t>
      </w:r>
      <w:r>
        <w:rPr>
          <w:rFonts w:hint="eastAsia" w:ascii="仿宋_GB2312" w:eastAsia="仿宋_GB2312"/>
          <w:color w:val="000000" w:themeColor="text1"/>
          <w:sz w:val="32"/>
          <w:szCs w:val="32"/>
          <w:lang w:val="en-US" w:eastAsia="zh-CN"/>
        </w:rPr>
        <w:t>45.69</w:t>
      </w:r>
      <w:r>
        <w:rPr>
          <w:rFonts w:hint="eastAsia" w:ascii="仿宋_GB2312" w:eastAsia="仿宋_GB2312"/>
          <w:color w:val="000000" w:themeColor="text1"/>
          <w:sz w:val="32"/>
          <w:szCs w:val="32"/>
        </w:rPr>
        <w:t>万元，完成预算的</w:t>
      </w:r>
      <w:r>
        <w:rPr>
          <w:rFonts w:hint="eastAsia" w:ascii="仿宋_GB2312" w:eastAsia="仿宋_GB2312"/>
          <w:color w:val="000000" w:themeColor="text1"/>
          <w:sz w:val="32"/>
          <w:szCs w:val="32"/>
          <w:lang w:val="en-US" w:eastAsia="zh-CN"/>
        </w:rPr>
        <w:t>100</w:t>
      </w:r>
      <w:r>
        <w:rPr>
          <w:rFonts w:hint="eastAsia" w:ascii="仿宋_GB2312" w:eastAsia="仿宋_GB2312"/>
          <w:color w:val="000000" w:themeColor="text1"/>
          <w:sz w:val="32"/>
          <w:szCs w:val="32"/>
        </w:rPr>
        <w:t>%。主要产出和效果：经济性：解决群众最关心、最直接、最现实的利益问题为导向，以千方百计解决群众生产生活中的实际困难。效率性：坚持用心、用情服务群众，把群众当亲人，从群众最关心、最迫切需要解决的实际困难和问题入手，把党和政府的关怀送到困难群众的心坎上。效益性：喀什地区交通运输局驻伽师县米夏乡11村、14村，卧里托格拉克镇28村工作人员，认真贯彻落实自治区党委、地委、市委、乡党委的部署要求，按照“一年稳住、二年巩固、三年基本常态、五年全面和谐”的工作规划，突出做好维护和谐、脱贫攻坚、建强组织、作风建设，不断把工作推向深入，切实为群众办实事、办好事。</w:t>
      </w:r>
    </w:p>
    <w:p>
      <w:pPr>
        <w:spacing w:line="540" w:lineRule="exact"/>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rPr>
        <w:t>本项目不存在问题；2018年本项目绩效目标全部达成，不存在未完成原因分析。下一步改进措施： 无。</w:t>
      </w:r>
    </w:p>
    <w:p>
      <w:pPr>
        <w:spacing w:line="540" w:lineRule="exact"/>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rPr>
        <w:t>本项目支出不存在截留、挤占、挪用等情况。项目实施过程中，遵守相关法律法规和业务管理规定，项目资料齐全并及时归档。</w:t>
      </w:r>
    </w:p>
    <w:p>
      <w:pPr>
        <w:spacing w:line="540" w:lineRule="exact"/>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2、新疆维吾尔自治区喀什地区交通运输局</w:t>
      </w:r>
      <w:r>
        <w:rPr>
          <w:rFonts w:hint="eastAsia" w:ascii="仿宋_GB2312" w:eastAsia="仿宋_GB2312"/>
          <w:color w:val="000000" w:themeColor="text1"/>
          <w:sz w:val="32"/>
          <w:szCs w:val="32"/>
        </w:rPr>
        <w:t>自治区2017年农村公路养护补助项目根据年初设定的绩效目标，该项目绩效自评得分为8</w:t>
      </w:r>
      <w:r>
        <w:rPr>
          <w:rFonts w:hint="eastAsia" w:ascii="仿宋_GB2312" w:eastAsia="仿宋_GB2312"/>
          <w:color w:val="000000" w:themeColor="text1"/>
          <w:sz w:val="32"/>
          <w:szCs w:val="32"/>
          <w:lang w:val="en-US" w:eastAsia="zh-CN"/>
        </w:rPr>
        <w:t>3</w:t>
      </w:r>
      <w:r>
        <w:rPr>
          <w:rFonts w:hint="eastAsia" w:ascii="仿宋_GB2312" w:eastAsia="仿宋_GB2312"/>
          <w:color w:val="000000" w:themeColor="text1"/>
          <w:sz w:val="32"/>
          <w:szCs w:val="32"/>
        </w:rPr>
        <w:t>分</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项目全年预算数为</w:t>
      </w:r>
      <w:r>
        <w:rPr>
          <w:rFonts w:hint="eastAsia" w:ascii="仿宋_GB2312" w:eastAsia="仿宋_GB2312"/>
          <w:color w:val="000000" w:themeColor="text1"/>
          <w:sz w:val="32"/>
          <w:szCs w:val="32"/>
          <w:lang w:val="en-US" w:eastAsia="zh-CN"/>
        </w:rPr>
        <w:t>389</w:t>
      </w:r>
      <w:r>
        <w:rPr>
          <w:rFonts w:hint="eastAsia" w:ascii="仿宋_GB2312" w:eastAsia="仿宋_GB2312"/>
          <w:color w:val="000000" w:themeColor="text1"/>
          <w:sz w:val="32"/>
          <w:szCs w:val="32"/>
        </w:rPr>
        <w:t>万元，执行数为</w:t>
      </w:r>
      <w:r>
        <w:rPr>
          <w:rFonts w:hint="eastAsia" w:ascii="仿宋_GB2312" w:eastAsia="仿宋_GB2312"/>
          <w:color w:val="000000" w:themeColor="text1"/>
          <w:sz w:val="32"/>
          <w:szCs w:val="32"/>
          <w:lang w:val="en-US" w:eastAsia="zh-CN"/>
        </w:rPr>
        <w:t>389</w:t>
      </w:r>
      <w:r>
        <w:rPr>
          <w:rFonts w:hint="eastAsia" w:ascii="仿宋_GB2312" w:eastAsia="仿宋_GB2312"/>
          <w:color w:val="000000" w:themeColor="text1"/>
          <w:sz w:val="32"/>
          <w:szCs w:val="32"/>
        </w:rPr>
        <w:t>万元，完成预算的</w:t>
      </w:r>
      <w:r>
        <w:rPr>
          <w:rFonts w:hint="eastAsia" w:ascii="仿宋_GB2312" w:eastAsia="仿宋_GB2312"/>
          <w:color w:val="000000" w:themeColor="text1"/>
          <w:sz w:val="32"/>
          <w:szCs w:val="32"/>
          <w:lang w:val="en-US" w:eastAsia="zh-CN"/>
        </w:rPr>
        <w:t>100</w:t>
      </w:r>
      <w:r>
        <w:rPr>
          <w:rFonts w:hint="eastAsia" w:ascii="仿宋_GB2312" w:eastAsia="仿宋_GB2312"/>
          <w:color w:val="000000" w:themeColor="text1"/>
          <w:sz w:val="32"/>
          <w:szCs w:val="32"/>
        </w:rPr>
        <w:t>%</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经济性：对项目受益区域经济起到了促进作用</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 xml:space="preserve">效率性： </w:t>
      </w:r>
      <w:r>
        <w:rPr>
          <w:rFonts w:hint="eastAsia" w:ascii="仿宋_GB2312" w:eastAsia="仿宋_GB2312"/>
          <w:color w:val="000000" w:themeColor="text1"/>
          <w:sz w:val="32"/>
          <w:szCs w:val="32"/>
          <w:lang w:eastAsia="zh-CN"/>
        </w:rPr>
        <w:t>资金</w:t>
      </w:r>
      <w:r>
        <w:rPr>
          <w:rFonts w:hint="eastAsia" w:ascii="仿宋_GB2312" w:eastAsia="仿宋_GB2312"/>
          <w:color w:val="000000" w:themeColor="text1"/>
          <w:sz w:val="32"/>
          <w:szCs w:val="32"/>
        </w:rPr>
        <w:t>按照</w:t>
      </w:r>
      <w:r>
        <w:rPr>
          <w:rFonts w:hint="eastAsia" w:ascii="仿宋_GB2312" w:eastAsia="仿宋_GB2312"/>
          <w:color w:val="000000" w:themeColor="text1"/>
          <w:sz w:val="32"/>
          <w:szCs w:val="32"/>
          <w:lang w:eastAsia="zh-CN"/>
        </w:rPr>
        <w:t>下拨</w:t>
      </w:r>
      <w:r>
        <w:rPr>
          <w:rFonts w:hint="eastAsia" w:ascii="仿宋_GB2312" w:eastAsia="仿宋_GB2312"/>
          <w:color w:val="000000" w:themeColor="text1"/>
          <w:sz w:val="32"/>
          <w:szCs w:val="32"/>
        </w:rPr>
        <w:t>进度完成，资金拨付完成率100%</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效益性：项目受益区域公路安全水平得到了提升，群众日常出行满意度不断加强。</w:t>
      </w:r>
    </w:p>
    <w:p>
      <w:pPr>
        <w:spacing w:line="540" w:lineRule="exact"/>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rPr>
        <w:t>自治区2017年农村公路养护补助项目涉及12县市，保证项目资金保质保量完成拨付，对各县市经济发展起到促进作用，公路安全水平提升，农村公路养护保证公路使用寿命，群众满意度不断提高。项目资金 389万元由本级下拨到12县市交通运输局用与农村公路养护。本项目支出符合喀什地区交通运输局相关在财务管理制度，包括会计人员集中核算工作管理制度、财务收支审批制度、财务稽核制度、财务牵制制度、会计主管岗位职责等制度规定，资金的拨付有完整的审批程序和手续，不存在截留、挤占、挪用等情况。项目的实施遵守相关法律法规和业务管理规定，项目资料齐全并及时归档。</w:t>
      </w:r>
    </w:p>
    <w:p>
      <w:pPr>
        <w:spacing w:line="540" w:lineRule="exact"/>
        <w:ind w:firstLine="640" w:firstLineChars="200"/>
        <w:rPr>
          <w:rFonts w:hint="eastAsia" w:ascii="仿宋_GB2312" w:eastAsia="仿宋_GB2312"/>
          <w:color w:val="000000" w:themeColor="text1"/>
          <w:sz w:val="32"/>
          <w:szCs w:val="32"/>
        </w:rPr>
      </w:pPr>
      <w:r>
        <w:rPr>
          <w:rFonts w:hint="eastAsia" w:ascii="仿宋_GB2312" w:eastAsia="仿宋_GB2312"/>
          <w:color w:val="000000" w:themeColor="text1"/>
          <w:sz w:val="32"/>
          <w:szCs w:val="32"/>
        </w:rPr>
        <w:t>本项目不存在问题；2018年本项目绩效目标全部达成，不存在未完成原因分析。下一步改进措施： 无。</w:t>
      </w:r>
    </w:p>
    <w:p>
      <w:pPr>
        <w:spacing w:line="540" w:lineRule="exact"/>
        <w:ind w:firstLine="640" w:firstLineChars="200"/>
        <w:rPr>
          <w:rFonts w:hint="eastAsia" w:ascii="仿宋_GB2312" w:eastAsia="仿宋_GB2312"/>
          <w:color w:val="000000" w:themeColor="text1"/>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205（类）02（款）01（项）指：学前教育。229（类）99（款）01（项）指：其他支出。214（类）01（款）99（项）指：其他公路水路运输支出。208（类）05（款）05（项）指：机关事业单位基本养老保险缴费支出。214（类）01（款）01（项）指：行政运行。</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11"/>
        <w:rFonts w:ascii="宋体" w:hAnsi="宋体" w:eastAsia="宋体"/>
        <w:sz w:val="28"/>
      </w:rPr>
    </w:pPr>
    <w:r>
      <w:rPr>
        <w:rStyle w:val="11"/>
        <w:rFonts w:ascii="宋体" w:hAnsi="宋体" w:eastAsia="宋体"/>
        <w:sz w:val="28"/>
      </w:rPr>
      <w:fldChar w:fldCharType="begin"/>
    </w:r>
    <w:r>
      <w:rPr>
        <w:rStyle w:val="11"/>
        <w:rFonts w:ascii="宋体" w:hAnsi="宋体" w:eastAsia="宋体"/>
        <w:sz w:val="28"/>
      </w:rPr>
      <w:instrText xml:space="preserve"> PAGE </w:instrText>
    </w:r>
    <w:r>
      <w:rPr>
        <w:rStyle w:val="11"/>
        <w:rFonts w:ascii="宋体" w:hAnsi="宋体" w:eastAsia="宋体"/>
        <w:sz w:val="28"/>
      </w:rPr>
      <w:fldChar w:fldCharType="separate"/>
    </w:r>
    <w:r>
      <w:rPr>
        <w:rStyle w:val="11"/>
        <w:rFonts w:ascii="宋体" w:hAnsi="宋体" w:eastAsia="宋体"/>
        <w:sz w:val="28"/>
      </w:rPr>
      <w:t>- 10 -</w:t>
    </w:r>
    <w:r>
      <w:rPr>
        <w:rStyle w:val="11"/>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11"/>
        <w:rFonts w:ascii="宋体" w:hAnsi="宋体" w:eastAsia="宋体"/>
        <w:sz w:val="28"/>
        <w:szCs w:val="28"/>
      </w:rPr>
    </w:pPr>
    <w:r>
      <w:rPr>
        <w:rStyle w:val="11"/>
        <w:rFonts w:ascii="宋体" w:hAnsi="宋体" w:eastAsia="宋体"/>
        <w:sz w:val="28"/>
        <w:szCs w:val="28"/>
      </w:rPr>
      <w:fldChar w:fldCharType="begin"/>
    </w:r>
    <w:r>
      <w:rPr>
        <w:rStyle w:val="11"/>
        <w:rFonts w:ascii="宋体" w:hAnsi="宋体" w:eastAsia="宋体"/>
        <w:sz w:val="28"/>
        <w:szCs w:val="28"/>
      </w:rPr>
      <w:instrText xml:space="preserve">PAGE  </w:instrText>
    </w:r>
    <w:r>
      <w:rPr>
        <w:rStyle w:val="11"/>
        <w:rFonts w:ascii="宋体" w:hAnsi="宋体" w:eastAsia="宋体"/>
        <w:sz w:val="28"/>
        <w:szCs w:val="28"/>
      </w:rPr>
      <w:fldChar w:fldCharType="separate"/>
    </w:r>
    <w:r>
      <w:rPr>
        <w:rStyle w:val="11"/>
        <w:rFonts w:ascii="宋体" w:hAnsi="宋体" w:eastAsia="宋体"/>
        <w:sz w:val="28"/>
        <w:szCs w:val="28"/>
      </w:rPr>
      <w:t>- 12 -</w:t>
    </w:r>
    <w:r>
      <w:rPr>
        <w:rStyle w:val="11"/>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Sw5gsEZuLvsxZv8vX+9JEsIXqqI=" w:salt="dshllri0O7OwUlDcfP3Uf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E4389"/>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43C4"/>
    <w:rsid w:val="00486DB6"/>
    <w:rsid w:val="00487D16"/>
    <w:rsid w:val="004957F5"/>
    <w:rsid w:val="004962A0"/>
    <w:rsid w:val="004976A5"/>
    <w:rsid w:val="004A0034"/>
    <w:rsid w:val="004A02D4"/>
    <w:rsid w:val="004A0690"/>
    <w:rsid w:val="004A2CA4"/>
    <w:rsid w:val="004A63B1"/>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1BC7"/>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618"/>
    <w:rsid w:val="005E4E6B"/>
    <w:rsid w:val="005E6995"/>
    <w:rsid w:val="005E7C64"/>
    <w:rsid w:val="005F2A5A"/>
    <w:rsid w:val="005F2AEA"/>
    <w:rsid w:val="005F4FFE"/>
    <w:rsid w:val="00602C6F"/>
    <w:rsid w:val="00604ECA"/>
    <w:rsid w:val="006069FD"/>
    <w:rsid w:val="00610EE1"/>
    <w:rsid w:val="006160F9"/>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5670"/>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74A94"/>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AF7683"/>
    <w:rsid w:val="00B00C16"/>
    <w:rsid w:val="00B03B3E"/>
    <w:rsid w:val="00B046A4"/>
    <w:rsid w:val="00B048F7"/>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A5923"/>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339D"/>
    <w:rsid w:val="00D74595"/>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1DAB"/>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0FB4"/>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0966CF"/>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2402C7"/>
    <w:rsid w:val="22A236F5"/>
    <w:rsid w:val="23995975"/>
    <w:rsid w:val="2432220E"/>
    <w:rsid w:val="248303BA"/>
    <w:rsid w:val="24837E47"/>
    <w:rsid w:val="252E01AA"/>
    <w:rsid w:val="2680023E"/>
    <w:rsid w:val="29680352"/>
    <w:rsid w:val="2A020F75"/>
    <w:rsid w:val="2B007AEE"/>
    <w:rsid w:val="2BC14C56"/>
    <w:rsid w:val="2C1B026F"/>
    <w:rsid w:val="2CC61F55"/>
    <w:rsid w:val="2CDC6948"/>
    <w:rsid w:val="2EF7452F"/>
    <w:rsid w:val="2F1D13B4"/>
    <w:rsid w:val="2FAA3DA6"/>
    <w:rsid w:val="30682E1F"/>
    <w:rsid w:val="30E210D2"/>
    <w:rsid w:val="311371D6"/>
    <w:rsid w:val="31EB64C9"/>
    <w:rsid w:val="336D0D6F"/>
    <w:rsid w:val="348D563B"/>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9E27A2"/>
    <w:rsid w:val="50E65530"/>
    <w:rsid w:val="51457139"/>
    <w:rsid w:val="51574DBD"/>
    <w:rsid w:val="51EC1DA8"/>
    <w:rsid w:val="52FC5524"/>
    <w:rsid w:val="532D7A17"/>
    <w:rsid w:val="54AF4562"/>
    <w:rsid w:val="54C9674B"/>
    <w:rsid w:val="556318EA"/>
    <w:rsid w:val="55A60AA1"/>
    <w:rsid w:val="56451615"/>
    <w:rsid w:val="57FC5774"/>
    <w:rsid w:val="59B332C9"/>
    <w:rsid w:val="5A44758A"/>
    <w:rsid w:val="5B644475"/>
    <w:rsid w:val="5BEC4BB3"/>
    <w:rsid w:val="5C070B55"/>
    <w:rsid w:val="5CB96DCE"/>
    <w:rsid w:val="5CE61580"/>
    <w:rsid w:val="5D175666"/>
    <w:rsid w:val="5D556A3C"/>
    <w:rsid w:val="5D7B25C9"/>
    <w:rsid w:val="5ECB44B4"/>
    <w:rsid w:val="5EE2043C"/>
    <w:rsid w:val="602D2E37"/>
    <w:rsid w:val="60F33012"/>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6010C3"/>
    <w:rsid w:val="6EA80098"/>
    <w:rsid w:val="6F8D70FF"/>
    <w:rsid w:val="6F985313"/>
    <w:rsid w:val="6FFE5011"/>
    <w:rsid w:val="713F5A86"/>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widowControl/>
      <w:spacing w:before="240" w:after="60"/>
      <w:jc w:val="left"/>
      <w:outlineLvl w:val="2"/>
    </w:pPr>
    <w:rPr>
      <w:rFonts w:ascii="Cambria" w:hAnsi="Cambria"/>
      <w:b/>
      <w:bCs/>
      <w:sz w:val="26"/>
      <w:szCs w:val="26"/>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14"/>
    <w:semiHidden/>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3"/>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5"/>
    <w:semiHidden/>
    <w:unhideWhenUsed/>
    <w:qFormat/>
    <w:uiPriority w:val="99"/>
    <w:rPr>
      <w:b/>
      <w:bCs/>
    </w:rPr>
  </w:style>
  <w:style w:type="character" w:styleId="10">
    <w:name w:val="Strong"/>
    <w:basedOn w:val="9"/>
    <w:qFormat/>
    <w:uiPriority w:val="0"/>
    <w:rPr>
      <w:b/>
      <w:bCs/>
    </w:rPr>
  </w:style>
  <w:style w:type="character" w:styleId="11">
    <w:name w:val="page number"/>
    <w:basedOn w:val="9"/>
    <w:qFormat/>
    <w:uiPriority w:val="0"/>
  </w:style>
  <w:style w:type="character" w:styleId="12">
    <w:name w:val="annotation reference"/>
    <w:basedOn w:val="9"/>
    <w:semiHidden/>
    <w:unhideWhenUsed/>
    <w:qFormat/>
    <w:uiPriority w:val="99"/>
    <w:rPr>
      <w:sz w:val="21"/>
      <w:szCs w:val="21"/>
    </w:rPr>
  </w:style>
  <w:style w:type="character" w:customStyle="1" w:styleId="13">
    <w:name w:val="页脚 Char"/>
    <w:basedOn w:val="9"/>
    <w:link w:val="5"/>
    <w:qFormat/>
    <w:uiPriority w:val="0"/>
    <w:rPr>
      <w:rFonts w:ascii="Times New Roman" w:hAnsi="Times New Roman" w:eastAsia="黑体" w:cs="Times New Roman"/>
      <w:snapToGrid w:val="0"/>
      <w:kern w:val="0"/>
      <w:sz w:val="18"/>
      <w:szCs w:val="18"/>
    </w:rPr>
  </w:style>
  <w:style w:type="character" w:customStyle="1" w:styleId="14">
    <w:name w:val="批注文字 Char"/>
    <w:basedOn w:val="9"/>
    <w:link w:val="3"/>
    <w:semiHidden/>
    <w:qFormat/>
    <w:uiPriority w:val="99"/>
    <w:rPr>
      <w:rFonts w:ascii="Times New Roman" w:hAnsi="Times New Roman" w:eastAsia="宋体" w:cs="Times New Roman"/>
      <w:szCs w:val="24"/>
    </w:rPr>
  </w:style>
  <w:style w:type="character" w:customStyle="1" w:styleId="15">
    <w:name w:val="批注主题 Char"/>
    <w:basedOn w:val="14"/>
    <w:link w:val="7"/>
    <w:semiHidden/>
    <w:qFormat/>
    <w:uiPriority w:val="99"/>
    <w:rPr>
      <w:rFonts w:ascii="Times New Roman" w:hAnsi="Times New Roman" w:eastAsia="宋体" w:cs="Times New Roman"/>
      <w:b/>
      <w:bCs/>
      <w:szCs w:val="24"/>
    </w:rPr>
  </w:style>
  <w:style w:type="character" w:customStyle="1" w:styleId="16">
    <w:name w:val="批注框文本 Char"/>
    <w:basedOn w:val="9"/>
    <w:link w:val="4"/>
    <w:semiHidden/>
    <w:qFormat/>
    <w:uiPriority w:val="99"/>
    <w:rPr>
      <w:rFonts w:ascii="Times New Roman" w:hAnsi="Times New Roman" w:eastAsia="宋体" w:cs="Times New Roman"/>
      <w:sz w:val="18"/>
      <w:szCs w:val="18"/>
    </w:rPr>
  </w:style>
  <w:style w:type="character" w:customStyle="1" w:styleId="17">
    <w:name w:val="页眉 Char"/>
    <w:basedOn w:val="9"/>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1062</Words>
  <Characters>6060</Characters>
  <Lines>50</Lines>
  <Paragraphs>14</Paragraphs>
  <TotalTime>2</TotalTime>
  <ScaleCrop>false</ScaleCrop>
  <LinksUpToDate>false</LinksUpToDate>
  <CharactersWithSpaces>7108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2021-07-11T12:42:39Z</dcterms:modified>
  <cp:revision>825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