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新疆喀什地区供销合作社联合社2019年度部门决算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贯彻落实党和政府有关农村经济和社会发展的方针、政策法规；研究制定全地区供销合作社和农村经济组织的发展战略和发展规划，指导全地区供销社的改革发展和农村合作经济组织的业务活动。（2）研究农村流通体制改革，发展和完善有关农村农业生产资料的消费品市场体系建设，研究拟定推进有关农村流通现代化及运用连锁经营、物流配送、电子商务等现代流通方式，改造传统经营网络的规划并组织实施。（3）按照行署授权，负责对重要农业生产资料、农副产品、烟花爆竹和再生资源的组织、协调和经营管理工作。（4）行使地区社社有资产出资人代表职能、监督社有资产保值增值，对社属参（控）股企业进行监督。（5）负责对全地区供销社系统业务指导、行业间协调工作；向上级党委和政府及有关部门反映农民社员和供销社的意见和要求，维护各级供销社、社办企业、农村合作经济组织和全体社员的合法权益。（6）按照干部管理权限，负责地区供销社机关及社属参（控）股企业的干部人事管理工作；组织实施全地区供销社统干部和职工的教育培训工作。（7）代表全地区供销合作社参加自治区供销合作社的有关活动，组织指导全地区供销社发展对外经济贸易和技术合作事宜。（8）承办地委、行署和自治区供销社交办的其他事项。</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新疆喀什地区供销合作社联合社2</w:t>
      </w:r>
      <w:r>
        <w:rPr>
          <w:rFonts w:ascii="仿宋_GB2312" w:eastAsia="仿宋_GB2312"/>
          <w:sz w:val="32"/>
          <w:szCs w:val="32"/>
        </w:rPr>
        <w:t>019</w:t>
      </w:r>
      <w:r>
        <w:rPr>
          <w:rFonts w:hint="eastAsia" w:ascii="仿宋_GB2312" w:eastAsia="仿宋_GB2312"/>
          <w:sz w:val="32"/>
          <w:szCs w:val="32"/>
        </w:rPr>
        <w:t>年度，实有人数68人，其中：在职人员24人，离休人员0人，退休人员44人。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从部门决算单位构成看，新疆喀什地区供销合作社联合社部门决算包括：新疆喀什地区供销合作社联合社决算。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2019年度本年收入618.16万元，与上年相比，减少260.71万元，下降29.66%，主要原因是：</w:t>
      </w:r>
      <w:r>
        <w:rPr>
          <w:rFonts w:hint="eastAsia" w:ascii="仿宋_GB2312" w:eastAsia="仿宋_GB2312"/>
          <w:color w:val="000000" w:themeColor="text1"/>
          <w:sz w:val="32"/>
          <w:szCs w:val="32"/>
          <w14:textFill>
            <w14:solidFill>
              <w14:schemeClr w14:val="tx1"/>
            </w14:solidFill>
          </w14:textFill>
        </w:rPr>
        <w:t>2019年喀什地区“供销e农通”农村电子商务平台建设项目、农资供应补贴项目、抽调专项工作经费项目等收入减少。</w:t>
      </w:r>
      <w:r>
        <w:rPr>
          <w:rFonts w:hint="eastAsia" w:ascii="仿宋_GB2312" w:eastAsia="仿宋_GB2312"/>
          <w:sz w:val="32"/>
          <w:szCs w:val="32"/>
        </w:rPr>
        <w:t>本年支出618.16万元，与上年相比，减少260.71万元，下降29.66%，主要原因是：</w:t>
      </w:r>
      <w:r>
        <w:rPr>
          <w:rFonts w:hint="eastAsia" w:ascii="仿宋_GB2312" w:eastAsia="仿宋_GB2312"/>
          <w:color w:val="000000" w:themeColor="text1"/>
          <w:sz w:val="32"/>
          <w:szCs w:val="32"/>
          <w14:textFill>
            <w14:solidFill>
              <w14:schemeClr w14:val="tx1"/>
            </w14:solidFill>
          </w14:textFill>
        </w:rPr>
        <w:t>2019年喀什地区“供销e农通”农村电子商务平台建设项目、农资供应补贴项目、抽调专项工作经费项目等支出减少。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年度本年收入618.16万元，其中：财政拨款收入618.16万元，占100%；上级补助收入0万元，占0%；事业收入0万元，占0%；经营收入0万元，占0%；附属单位上缴收入0万元，占0%；其他收入0万元，占0%。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2019年度本年支出618.16万元，其中：基本支出567.16万元，占91.75%；项目支出51万元，占8.25%；上缴上级支出0万元，占0%；经营支出0万元，占0%；对附属单位补助支出0万元，占0%。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618.16万元，与上年相比，减少260.71万元，下降29.66%，主要原因是：2019年喀什地区“供销e农通”农村电子商务平台建设项目、农资供应补贴项目、抽调专项工作经费项目等收入减少。财政拨款支出618.16万元，与上年相比，减少260.71万元，下降29.66%，主要原因是：</w:t>
      </w:r>
      <w:r>
        <w:rPr>
          <w:rFonts w:ascii="仿宋_GB2312" w:eastAsia="仿宋_GB2312"/>
          <w:sz w:val="32"/>
          <w:szCs w:val="32"/>
        </w:rPr>
        <w:t>2019年喀什地区“供销e农通”农村电子商务平台建设项目、农资供应补贴项目、抽调专项工作经费项目等支出减少。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607.15</w:t>
      </w:r>
      <w:r>
        <w:rPr>
          <w:rFonts w:hint="eastAsia" w:ascii="仿宋_GB2312" w:eastAsia="仿宋_GB2312"/>
          <w:sz w:val="32"/>
          <w:szCs w:val="32"/>
        </w:rPr>
        <w:t>万元，决算数618.16万元</w:t>
      </w:r>
      <w:r>
        <w:rPr>
          <w:rFonts w:ascii="仿宋_GB2312" w:eastAsia="仿宋_GB2312"/>
          <w:color w:val="000000" w:themeColor="text1"/>
          <w:sz w:val="32"/>
          <w:szCs w:val="32"/>
          <w14:textFill>
            <w14:solidFill>
              <w14:schemeClr w14:val="tx1"/>
            </w14:solidFill>
          </w14:textFill>
        </w:rPr>
        <w:t>，预决算差异率1.81%，主要原因是：增加了2019年为民办实事经费、追加了抚恤金、辞退费、职业年金。</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607.15</w:t>
      </w:r>
      <w:r>
        <w:rPr>
          <w:rFonts w:hint="eastAsia" w:ascii="仿宋_GB2312" w:eastAsia="仿宋_GB2312"/>
          <w:sz w:val="32"/>
          <w:szCs w:val="32"/>
        </w:rPr>
        <w:t>万元，决算数618.16万元</w:t>
      </w:r>
      <w:r>
        <w:rPr>
          <w:rFonts w:ascii="仿宋_GB2312" w:eastAsia="仿宋_GB2312"/>
          <w:color w:val="000000" w:themeColor="text1"/>
          <w:sz w:val="32"/>
          <w:szCs w:val="32"/>
          <w14:textFill>
            <w14:solidFill>
              <w14:schemeClr w14:val="tx1"/>
            </w14:solidFill>
          </w14:textFill>
        </w:rPr>
        <w:t>，预决算差异率1.81%，主要原因是：增加了2019年为民办实事经费、追加了抚恤金、辞退费、职业年金。</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年度一般公共预算财政拨款支出618.16万元。按功能分类科目项级科目公开，其中：</w:t>
      </w:r>
    </w:p>
    <w:p>
      <w:pPr>
        <w:rPr>
          <w:rFonts w:ascii="仿宋_GB2312" w:eastAsia="仿宋_GB2312"/>
          <w:sz w:val="32"/>
          <w:szCs w:val="32"/>
        </w:rPr>
      </w:pPr>
      <w:r>
        <w:rPr>
          <w:rFonts w:ascii="仿宋_GB2312" w:eastAsia="仿宋_GB2312"/>
          <w:sz w:val="32"/>
          <w:szCs w:val="32"/>
        </w:rPr>
        <w:t xml:space="preserve">   2080505机关事业单位基本养老保险缴费支出41.28万元；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2080506机关事业单位职业年金缴费支出18.38万元；</w:t>
      </w:r>
      <w:r>
        <w:rPr>
          <w:rFonts w:ascii="仿宋_GB2312" w:eastAsia="仿宋_GB2312"/>
          <w:sz w:val="32"/>
          <w:szCs w:val="32"/>
        </w:rPr>
        <w:br w:type="textWrapping"/>
      </w:r>
      <w:r>
        <w:rPr>
          <w:rFonts w:ascii="仿宋_GB2312" w:eastAsia="仿宋_GB2312"/>
          <w:sz w:val="32"/>
          <w:szCs w:val="32"/>
        </w:rPr>
        <w:t xml:space="preserve">   2160201行政运行支出476.02万元；</w:t>
      </w:r>
      <w:r>
        <w:rPr>
          <w:rFonts w:ascii="仿宋_GB2312" w:eastAsia="仿宋_GB2312"/>
          <w:sz w:val="32"/>
          <w:szCs w:val="32"/>
        </w:rPr>
        <w:br w:type="textWrapping"/>
      </w:r>
      <w:r>
        <w:rPr>
          <w:rFonts w:ascii="仿宋_GB2312" w:eastAsia="仿宋_GB2312"/>
          <w:sz w:val="32"/>
          <w:szCs w:val="32"/>
        </w:rPr>
        <w:t xml:space="preserve">   2160299其他商业流通事务支出30万元；</w:t>
      </w:r>
      <w:r>
        <w:rPr>
          <w:rFonts w:ascii="仿宋_GB2312" w:eastAsia="仿宋_GB2312"/>
          <w:sz w:val="32"/>
          <w:szCs w:val="32"/>
        </w:rPr>
        <w:br w:type="textWrapping"/>
      </w:r>
      <w:r>
        <w:rPr>
          <w:rFonts w:ascii="仿宋_GB2312" w:eastAsia="仿宋_GB2312"/>
          <w:sz w:val="32"/>
          <w:szCs w:val="32"/>
        </w:rPr>
        <w:t xml:space="preserve">   2210201住房公积金支出31.47万元；</w:t>
      </w:r>
      <w:r>
        <w:rPr>
          <w:rFonts w:ascii="仿宋_GB2312" w:eastAsia="仿宋_GB2312"/>
          <w:sz w:val="32"/>
          <w:szCs w:val="32"/>
        </w:rPr>
        <w:br w:type="textWrapping"/>
      </w:r>
      <w:r>
        <w:rPr>
          <w:rFonts w:ascii="仿宋_GB2312" w:eastAsia="仿宋_GB2312"/>
          <w:sz w:val="32"/>
          <w:szCs w:val="32"/>
        </w:rPr>
        <w:t xml:space="preserve">   2299901其他支出21万元。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年度一般公共预算财政拨款基本支出567.16万元，其中：</w:t>
      </w:r>
    </w:p>
    <w:p>
      <w:pPr>
        <w:ind w:firstLine="640" w:firstLineChars="200"/>
        <w:rPr>
          <w:rFonts w:ascii="仿宋_GB2312" w:eastAsia="仿宋_GB2312"/>
          <w:sz w:val="32"/>
          <w:szCs w:val="32"/>
        </w:rPr>
      </w:pPr>
      <w:r>
        <w:rPr>
          <w:rFonts w:hint="eastAsia" w:ascii="仿宋_GB2312" w:eastAsia="仿宋_GB2312"/>
          <w:sz w:val="32"/>
          <w:szCs w:val="32"/>
        </w:rPr>
        <w:t>人员经费551.77万元，包括：基本工资、津贴补贴、奖金、机关事业单位基本养老保险缴费、职业年金缴费、职工基本医疗保险缴费、公务员医疗补助缴费、其他社会保障缴费、住房公积金、退休费、抚恤金、奖励金、其他对个人和家庭的补助。</w:t>
      </w:r>
    </w:p>
    <w:p>
      <w:pPr>
        <w:ind w:firstLine="640" w:firstLineChars="200"/>
        <w:rPr>
          <w:rFonts w:ascii="仿宋_GB2312" w:eastAsia="仿宋_GB2312"/>
          <w:sz w:val="32"/>
          <w:szCs w:val="32"/>
        </w:rPr>
      </w:pPr>
      <w:r>
        <w:rPr>
          <w:rFonts w:hint="eastAsia" w:ascii="仿宋_GB2312" w:eastAsia="仿宋_GB2312"/>
          <w:sz w:val="32"/>
          <w:szCs w:val="32"/>
        </w:rPr>
        <w:t>公用经费15.38万元，包括：办公费、电费、邮电费、取暖费、差旅费、公务用车运行维护费、其他商品和服务支出。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年度一般公共预算“三公”经费支出决算1.80万元，比上年增加0万元，增长0%，主要原因是</w:t>
      </w:r>
      <w:r>
        <w:rPr>
          <w:rFonts w:hint="eastAsia" w:ascii="仿宋_GB2312" w:eastAsia="仿宋_GB2312"/>
          <w:sz w:val="32"/>
          <w:szCs w:val="32"/>
          <w:lang w:eastAsia="zh-CN"/>
        </w:rPr>
        <w:t>：</w:t>
      </w:r>
      <w:r>
        <w:rPr>
          <w:rFonts w:hint="eastAsia" w:ascii="仿宋_GB2312" w:eastAsia="仿宋_GB2312"/>
          <w:sz w:val="32"/>
          <w:szCs w:val="32"/>
        </w:rPr>
        <w:t>与上年相比无变动，与上年一致。其中，因公出国（境）费支出0万元，占0%，比上年增加0万元，增长0%，主要原因是</w:t>
      </w:r>
      <w:r>
        <w:rPr>
          <w:rFonts w:hint="eastAsia" w:ascii="仿宋_GB2312" w:eastAsia="仿宋_GB2312"/>
          <w:sz w:val="32"/>
          <w:szCs w:val="32"/>
          <w:lang w:eastAsia="zh-CN"/>
        </w:rPr>
        <w:t>：</w:t>
      </w:r>
      <w:r>
        <w:rPr>
          <w:rFonts w:hint="eastAsia" w:ascii="仿宋_GB2312" w:eastAsia="仿宋_GB2312"/>
          <w:sz w:val="32"/>
          <w:szCs w:val="32"/>
        </w:rPr>
        <w:t>与上年相比无变动，与上年一致；公务用车购置及运行维护费支出1.80万元，占100%，比上年增加0万元，增长0%，主要原因是</w:t>
      </w:r>
      <w:r>
        <w:rPr>
          <w:rFonts w:hint="eastAsia" w:ascii="仿宋_GB2312" w:eastAsia="仿宋_GB2312"/>
          <w:sz w:val="32"/>
          <w:szCs w:val="32"/>
          <w:lang w:eastAsia="zh-CN"/>
        </w:rPr>
        <w:t>：</w:t>
      </w:r>
      <w:r>
        <w:rPr>
          <w:rFonts w:hint="eastAsia" w:ascii="仿宋_GB2312" w:eastAsia="仿宋_GB2312"/>
          <w:sz w:val="32"/>
          <w:szCs w:val="32"/>
        </w:rPr>
        <w:t>与上年相比无变动，与上年一致；公务接待费支出0万元，占0%，比上年增加0万元，增长0%，主要原因是</w:t>
      </w:r>
      <w:r>
        <w:rPr>
          <w:rFonts w:hint="eastAsia" w:ascii="仿宋_GB2312" w:eastAsia="仿宋_GB2312"/>
          <w:sz w:val="32"/>
          <w:szCs w:val="32"/>
          <w:lang w:eastAsia="zh-CN"/>
        </w:rPr>
        <w:t>：</w:t>
      </w:r>
      <w:bookmarkStart w:id="54" w:name="_GoBack"/>
      <w:bookmarkEnd w:id="54"/>
      <w:r>
        <w:rPr>
          <w:rFonts w:hint="eastAsia" w:ascii="仿宋_GB2312" w:eastAsia="仿宋_GB2312"/>
          <w:sz w:val="32"/>
          <w:szCs w:val="32"/>
        </w:rPr>
        <w:t>与上年相比无变动，与上年一致。具体情况如下：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公务用车购置及运行维护费1.80万元，其中，公务用车购置费0万元，公务用车运行维护费1.80万元。公务用车运行维护费开支内容包括汽车油料。公务用车购置数0辆，公务用车保有量1辆。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1.80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1.80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w:t>
      </w:r>
      <w:r>
        <w:rPr>
          <w:rFonts w:hint="eastAsia" w:ascii="仿宋_GB2312" w:eastAsia="仿宋_GB2312"/>
          <w:color w:val="000000" w:themeColor="text1"/>
          <w:sz w:val="32"/>
          <w:szCs w:val="32"/>
          <w:lang w:val="en-US" w:eastAsia="zh-CN"/>
          <w14:textFill>
            <w14:solidFill>
              <w14:schemeClr w14:val="tx1"/>
            </w14:solidFill>
          </w14:textFill>
        </w:rPr>
        <w:t>厉行节约，严格按照预算执行</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1.80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1.80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w:t>
      </w:r>
      <w:r>
        <w:rPr>
          <w:rFonts w:hint="eastAsia" w:ascii="仿宋_GB2312" w:eastAsia="仿宋_GB2312"/>
          <w:color w:val="000000" w:themeColor="text1"/>
          <w:sz w:val="32"/>
          <w:szCs w:val="32"/>
          <w:lang w:val="en-US" w:eastAsia="zh-CN"/>
          <w14:textFill>
            <w14:solidFill>
              <w14:schemeClr w14:val="tx1"/>
            </w14:solidFill>
          </w14:textFill>
        </w:rPr>
        <w:t>厉行节约，严格按照预算执行</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2019年度新疆喀什地区供销合作社联合社机关运行经费支出15.38万元，比上年减少0.73万元，降低4.53%，主要原因是基层专项工作经费支出减少。</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年度政府采购支出总额0.98万元，其中：政府采购货物支出0.98万元、政府采购工程支出0万元、政府采购服务支出0万元。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授予中小企业合同金额0.98万元，占政府采购支出总额的100%，其中：授予小微企业合同金额0.98万元，占政府采购支出总额的100%。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年12月31日，单位共有房屋0（平方米），价值0万元。车辆1辆，价值15万元，其中：副部（省）级及以上领导用车0辆、主要领导干部用车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一般公务用车；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4个，共涉及资金51万元。预算绩效管理取得的成效：一是部门年度任务在预算资金额度内完成，并通过规范、严格的资金管理及项目管理措施实现了资金的节约。三公经费在预算范围内开支，开支范围较上年的变化，有节约；二是各项工作计划按预期计划按时完成，效益是按预期时间产生；三是预期的经济效益、社会效益、可持续的影响产生，受益贫困村村民以及农产品企业对展销会的满意度都很高。发现的问题及原因：通过预算绩效管理，发现了工作中存在的不足，一是对部门整体支出绩效管理的人员组织还需配强，职责分工承接不够紧密。由于时间紧任务重，小组成员尚未全部进行专业的绩效管理相关培训。二是专项工作经费由于财政下达资金指标时间较晚，前期需要资金时，无资金支付。三是目前喀什地区农产品上行外销工作已成为地委、行署高度重视、推进的工作，供销社系统作为农产品销售的主力军，发挥着重要作用，目前承担的内地市场推广任务重，资金需求大，所需扶持的内容增加，项目资金的额度已明显不足。下一步改进措施：一是强化单位对资金绩效的责任约束，树立绩效意识，提升资金绩效管理小组人员配置，加强培训。二是年初做好资金计划，按照项目进度及时拨付资金，使资金使用效益最大化，节约成本。三是扩大资金扶持范围，将农产品推介销售、品牌建设、包装设计与制作、线上电商销售、内地仓储设立补贴等内容纳入资金扶持范围内，并增加项目资金额度，已有效帮助喀什地区农产品对外推广销售工作。具体项目自评情况附项目支出绩效自评表。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TbIRX4sCXNYxFIN2s9jeD0fnkk=" w:salt="/ApRBcNTF29oaIdXV/o+X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5FE2453"/>
    <w:rsid w:val="06792773"/>
    <w:rsid w:val="14AD5494"/>
    <w:rsid w:val="1A037DFB"/>
    <w:rsid w:val="1DAF458D"/>
    <w:rsid w:val="2A053397"/>
    <w:rsid w:val="2D1136DF"/>
    <w:rsid w:val="2F4E117F"/>
    <w:rsid w:val="31C63837"/>
    <w:rsid w:val="3D5275AC"/>
    <w:rsid w:val="46901EEE"/>
    <w:rsid w:val="469C74D2"/>
    <w:rsid w:val="4F690AF6"/>
    <w:rsid w:val="50DB5F45"/>
    <w:rsid w:val="60CB4ECE"/>
    <w:rsid w:val="69AD798C"/>
    <w:rsid w:val="6A2C4C7B"/>
    <w:rsid w:val="6AD33157"/>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1056</Words>
  <Characters>6024</Characters>
  <Lines>50</Lines>
  <Paragraphs>14</Paragraphs>
  <TotalTime>44</TotalTime>
  <ScaleCrop>false</ScaleCrop>
  <LinksUpToDate>false</LinksUpToDate>
  <CharactersWithSpaces>7066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平</cp:lastModifiedBy>
  <dcterms:modified xsi:type="dcterms:W3CDTF">2020-09-10T08:07:18Z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