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p>
    <w:p>
      <w:pPr>
        <w:spacing w:beforeLines="50"/>
        <w:jc w:val="center"/>
        <w:rPr>
          <w:rFonts w:ascii="方正小标宋简体" w:eastAsia="方正小标宋简体"/>
          <w:sz w:val="44"/>
          <w:szCs w:val="44"/>
        </w:rPr>
      </w:pPr>
      <w:r>
        <w:rPr>
          <w:rFonts w:hint="eastAsia" w:ascii="方正小标宋简体" w:eastAsia="方正小标宋简体"/>
          <w:sz w:val="44"/>
          <w:szCs w:val="44"/>
        </w:rPr>
        <w:t>喀什地区</w:t>
      </w:r>
      <w:r>
        <w:rPr>
          <w:rFonts w:hint="eastAsia" w:ascii="方正小标宋简体" w:eastAsia="方正小标宋简体"/>
          <w:sz w:val="44"/>
          <w:szCs w:val="44"/>
          <w:lang w:val="en-US" w:eastAsia="zh-CN"/>
        </w:rPr>
        <w:t>国土资源规划院</w:t>
      </w:r>
      <w:r>
        <w:rPr>
          <w:rFonts w:hint="eastAsia" w:ascii="方正小标宋简体" w:eastAsia="方正小标宋简体"/>
          <w:sz w:val="44"/>
          <w:szCs w:val="44"/>
        </w:rPr>
        <w:t>项目支出绩效评价报告</w:t>
      </w:r>
    </w:p>
    <w:p>
      <w:pPr>
        <w:spacing w:beforeLines="50"/>
        <w:jc w:val="center"/>
        <w:rPr>
          <w:rFonts w:ascii="方正小标宋简体" w:eastAsia="方正小标宋简体"/>
          <w:sz w:val="52"/>
          <w:szCs w:val="52"/>
        </w:rPr>
      </w:pPr>
    </w:p>
    <w:p>
      <w:pPr>
        <w:spacing w:beforeLines="50"/>
        <w:jc w:val="both"/>
        <w:rPr>
          <w:rFonts w:ascii="方正小标宋简体" w:eastAsia="方正小标宋简体"/>
          <w:sz w:val="52"/>
          <w:szCs w:val="52"/>
        </w:rPr>
      </w:pPr>
    </w:p>
    <w:p>
      <w:pPr>
        <w:autoSpaceDE w:val="0"/>
        <w:autoSpaceDN w:val="0"/>
        <w:spacing w:line="540" w:lineRule="exact"/>
        <w:ind w:firstLine="712" w:firstLineChars="200"/>
        <w:rPr>
          <w:rFonts w:hint="eastAsia"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项目名称：</w:t>
      </w:r>
      <w:r>
        <w:rPr>
          <w:rFonts w:hint="eastAsia" w:ascii="仿宋_GB2312" w:hAnsi="仿宋" w:eastAsia="仿宋_GB2312" w:cs="Times New Roman"/>
          <w:spacing w:val="-2"/>
          <w:sz w:val="36"/>
          <w:szCs w:val="36"/>
          <w:lang w:val="en-US" w:eastAsia="zh-CN"/>
        </w:rPr>
        <w:t>土地资源调查项目</w:t>
      </w:r>
    </w:p>
    <w:p>
      <w:pPr>
        <w:autoSpaceDE w:val="0"/>
        <w:autoSpaceDN w:val="0"/>
        <w:spacing w:line="540" w:lineRule="exact"/>
        <w:ind w:firstLine="712" w:firstLineChars="200"/>
        <w:rPr>
          <w:rFonts w:hint="eastAsia"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val="en-US" w:eastAsia="zh-CN"/>
        </w:rPr>
        <w:t>新疆维吾尔自治区喀什地区国土资源规划院</w:t>
      </w:r>
    </w:p>
    <w:p>
      <w:pPr>
        <w:autoSpaceDE w:val="0"/>
        <w:autoSpaceDN w:val="0"/>
        <w:spacing w:line="540" w:lineRule="exact"/>
        <w:ind w:firstLine="712" w:firstLineChars="200"/>
        <w:rPr>
          <w:rFonts w:hint="eastAsia" w:ascii="仿宋_GB2312" w:hAnsi="仿宋" w:eastAsia="仿宋_GB2312" w:cs="Times New Roman"/>
          <w:spacing w:val="-2"/>
          <w:sz w:val="36"/>
          <w:szCs w:val="36"/>
          <w:lang w:val="en-US" w:eastAsia="zh-CN"/>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val="en-US" w:eastAsia="zh-CN"/>
        </w:rPr>
        <w:t>新疆维吾尔自治区喀什地区国土资源规划院</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pStyle w:val="23"/>
        <w:numPr>
          <w:ilvl w:val="0"/>
          <w:numId w:val="2"/>
        </w:numPr>
        <w:ind w:firstLineChars="0"/>
      </w:pPr>
      <w:r>
        <w:rPr>
          <w:rFonts w:hint="eastAsia"/>
        </w:rPr>
        <w:t>基本情况</w:t>
      </w:r>
    </w:p>
    <w:p>
      <w:pPr>
        <w:pStyle w:val="25"/>
        <w:ind w:left="0" w:firstLine="643" w:firstLineChars="200"/>
      </w:pPr>
      <w:bookmarkStart w:id="0" w:name="_Toc26401549"/>
      <w:r>
        <w:rPr>
          <w:rFonts w:hint="eastAsia"/>
        </w:rPr>
        <w:t>项目概况</w:t>
      </w:r>
      <w:bookmarkEnd w:id="0"/>
    </w:p>
    <w:p>
      <w:pPr>
        <w:adjustRightInd w:val="0"/>
        <w:snapToGrid w:val="0"/>
        <w:spacing w:line="560" w:lineRule="exact"/>
        <w:ind w:firstLine="624" w:firstLineChars="200"/>
        <w:rPr>
          <w:rFonts w:hint="eastAsia" w:ascii="仿宋_GB2312" w:hAnsi="仿宋" w:eastAsia="仿宋_GB2312" w:cs="宋体"/>
          <w:color w:val="FF0000"/>
          <w:sz w:val="32"/>
          <w:szCs w:val="32"/>
        </w:rPr>
      </w:pPr>
      <w:r>
        <w:rPr>
          <w:rStyle w:val="14"/>
          <w:rFonts w:hint="eastAsia" w:ascii="仿宋" w:hAnsi="仿宋" w:eastAsia="仿宋"/>
          <w:b w:val="0"/>
          <w:spacing w:val="-4"/>
          <w:sz w:val="32"/>
          <w:szCs w:val="32"/>
        </w:rPr>
        <w:t>受地区国土资源局委托，承担地区土地利用总体规划、矿产资源总体规划和土地整治工作；承担地区土地调查、1:1万基础测绘数据管理、国土资源数据库建设等工作；承担喀什地区土地、矿产资源窗口办文工作；承担国家、及自治区项目的土地确权划界变更工作。</w:t>
      </w:r>
    </w:p>
    <w:p>
      <w:pPr>
        <w:pStyle w:val="19"/>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项目背景及立项依据</w:t>
      </w:r>
    </w:p>
    <w:p>
      <w:pPr>
        <w:adjustRightInd w:val="0"/>
        <w:snapToGrid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本项目根据</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lang w:val="en-US" w:eastAsia="zh-CN"/>
        </w:rPr>
        <w:t>关于印发&lt;喀什地区国土资源局所属事业单位分类改革方案&gt;的通知</w:t>
      </w:r>
      <w:r>
        <w:rPr>
          <w:rFonts w:hint="eastAsia" w:ascii="仿宋_GB2312" w:hAnsi="仿宋" w:eastAsia="仿宋_GB2312" w:cs="宋体"/>
          <w:sz w:val="32"/>
          <w:szCs w:val="32"/>
          <w:lang w:eastAsia="zh-CN"/>
        </w:rPr>
        <w:t>》</w:t>
      </w:r>
      <w:r>
        <w:rPr>
          <w:rFonts w:hint="eastAsia" w:ascii="仿宋_GB2312" w:hAnsi="仿宋" w:eastAsia="仿宋_GB2312" w:cs="宋体"/>
          <w:sz w:val="32"/>
          <w:szCs w:val="32"/>
        </w:rPr>
        <w:t>政策（文件、会议精神）立项，旨在</w:t>
      </w:r>
      <w:r>
        <w:rPr>
          <w:rFonts w:hint="eastAsia" w:ascii="仿宋" w:hAnsi="仿宋" w:eastAsia="仿宋"/>
          <w:bCs/>
          <w:spacing w:val="-4"/>
          <w:sz w:val="32"/>
          <w:szCs w:val="32"/>
        </w:rPr>
        <w:t>以信息化基础设施为依托，以管理制度为保障，以地区国土资源系统“一张图”核心数据库为基础，集成、整合相关数据及应用系统，建立集信息采集、动态监测、信息比对核查、综合分析、辅助决策于一体的国土资源综合平台。</w:t>
      </w:r>
    </w:p>
    <w:p>
      <w:pPr>
        <w:pStyle w:val="19"/>
        <w:numPr>
          <w:ilvl w:val="0"/>
          <w:numId w:val="3"/>
        </w:numPr>
        <w:spacing w:beforeLines="50" w:line="600" w:lineRule="exact"/>
        <w:ind w:firstLineChars="0"/>
        <w:rPr>
          <w:rFonts w:ascii="仿宋_GB2312" w:hAnsi="仿宋" w:eastAsia="仿宋_GB2312" w:cs="宋体"/>
          <w:sz w:val="32"/>
          <w:szCs w:val="32"/>
        </w:rPr>
      </w:pPr>
      <w:r>
        <w:rPr>
          <w:rFonts w:hint="eastAsia" w:ascii="仿宋_GB2312" w:hAnsi="仿宋" w:eastAsia="仿宋_GB2312" w:cs="宋体"/>
          <w:sz w:val="32"/>
          <w:szCs w:val="32"/>
        </w:rPr>
        <w:t>项目主要内容及实施情况</w:t>
      </w:r>
    </w:p>
    <w:p>
      <w:pPr>
        <w:adjustRightInd w:val="0"/>
        <w:snapToGrid w:val="0"/>
        <w:spacing w:line="560" w:lineRule="exact"/>
        <w:ind w:firstLine="640" w:firstLineChars="200"/>
        <w:rPr>
          <w:rFonts w:hint="eastAsia" w:ascii="仿宋_GB2312" w:hAnsi="仿宋" w:eastAsia="仿宋_GB2312" w:cs="宋体"/>
          <w:color w:val="FF0000"/>
          <w:sz w:val="32"/>
          <w:szCs w:val="32"/>
        </w:rPr>
      </w:pPr>
      <w:r>
        <w:rPr>
          <w:rFonts w:hint="eastAsia" w:ascii="仿宋_GB2312" w:hAnsi="仿宋" w:eastAsia="仿宋_GB2312" w:cs="宋体"/>
          <w:sz w:val="32"/>
          <w:szCs w:val="32"/>
        </w:rPr>
        <w:t>项目的主要内容为：本项目的主管部门为</w:t>
      </w:r>
      <w:r>
        <w:rPr>
          <w:rFonts w:hint="eastAsia" w:ascii="仿宋_GB2312" w:hAnsi="仿宋" w:eastAsia="仿宋_GB2312" w:cs="宋体"/>
          <w:sz w:val="32"/>
          <w:szCs w:val="32"/>
          <w:lang w:val="en-US" w:eastAsia="zh-CN"/>
        </w:rPr>
        <w:t>喀什地区自然资源局</w:t>
      </w:r>
      <w:r>
        <w:rPr>
          <w:rFonts w:ascii="仿宋_GB2312" w:hAnsi="仿宋" w:eastAsia="仿宋_GB2312" w:cs="宋体"/>
          <w:sz w:val="32"/>
          <w:szCs w:val="32"/>
        </w:rPr>
        <w:t>,</w:t>
      </w:r>
      <w:r>
        <w:rPr>
          <w:rFonts w:hint="eastAsia" w:ascii="仿宋_GB2312" w:hAnsi="仿宋" w:eastAsia="仿宋_GB2312" w:cs="宋体"/>
          <w:sz w:val="32"/>
          <w:szCs w:val="32"/>
        </w:rPr>
        <w:t>实施单位为</w:t>
      </w:r>
      <w:r>
        <w:rPr>
          <w:rFonts w:hint="eastAsia" w:ascii="仿宋_GB2312" w:hAnsi="仿宋" w:eastAsia="仿宋_GB2312" w:cs="宋体"/>
          <w:sz w:val="32"/>
          <w:szCs w:val="32"/>
          <w:lang w:val="en-US" w:eastAsia="zh-CN"/>
        </w:rPr>
        <w:t>喀什地区国土资源规划院</w:t>
      </w:r>
      <w:r>
        <w:rPr>
          <w:rFonts w:hint="eastAsia" w:ascii="仿宋_GB2312" w:hAnsi="仿宋" w:eastAsia="仿宋_GB2312" w:cs="宋体"/>
          <w:sz w:val="32"/>
          <w:szCs w:val="32"/>
        </w:rPr>
        <w:t>，主要职责</w:t>
      </w:r>
      <w:r>
        <w:rPr>
          <w:rStyle w:val="14"/>
          <w:rFonts w:hint="eastAsia" w:ascii="仿宋" w:hAnsi="仿宋" w:eastAsia="仿宋"/>
          <w:b w:val="0"/>
          <w:spacing w:val="-4"/>
          <w:sz w:val="32"/>
          <w:szCs w:val="32"/>
        </w:rPr>
        <w:t>承担地区土地利用总体规划、矿产资源总体规划和土地整治工作；承担地区土地调查、1:1万基础测绘数据管理、国土资源数据库建设等工作；承担喀什地区土地、矿产资源窗口办文工作；承担国家、及自治区项目的土地确权划界变更工作。</w:t>
      </w:r>
    </w:p>
    <w:p>
      <w:pPr>
        <w:spacing w:beforeLines="50" w:line="600" w:lineRule="exact"/>
        <w:rPr>
          <w:rFonts w:ascii="仿宋_GB2312" w:hAnsi="仿宋" w:eastAsia="仿宋_GB2312" w:cs="宋体"/>
          <w:sz w:val="32"/>
          <w:szCs w:val="32"/>
        </w:rPr>
      </w:pPr>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项目实施前是否/如何进行充分调研，是否制定实施方案，项目实施过程中严格按照实施方案进行实施并及时进行监督管理，项目实施后是否进行及时验收及后期维护。</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hAnsi="仿宋" w:eastAsia="仿宋_GB2312" w:cs="宋体"/>
          <w:sz w:val="32"/>
          <w:szCs w:val="32"/>
          <w:highlight w:val="yellow"/>
        </w:rPr>
      </w:pPr>
      <w:r>
        <w:rPr>
          <w:rFonts w:hint="eastAsia" w:ascii="仿宋_GB2312" w:hAnsi="仿宋" w:eastAsia="仿宋_GB2312" w:cs="宋体"/>
          <w:sz w:val="32"/>
          <w:szCs w:val="32"/>
          <w:lang w:val="en-US" w:eastAsia="zh-CN"/>
        </w:rPr>
        <w:t>3.</w:t>
      </w:r>
      <w:r>
        <w:rPr>
          <w:rFonts w:hint="eastAsia" w:ascii="仿宋_GB2312" w:hAnsi="仿宋" w:eastAsia="仿宋_GB2312" w:cs="宋体"/>
          <w:sz w:val="32"/>
          <w:szCs w:val="32"/>
        </w:rPr>
        <w:t>项目负责人为</w:t>
      </w:r>
      <w:r>
        <w:rPr>
          <w:rFonts w:hint="eastAsia" w:ascii="仿宋_GB2312" w:hAnsi="仿宋" w:eastAsia="仿宋_GB2312" w:cs="宋体"/>
          <w:sz w:val="32"/>
          <w:szCs w:val="32"/>
          <w:lang w:val="en-US" w:eastAsia="zh-CN"/>
        </w:rPr>
        <w:t>阿布都热依木</w:t>
      </w:r>
      <w:r>
        <w:rPr>
          <w:rFonts w:hint="eastAsia" w:ascii="仿宋_GB2312" w:hAnsi="仿宋" w:eastAsia="仿宋_GB2312" w:cs="宋体"/>
          <w:sz w:val="32"/>
          <w:szCs w:val="32"/>
        </w:rPr>
        <w:t>，主要职责为</w:t>
      </w:r>
      <w:r>
        <w:rPr>
          <w:rFonts w:hint="eastAsia" w:ascii="仿宋_GB2312" w:hAnsi="仿宋" w:eastAsia="仿宋_GB2312" w:cs="宋体"/>
          <w:kern w:val="2"/>
          <w:sz w:val="32"/>
          <w:szCs w:val="32"/>
          <w:lang w:val="en-US" w:eastAsia="zh-CN" w:bidi="ar-SA"/>
        </w:rPr>
        <w:t>①、确保质量管理体系的过程得到建立、实施和保持；②、向院长报告质量管理体系的业绩，包括改进的需求；③、确保在整个组织内提高满足顾客要求的意识；④、代表具有就包括质量管理体系有关事宜与外部进行联络的职责。⑤、向有关部门和人员了解情况和信息沟通保证质量管理体系实施有效性和符合性不受影响。⑥、负责质量方针、质量目标的贯彻实施，签发有关的质量文件及作业指导书；组织编制测绘项目的技术设计书，并对设计质量负责；处理生产过程中的重大技术问题和质量争议；审核技术总结；审定测绘产品的交付验收。</w:t>
      </w:r>
    </w:p>
    <w:p>
      <w:pPr>
        <w:pStyle w:val="25"/>
        <w:ind w:left="0" w:firstLine="643" w:firstLineChars="200"/>
      </w:pPr>
      <w:bookmarkStart w:id="1" w:name="_Toc26401550"/>
      <w:r>
        <w:rPr>
          <w:rFonts w:hint="eastAsia"/>
        </w:rPr>
        <w:t>资金</w:t>
      </w:r>
      <w:bookmarkEnd w:id="1"/>
      <w:r>
        <w:rPr>
          <w:rFonts w:hint="eastAsia"/>
        </w:rPr>
        <w:t>投入和使用情况</w:t>
      </w:r>
    </w:p>
    <w:p>
      <w:pPr>
        <w:keepNext w:val="0"/>
        <w:keepLines w:val="0"/>
        <w:pageBreakBefore w:val="0"/>
        <w:widowControl w:val="0"/>
        <w:kinsoku/>
        <w:wordWrap/>
        <w:overflowPunct/>
        <w:topLinePunct w:val="0"/>
        <w:autoSpaceDE/>
        <w:autoSpaceDN/>
        <w:bidi w:val="0"/>
        <w:adjustRightInd/>
        <w:snapToGrid/>
        <w:spacing w:beforeLines="50" w:line="600" w:lineRule="exact"/>
        <w:ind w:firstLine="646"/>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本项目总投资227.77元，资金来源为本级部门预算、资金227.77元。</w:t>
      </w:r>
      <w:r>
        <w:rPr>
          <w:rFonts w:hint="eastAsia" w:ascii="仿宋_GB2312" w:hAnsi="仿宋" w:eastAsia="仿宋_GB2312" w:cs="宋体"/>
          <w:sz w:val="32"/>
          <w:szCs w:val="32"/>
          <w:lang w:val="en-US" w:eastAsia="zh-CN"/>
        </w:rPr>
        <w:t>土地资源调查项目</w:t>
      </w:r>
      <w:r>
        <w:rPr>
          <w:rFonts w:hint="eastAsia" w:ascii="仿宋_GB2312" w:hAnsi="仿宋" w:eastAsia="仿宋_GB2312" w:cs="宋体"/>
          <w:sz w:val="32"/>
          <w:szCs w:val="32"/>
        </w:rPr>
        <w:t>资金的使用范围：</w:t>
      </w:r>
      <w:r>
        <w:rPr>
          <w:rFonts w:hint="eastAsia" w:ascii="仿宋_GB2312" w:hAnsi="仿宋" w:eastAsia="仿宋_GB2312" w:cs="宋体"/>
          <w:sz w:val="32"/>
          <w:szCs w:val="32"/>
          <w:lang w:val="en-US" w:eastAsia="zh-CN"/>
        </w:rPr>
        <w:t>根据自治区党委、自治区人民政府《关于分类推进事业单位改革的实施意见》（新党发【2013】5 号）和《关于印发喀什地区事业单位分类工作方案的通知》（喀党编办【2013】 43 号）文件精神，确定喀什地区国土资源规划院为公益一类事业单位，主要职责任务：承担地区土地利用矿产资源总体 规划和土地规划工作；承担地区土地调查，1：1 万基础测绘 数据管理、国土资源数据库建设等工作；承担地区土地矿产 资源窗口办文工作；承担国家、自治区项目的确权划界工作。我院收费项目为土地勘测定界费，收入税后全额上缴财政，收费标准（中华人民共和国财政部、国家测绘局颁布）《测绘生产成本费用定额计算细则》。土地资源调查项目，是用地单位有用地需求时，向喀什地区自然资源局、各县市自然资源局申请后委托我院开展工作。存在是不可预见性，无法提前预算工作量，此项经费是土地资源调查工作顺利开展的保障和基础条件，主要用于支出：差费、车辆维护费、租赁费、仪器设备维护费、劳务费、办公费、委托业务费等。</w:t>
      </w:r>
    </w:p>
    <w:p>
      <w:pPr>
        <w:spacing w:beforeLines="50" w:line="600" w:lineRule="exact"/>
        <w:ind w:firstLine="645"/>
        <w:rPr>
          <w:rFonts w:hint="eastAsia" w:ascii="仿宋_GB2312" w:hAnsi="仿宋" w:eastAsia="仿宋_GB2312" w:cs="宋体"/>
          <w:sz w:val="32"/>
          <w:szCs w:val="32"/>
          <w:lang w:eastAsia="zh-CN"/>
        </w:rPr>
      </w:pPr>
      <w:r>
        <w:rPr>
          <w:rFonts w:hint="eastAsia" w:ascii="仿宋_GB2312" w:hAnsi="仿宋" w:eastAsia="仿宋_GB2312" w:cs="宋体"/>
          <w:sz w:val="32"/>
          <w:szCs w:val="32"/>
          <w:lang w:val="en-US" w:eastAsia="zh-CN"/>
        </w:rPr>
        <w:t>喀什地区国土资源规划院</w:t>
      </w:r>
      <w:r>
        <w:rPr>
          <w:rFonts w:hint="eastAsia" w:ascii="仿宋_GB2312" w:hAnsi="仿宋" w:eastAsia="仿宋_GB2312" w:cs="宋体"/>
          <w:sz w:val="32"/>
          <w:szCs w:val="32"/>
        </w:rPr>
        <w:t>制定了</w:t>
      </w:r>
      <w:r>
        <w:rPr>
          <w:rFonts w:hint="eastAsia" w:ascii="仿宋_GB2312" w:hAnsi="仿宋" w:eastAsia="仿宋_GB2312" w:cs="宋体"/>
          <w:sz w:val="32"/>
          <w:szCs w:val="32"/>
          <w:lang w:eastAsia="zh-CN"/>
        </w:rPr>
        <w:t>《规划院资金管理实施方案》、《规划院财务管理制度》</w:t>
      </w:r>
      <w:r>
        <w:rPr>
          <w:rFonts w:hint="eastAsia" w:ascii="仿宋_GB2312" w:hAnsi="仿宋" w:eastAsia="仿宋_GB2312" w:cs="宋体"/>
          <w:sz w:val="32"/>
          <w:szCs w:val="32"/>
        </w:rPr>
        <w:t>资金管理办法，按照</w:t>
      </w:r>
      <w:r>
        <w:rPr>
          <w:rFonts w:hint="eastAsia" w:ascii="仿宋_GB2312" w:hAnsi="仿宋" w:eastAsia="仿宋_GB2312" w:cs="宋体"/>
          <w:sz w:val="32"/>
          <w:szCs w:val="32"/>
          <w:lang w:eastAsia="zh-CN"/>
        </w:rPr>
        <w:t>《关于下达2019年喀什地区本级部门预算批复的通知》</w:t>
      </w:r>
      <w:r>
        <w:rPr>
          <w:rFonts w:hint="eastAsia" w:ascii="仿宋_GB2312" w:hAnsi="仿宋" w:eastAsia="仿宋_GB2312" w:cs="宋体"/>
          <w:sz w:val="32"/>
          <w:szCs w:val="32"/>
        </w:rPr>
        <w:t>文件进行使用</w:t>
      </w:r>
      <w:r>
        <w:rPr>
          <w:rFonts w:hint="eastAsia" w:ascii="仿宋_GB2312" w:hAnsi="仿宋" w:eastAsia="仿宋_GB2312" w:cs="宋体"/>
          <w:sz w:val="32"/>
          <w:szCs w:val="32"/>
          <w:lang w:eastAsia="zh-CN"/>
        </w:rPr>
        <w:t>。</w:t>
      </w:r>
    </w:p>
    <w:p>
      <w:pPr>
        <w:pStyle w:val="25"/>
        <w:ind w:left="0" w:firstLine="643" w:firstLineChars="200"/>
      </w:pPr>
      <w:bookmarkStart w:id="2" w:name="_Toc26401551"/>
      <w:r>
        <w:rPr>
          <w:rFonts w:hint="eastAsia"/>
        </w:rPr>
        <w:t>绩效目标</w:t>
      </w:r>
      <w:bookmarkEnd w:id="2"/>
    </w:p>
    <w:p>
      <w:pPr>
        <w:adjustRightInd w:val="0"/>
        <w:snapToGrid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总体目标为：</w:t>
      </w:r>
      <w:r>
        <w:rPr>
          <w:rFonts w:hint="eastAsia" w:ascii="仿宋" w:hAnsi="仿宋" w:eastAsia="仿宋"/>
          <w:bCs/>
          <w:spacing w:val="-4"/>
          <w:sz w:val="32"/>
          <w:szCs w:val="32"/>
        </w:rPr>
        <w:t>以信息化基础设施为依托，以管理制度为保障，以地区国土资源系统“一张图”核心数据库为基础，集成、整合相关数据及应用系统，建立集信息采集、动态监测、信息比对核查、综合分析、辅助决策于一体的国土资源综合平台。</w:t>
      </w:r>
    </w:p>
    <w:p>
      <w:pPr>
        <w:adjustRightInd w:val="0"/>
        <w:snapToGrid w:val="0"/>
        <w:spacing w:line="56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阶段性目标为：</w:t>
      </w:r>
      <w:r>
        <w:rPr>
          <w:rFonts w:hint="eastAsia" w:ascii="仿宋" w:hAnsi="仿宋" w:eastAsia="仿宋"/>
          <w:bCs/>
          <w:spacing w:val="-4"/>
          <w:sz w:val="32"/>
          <w:szCs w:val="32"/>
        </w:rPr>
        <w:t>实现自治区、地州市、县市三级国土资源管理各类信息的逐级汇总与更新，保障所需信息的完整性、及时性和准确性，使各级国土资源部门能够及时、准确、全面掌握土地“批、供、用、补、查”、土地登记、地价监测，实现对国土资源开发利用全过程、全周期、常态化、制度化的动态监管。</w:t>
      </w:r>
    </w:p>
    <w:p>
      <w:pPr>
        <w:spacing w:beforeLines="50" w:line="600" w:lineRule="exact"/>
        <w:rPr>
          <w:rFonts w:ascii="仿宋_GB2312" w:hAnsi="仿宋" w:eastAsia="仿宋_GB2312" w:cs="宋体"/>
          <w:color w:val="FF0000"/>
          <w:sz w:val="32"/>
          <w:szCs w:val="32"/>
        </w:rPr>
      </w:pPr>
      <w:r>
        <w:rPr>
          <w:rFonts w:hint="eastAsia" w:ascii="仿宋_GB2312" w:hAnsi="仿宋" w:eastAsia="仿宋_GB2312" w:cs="宋体"/>
          <w:sz w:val="32"/>
          <w:szCs w:val="32"/>
        </w:rPr>
        <w:t xml:space="preserve"> </w:t>
      </w:r>
      <w:r>
        <w:rPr>
          <w:rFonts w:ascii="仿宋_GB2312" w:hAnsi="仿宋" w:eastAsia="仿宋_GB2312" w:cs="宋体"/>
          <w:sz w:val="32"/>
          <w:szCs w:val="32"/>
        </w:rPr>
        <w:t xml:space="preserve">   </w:t>
      </w:r>
      <w:r>
        <w:rPr>
          <w:rFonts w:hint="eastAsia" w:ascii="仿宋_GB2312" w:hAnsi="仿宋" w:eastAsia="仿宋_GB2312" w:cs="宋体"/>
          <w:sz w:val="32"/>
          <w:szCs w:val="32"/>
        </w:rPr>
        <w:t>项目共设置</w:t>
      </w:r>
      <w:r>
        <w:rPr>
          <w:rFonts w:ascii="仿宋_GB2312" w:hAnsi="仿宋" w:eastAsia="仿宋_GB2312" w:cs="宋体"/>
          <w:sz w:val="32"/>
          <w:szCs w:val="32"/>
        </w:rPr>
        <w:t>1</w:t>
      </w:r>
      <w:r>
        <w:rPr>
          <w:rFonts w:hint="eastAsia" w:ascii="仿宋_GB2312" w:hAnsi="仿宋" w:eastAsia="仿宋_GB2312" w:cs="宋体"/>
          <w:sz w:val="32"/>
          <w:szCs w:val="32"/>
        </w:rPr>
        <w:t>级指标3个，二级指标</w:t>
      </w:r>
      <w:r>
        <w:rPr>
          <w:rFonts w:hint="eastAsia" w:ascii="仿宋_GB2312" w:hAnsi="仿宋" w:eastAsia="仿宋_GB2312" w:cs="宋体"/>
          <w:sz w:val="32"/>
          <w:szCs w:val="32"/>
          <w:lang w:val="en-US" w:eastAsia="zh-CN"/>
        </w:rPr>
        <w:t>8</w:t>
      </w:r>
      <w:r>
        <w:rPr>
          <w:rFonts w:hint="eastAsia" w:ascii="仿宋_GB2312" w:hAnsi="仿宋" w:eastAsia="仿宋_GB2312" w:cs="宋体"/>
          <w:sz w:val="32"/>
          <w:szCs w:val="32"/>
        </w:rPr>
        <w:t>个，三级指标</w:t>
      </w:r>
      <w:r>
        <w:rPr>
          <w:rFonts w:hint="eastAsia" w:ascii="仿宋_GB2312" w:hAnsi="仿宋" w:eastAsia="仿宋_GB2312" w:cs="宋体"/>
          <w:sz w:val="32"/>
          <w:szCs w:val="32"/>
          <w:lang w:val="en-US" w:eastAsia="zh-CN"/>
        </w:rPr>
        <w:t>9</w:t>
      </w:r>
      <w:r>
        <w:rPr>
          <w:rFonts w:hint="eastAsia" w:ascii="仿宋_GB2312" w:hAnsi="仿宋" w:eastAsia="仿宋_GB2312" w:cs="宋体"/>
          <w:sz w:val="32"/>
          <w:szCs w:val="32"/>
        </w:rPr>
        <w:t>个，绩效目标申报表详见附件1。</w:t>
      </w:r>
    </w:p>
    <w:p>
      <w:pPr>
        <w:pStyle w:val="23"/>
        <w:numPr>
          <w:ilvl w:val="0"/>
          <w:numId w:val="2"/>
        </w:numPr>
        <w:ind w:firstLineChars="0"/>
      </w:pPr>
      <w:bookmarkStart w:id="3" w:name="_Toc26401552"/>
      <w:r>
        <w:rPr>
          <w:rFonts w:hint="eastAsia"/>
        </w:rPr>
        <w:t>评价工作简述</w:t>
      </w:r>
      <w:bookmarkEnd w:id="3"/>
    </w:p>
    <w:p>
      <w:pPr>
        <w:pStyle w:val="25"/>
        <w:numPr>
          <w:ilvl w:val="0"/>
          <w:numId w:val="4"/>
        </w:numPr>
        <w:ind w:left="0" w:firstLine="643" w:firstLineChars="200"/>
      </w:pPr>
      <w:bookmarkStart w:id="4" w:name="_Toc26401553"/>
      <w:r>
        <w:rPr>
          <w:rFonts w:hint="eastAsia"/>
        </w:rPr>
        <w:t>评价目的</w:t>
      </w:r>
      <w:bookmarkEnd w:id="4"/>
    </w:p>
    <w:p>
      <w:pPr>
        <w:spacing w:beforeLines="50" w:line="600" w:lineRule="exact"/>
        <w:ind w:firstLine="640" w:firstLineChars="200"/>
        <w:rPr>
          <w:rFonts w:ascii="仿宋_GB2312" w:hAnsi="仿宋" w:eastAsia="仿宋_GB2312" w:cs="宋体"/>
          <w:color w:val="FF0000"/>
          <w:sz w:val="32"/>
          <w:szCs w:val="32"/>
        </w:rPr>
      </w:pPr>
      <w:r>
        <w:rPr>
          <w:rFonts w:hint="eastAsia" w:ascii="仿宋_GB2312" w:hAnsi="仿宋" w:eastAsia="仿宋_GB2312" w:cs="宋体"/>
          <w:sz w:val="32"/>
          <w:szCs w:val="32"/>
        </w:rPr>
        <w:t>本次绩效评价遵循财政部《项目</w:t>
      </w:r>
      <w:r>
        <w:rPr>
          <w:rFonts w:ascii="仿宋_GB2312" w:hAnsi="仿宋" w:eastAsia="仿宋_GB2312" w:cs="宋体"/>
          <w:sz w:val="32"/>
          <w:szCs w:val="32"/>
        </w:rPr>
        <w:t>支出绩效评价管理办法》（财预〔2020〕10号）和自治区财政厅</w:t>
      </w:r>
      <w:r>
        <w:rPr>
          <w:rFonts w:hint="eastAsia" w:ascii="仿宋_GB2312" w:hAnsi="仿宋_GB2312" w:eastAsia="仿宋_GB2312" w:cs="仿宋_GB2312"/>
          <w:kern w:val="0"/>
          <w:sz w:val="32"/>
          <w:szCs w:val="32"/>
          <w:shd w:val="clear" w:color="auto" w:fill="FFFFFF"/>
        </w:rPr>
        <w:t>《自治区财政支出绩效评价管理暂行办法》（新财预〔</w:t>
      </w:r>
      <w:r>
        <w:rPr>
          <w:rFonts w:ascii="仿宋_GB2312" w:hAnsi="仿宋_GB2312" w:eastAsia="仿宋_GB2312" w:cs="仿宋_GB2312"/>
          <w:kern w:val="0"/>
          <w:sz w:val="32"/>
          <w:szCs w:val="32"/>
          <w:shd w:val="clear" w:color="auto" w:fill="FFFFFF"/>
        </w:rPr>
        <w:t>2018〕189号</w:t>
      </w:r>
      <w:r>
        <w:rPr>
          <w:rFonts w:hint="eastAsia" w:ascii="仿宋_GB2312" w:hAnsi="仿宋_GB2312" w:eastAsia="仿宋_GB2312" w:cs="仿宋_GB2312"/>
          <w:kern w:val="0"/>
          <w:sz w:val="32"/>
          <w:szCs w:val="32"/>
          <w:shd w:val="clear" w:color="auto" w:fill="FFFFFF"/>
        </w:rPr>
        <w:t>）</w:t>
      </w:r>
      <w:r>
        <w:rPr>
          <w:rFonts w:ascii="仿宋_GB2312" w:hAnsi="仿宋" w:eastAsia="仿宋_GB2312" w:cs="宋体"/>
          <w:sz w:val="32"/>
          <w:szCs w:val="32"/>
        </w:rPr>
        <w:t>等相关政策文件与规定，</w:t>
      </w:r>
      <w:r>
        <w:rPr>
          <w:rFonts w:hint="eastAsia" w:ascii="仿宋_GB2312" w:hAnsi="仿宋" w:eastAsia="仿宋_GB2312" w:cs="宋体"/>
          <w:sz w:val="32"/>
          <w:szCs w:val="32"/>
        </w:rPr>
        <w:t>旨在评价</w:t>
      </w:r>
      <w:r>
        <w:rPr>
          <w:rFonts w:hint="eastAsia" w:ascii="仿宋_GB2312" w:hAnsi="仿宋" w:eastAsia="仿宋_GB2312" w:cs="宋体"/>
          <w:sz w:val="32"/>
          <w:szCs w:val="32"/>
          <w:lang w:val="en-US" w:eastAsia="zh-CN"/>
        </w:rPr>
        <w:t>土地资源调查</w:t>
      </w:r>
      <w:r>
        <w:rPr>
          <w:rFonts w:hint="eastAsia" w:ascii="仿宋_GB2312" w:hAnsi="仿宋" w:eastAsia="仿宋_GB2312" w:cs="宋体"/>
          <w:sz w:val="32"/>
          <w:szCs w:val="32"/>
        </w:rPr>
        <w:t>项目实施前期、过程及效果，评价财政预算资金使用的效率及效益。</w:t>
      </w:r>
    </w:p>
    <w:p>
      <w:pPr>
        <w:pStyle w:val="25"/>
        <w:numPr>
          <w:ilvl w:val="0"/>
          <w:numId w:val="4"/>
        </w:numPr>
        <w:ind w:left="0" w:firstLine="643" w:firstLineChars="200"/>
      </w:pPr>
      <w:r>
        <w:rPr>
          <w:rFonts w:hint="eastAsia"/>
        </w:rPr>
        <w:t>本次绩效评价的对象及范围</w:t>
      </w:r>
      <w:bookmarkStart w:id="5" w:name="_Toc26401554"/>
    </w:p>
    <w:p>
      <w:pPr>
        <w:spacing w:beforeLines="50" w:line="600" w:lineRule="exact"/>
        <w:ind w:firstLine="640" w:firstLineChars="200"/>
        <w:rPr>
          <w:rFonts w:ascii="仿宋_GB2312" w:hAnsi="仿宋" w:eastAsia="仿宋_GB2312" w:cs="宋体"/>
          <w:sz w:val="32"/>
          <w:szCs w:val="32"/>
        </w:rPr>
      </w:pPr>
      <w:r>
        <w:rPr>
          <w:rFonts w:ascii="仿宋_GB2312" w:hAnsi="仿宋" w:eastAsia="仿宋_GB2312" w:cs="宋体"/>
          <w:sz w:val="32"/>
          <w:szCs w:val="32"/>
        </w:rPr>
        <w:t>本次评价对象为</w:t>
      </w:r>
      <w:r>
        <w:rPr>
          <w:rFonts w:hint="eastAsia" w:ascii="仿宋_GB2312" w:hAnsi="仿宋" w:eastAsia="仿宋_GB2312" w:cs="宋体"/>
          <w:sz w:val="32"/>
          <w:szCs w:val="32"/>
          <w:lang w:val="en-US" w:eastAsia="zh-CN"/>
        </w:rPr>
        <w:t>土地资源调查</w:t>
      </w:r>
      <w:r>
        <w:rPr>
          <w:rFonts w:ascii="仿宋_GB2312" w:hAnsi="仿宋" w:eastAsia="仿宋_GB2312" w:cs="宋体"/>
          <w:sz w:val="32"/>
          <w:szCs w:val="32"/>
        </w:rPr>
        <w:t>项目资金，评价范围包括专项资</w:t>
      </w:r>
      <w:r>
        <w:rPr>
          <w:rFonts w:hint="eastAsia" w:ascii="仿宋_GB2312" w:hAnsi="仿宋" w:eastAsia="仿宋_GB2312" w:cs="宋体"/>
          <w:sz w:val="32"/>
          <w:szCs w:val="32"/>
        </w:rPr>
        <w:t>金的安排、组织及使用效益。</w:t>
      </w:r>
    </w:p>
    <w:p>
      <w:pPr>
        <w:pStyle w:val="25"/>
        <w:numPr>
          <w:ilvl w:val="0"/>
          <w:numId w:val="4"/>
        </w:numPr>
        <w:ind w:left="0" w:firstLine="643" w:firstLineChars="200"/>
      </w:pPr>
      <w:r>
        <w:rPr>
          <w:rFonts w:hint="eastAsia"/>
        </w:rPr>
        <w:t>绩效评价原则</w:t>
      </w:r>
      <w:bookmarkEnd w:id="5"/>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本次绩效评价遵循的原则包括：</w:t>
      </w:r>
    </w:p>
    <w:p>
      <w:pPr>
        <w:pStyle w:val="25"/>
        <w:keepNext w:val="0"/>
        <w:keepLines w:val="0"/>
        <w:numPr>
          <w:ilvl w:val="1"/>
          <w:numId w:val="5"/>
        </w:numPr>
        <w:ind w:left="0" w:firstLine="640" w:firstLineChars="200"/>
        <w:rPr>
          <w:rFonts w:hAnsi="仿宋" w:cs="宋体"/>
          <w:b w:val="0"/>
        </w:rPr>
      </w:pPr>
      <w:r>
        <w:rPr>
          <w:rFonts w:hint="eastAsia" w:hAnsi="仿宋" w:cs="宋体"/>
          <w:b w:val="0"/>
        </w:rPr>
        <w:t>科学公正。绩效评价应当运用科学合理的方法，按照规范的程序，对项目绩效进行客观、公正的反映。</w:t>
      </w:r>
    </w:p>
    <w:p>
      <w:pPr>
        <w:pStyle w:val="25"/>
        <w:keepNext w:val="0"/>
        <w:keepLines w:val="0"/>
        <w:numPr>
          <w:ilvl w:val="1"/>
          <w:numId w:val="5"/>
        </w:numPr>
        <w:ind w:left="0" w:firstLine="640" w:firstLineChars="200"/>
        <w:rPr>
          <w:rFonts w:hAnsi="仿宋" w:cs="宋体"/>
          <w:b w:val="0"/>
        </w:rPr>
      </w:pPr>
      <w:r>
        <w:rPr>
          <w:rFonts w:hint="eastAsia" w:hAnsi="仿宋" w:cs="宋体"/>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5"/>
        <w:keepNext w:val="0"/>
        <w:keepLines w:val="0"/>
        <w:numPr>
          <w:ilvl w:val="1"/>
          <w:numId w:val="5"/>
        </w:numPr>
        <w:ind w:left="0" w:firstLine="640" w:firstLineChars="200"/>
        <w:rPr>
          <w:rFonts w:hAnsi="仿宋" w:cs="宋体"/>
          <w:b w:val="0"/>
        </w:rPr>
      </w:pPr>
      <w:r>
        <w:rPr>
          <w:rFonts w:hint="eastAsia" w:hAnsi="仿宋" w:cs="宋体"/>
          <w:b w:val="0"/>
        </w:rPr>
        <w:t>激励约束。绩效评价结果应与预算安排、政策调整、改进管理实质性挂钩，体现奖优罚劣和激励相容导向，有效要安排、低效要压减、无效要问责。</w:t>
      </w:r>
    </w:p>
    <w:p>
      <w:pPr>
        <w:pStyle w:val="25"/>
        <w:keepNext w:val="0"/>
        <w:keepLines w:val="0"/>
        <w:numPr>
          <w:ilvl w:val="1"/>
          <w:numId w:val="5"/>
        </w:numPr>
        <w:ind w:left="0" w:firstLine="640" w:firstLineChars="200"/>
        <w:rPr>
          <w:b w:val="0"/>
        </w:rPr>
      </w:pPr>
      <w:r>
        <w:rPr>
          <w:rFonts w:hint="eastAsia" w:hAnsi="仿宋" w:cs="宋体"/>
          <w:b w:val="0"/>
        </w:rPr>
        <w:t>公开透明。绩效评价结果应依法依规公开，并自觉接受社会监督。</w:t>
      </w:r>
      <w:r>
        <w:rPr>
          <w:rFonts w:hint="eastAsia"/>
          <w:b w:val="0"/>
        </w:rPr>
        <w:t>绩效评价体系</w:t>
      </w:r>
    </w:p>
    <w:p>
      <w:pPr>
        <w:pStyle w:val="25"/>
        <w:numPr>
          <w:ilvl w:val="0"/>
          <w:numId w:val="4"/>
        </w:numPr>
        <w:ind w:left="0" w:firstLine="643" w:firstLineChars="200"/>
      </w:pPr>
      <w:r>
        <w:rPr>
          <w:rFonts w:hint="eastAsia"/>
        </w:rPr>
        <w:t>本项目绩效评价体系</w:t>
      </w:r>
    </w:p>
    <w:p>
      <w:pPr>
        <w:pStyle w:val="25"/>
        <w:numPr>
          <w:ilvl w:val="0"/>
          <w:numId w:val="0"/>
        </w:numPr>
        <w:ind w:firstLine="640" w:firstLineChars="200"/>
        <w:rPr>
          <w:b w:val="0"/>
          <w:color w:val="auto"/>
        </w:rPr>
      </w:pPr>
      <w:r>
        <w:rPr>
          <w:rFonts w:hint="eastAsia"/>
          <w:b w:val="0"/>
        </w:rPr>
        <w:t>本项目绩效评价体系为根据财预</w:t>
      </w:r>
      <w:r>
        <w:rPr>
          <w:rFonts w:hint="eastAsia" w:ascii="仿宋" w:hAnsi="仿宋" w:eastAsia="仿宋"/>
          <w:b w:val="0"/>
        </w:rPr>
        <w:t>﹝</w:t>
      </w:r>
      <w:r>
        <w:rPr>
          <w:rFonts w:hint="eastAsia"/>
          <w:b w:val="0"/>
        </w:rPr>
        <w:t>2</w:t>
      </w:r>
      <w:r>
        <w:rPr>
          <w:b w:val="0"/>
        </w:rPr>
        <w:t>020</w:t>
      </w:r>
      <w:r>
        <w:rPr>
          <w:rFonts w:hint="eastAsia" w:ascii="仿宋" w:hAnsi="仿宋" w:eastAsia="仿宋"/>
          <w:b w:val="0"/>
        </w:rPr>
        <w:t>﹞</w:t>
      </w:r>
      <w:r>
        <w:rPr>
          <w:rFonts w:hint="eastAsia"/>
          <w:b w:val="0"/>
        </w:rPr>
        <w:t>1</w:t>
      </w:r>
      <w:r>
        <w:rPr>
          <w:b w:val="0"/>
        </w:rPr>
        <w:t>0</w:t>
      </w:r>
      <w:r>
        <w:rPr>
          <w:rFonts w:hint="eastAsia"/>
          <w:b w:val="0"/>
        </w:rPr>
        <w:t>号共性指标及个性化指标设置，</w:t>
      </w:r>
      <w:r>
        <w:rPr>
          <w:rFonts w:hint="eastAsia"/>
          <w:b w:val="0"/>
          <w:color w:val="auto"/>
        </w:rPr>
        <w:t>详见附件2。</w:t>
      </w:r>
    </w:p>
    <w:p>
      <w:pPr>
        <w:pStyle w:val="25"/>
        <w:keepNext w:val="0"/>
        <w:keepLines w:val="0"/>
        <w:numPr>
          <w:ilvl w:val="0"/>
          <w:numId w:val="4"/>
        </w:numPr>
        <w:ind w:left="0" w:firstLine="643" w:firstLineChars="200"/>
      </w:pPr>
      <w:bookmarkStart w:id="6" w:name="_Toc26401555"/>
      <w:r>
        <w:rPr>
          <w:rFonts w:hint="eastAsia"/>
        </w:rPr>
        <w:t>绩效评价方法</w:t>
      </w:r>
      <w:bookmarkEnd w:id="6"/>
    </w:p>
    <w:p>
      <w:pPr>
        <w:spacing w:beforeLines="50" w:line="600" w:lineRule="exact"/>
        <w:ind w:firstLine="645"/>
        <w:rPr>
          <w:rFonts w:ascii="仿宋_GB2312" w:hAnsi="仿宋" w:eastAsia="仿宋_GB2312" w:cs="宋体"/>
          <w:sz w:val="32"/>
          <w:szCs w:val="32"/>
        </w:rPr>
      </w:pPr>
      <w:r>
        <w:rPr>
          <w:rFonts w:hint="eastAsia" w:ascii="仿宋_GB2312" w:hAnsi="仿宋" w:eastAsia="仿宋_GB2312" w:cs="宋体"/>
          <w:sz w:val="32"/>
          <w:szCs w:val="32"/>
        </w:rPr>
        <w:t>本次绩效评价方法的选用简便有效的原则采用成本效益分析法、问卷调查法、综合分析法。</w:t>
      </w:r>
    </w:p>
    <w:p>
      <w:pPr>
        <w:pStyle w:val="25"/>
        <w:keepNext w:val="0"/>
        <w:keepLines w:val="0"/>
        <w:numPr>
          <w:ilvl w:val="0"/>
          <w:numId w:val="4"/>
        </w:numPr>
        <w:ind w:left="0" w:firstLine="643" w:firstLineChars="200"/>
      </w:pPr>
      <w:r>
        <w:rPr>
          <w:rFonts w:hint="eastAsia"/>
        </w:rPr>
        <w:t>评价标准</w:t>
      </w:r>
    </w:p>
    <w:p>
      <w:pPr>
        <w:pStyle w:val="25"/>
        <w:keepNext w:val="0"/>
        <w:keepLines w:val="0"/>
        <w:numPr>
          <w:ilvl w:val="0"/>
          <w:numId w:val="0"/>
        </w:numPr>
      </w:pPr>
      <w:r>
        <w:rPr>
          <w:rFonts w:hint="eastAsia"/>
        </w:rPr>
        <w:t xml:space="preserve"> </w:t>
      </w:r>
      <w:r>
        <w:t xml:space="preserve">   </w:t>
      </w:r>
      <w:r>
        <w:rPr>
          <w:rFonts w:hint="eastAsia"/>
        </w:rPr>
        <w:t>项目评价标准采用</w:t>
      </w:r>
      <w:r>
        <w:rPr>
          <w:rFonts w:hint="eastAsia"/>
          <w:bCs w:val="0"/>
        </w:rPr>
        <w:t>计划标准、行业标准、历史标准</w:t>
      </w:r>
    </w:p>
    <w:p>
      <w:pPr>
        <w:pStyle w:val="25"/>
        <w:keepNext w:val="0"/>
        <w:keepLines w:val="0"/>
        <w:numPr>
          <w:ilvl w:val="0"/>
          <w:numId w:val="4"/>
        </w:numPr>
        <w:ind w:left="0" w:firstLine="643" w:firstLineChars="200"/>
      </w:pPr>
      <w:r>
        <w:rPr>
          <w:rFonts w:hint="eastAsia"/>
        </w:rPr>
        <w:t>绩效评价工作过程</w:t>
      </w:r>
    </w:p>
    <w:p>
      <w:pPr>
        <w:pStyle w:val="25"/>
        <w:keepNext w:val="0"/>
        <w:keepLines w:val="0"/>
        <w:numPr>
          <w:ilvl w:val="0"/>
          <w:numId w:val="0"/>
        </w:numPr>
        <w:ind w:firstLine="640" w:firstLineChars="200"/>
        <w:outlineLvl w:val="9"/>
        <w:rPr>
          <w:b w:val="0"/>
          <w:bCs w:val="0"/>
        </w:rPr>
      </w:pPr>
      <w:r>
        <w:rPr>
          <w:rFonts w:hint="eastAsia"/>
          <w:b w:val="0"/>
          <w:bCs w:val="0"/>
        </w:rPr>
        <w:t>本次评价成立了评价</w:t>
      </w:r>
      <w:r>
        <w:rPr>
          <w:rFonts w:hint="eastAsia"/>
          <w:b w:val="0"/>
          <w:bCs w:val="0"/>
          <w:lang w:eastAsia="zh-CN"/>
        </w:rPr>
        <w:t>小组</w:t>
      </w:r>
      <w:r>
        <w:rPr>
          <w:rFonts w:hint="eastAsia"/>
          <w:b w:val="0"/>
          <w:bCs w:val="0"/>
        </w:rPr>
        <w:t>，成员如下：</w:t>
      </w:r>
    </w:p>
    <w:tbl>
      <w:tblPr>
        <w:tblStyle w:val="17"/>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lang w:val="en-US" w:eastAsia="zh-CN"/>
              </w:rPr>
            </w:pPr>
            <w:r>
              <w:rPr>
                <w:rFonts w:hint="eastAsia"/>
                <w:b w:val="0"/>
                <w:bCs w:val="0"/>
                <w:lang w:val="en-US" w:eastAsia="zh-CN"/>
              </w:rPr>
              <w:t>阿不都克依木</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评价组组长</w:t>
            </w:r>
          </w:p>
        </w:tc>
        <w:tc>
          <w:tcPr>
            <w:tcW w:w="2766" w:type="dxa"/>
            <w:vAlign w:val="center"/>
          </w:tcPr>
          <w:p>
            <w:pPr>
              <w:pStyle w:val="25"/>
              <w:keepNext w:val="0"/>
              <w:keepLines w:val="0"/>
              <w:numPr>
                <w:ilvl w:val="0"/>
                <w:numId w:val="0"/>
              </w:numPr>
              <w:spacing w:line="240" w:lineRule="atLeast"/>
              <w:jc w:val="center"/>
              <w:rPr>
                <w:rFonts w:hint="default" w:eastAsia="仿宋_GB2312"/>
                <w:b w:val="0"/>
                <w:bCs w:val="0"/>
                <w:lang w:val="en-US" w:eastAsia="zh-CN"/>
              </w:rPr>
            </w:pPr>
            <w:r>
              <w:rPr>
                <w:rFonts w:hint="eastAsia"/>
                <w:b w:val="0"/>
                <w:bCs w:val="0"/>
                <w:lang w:val="en-US" w:eastAsia="zh-CN"/>
              </w:rPr>
              <w:t>高级工程师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lang w:val="en-US" w:eastAsia="zh-CN"/>
              </w:rPr>
            </w:pPr>
            <w:r>
              <w:rPr>
                <w:rFonts w:hint="eastAsia"/>
                <w:b w:val="0"/>
                <w:bCs w:val="0"/>
                <w:lang w:val="en-US" w:eastAsia="zh-CN"/>
              </w:rPr>
              <w:t>杜生强</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b w:val="0"/>
                <w:bCs w:val="0"/>
              </w:rPr>
            </w:pPr>
            <w:r>
              <w:rPr>
                <w:rFonts w:hint="eastAsia"/>
                <w:b w:val="0"/>
                <w:bCs w:val="0"/>
                <w:lang w:val="en-US" w:eastAsia="zh-CN"/>
              </w:rPr>
              <w:t>高级工程师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65" w:type="dxa"/>
            <w:vAlign w:val="center"/>
          </w:tcPr>
          <w:p>
            <w:pPr>
              <w:pStyle w:val="25"/>
              <w:keepNext w:val="0"/>
              <w:keepLines w:val="0"/>
              <w:numPr>
                <w:ilvl w:val="0"/>
                <w:numId w:val="0"/>
              </w:numPr>
              <w:spacing w:line="240" w:lineRule="atLeast"/>
              <w:jc w:val="center"/>
              <w:rPr>
                <w:rFonts w:hint="eastAsia" w:eastAsia="仿宋_GB2312"/>
                <w:b w:val="0"/>
                <w:bCs w:val="0"/>
                <w:lang w:val="en-US" w:eastAsia="zh-CN"/>
              </w:rPr>
            </w:pPr>
            <w:r>
              <w:rPr>
                <w:rFonts w:hint="eastAsia"/>
                <w:b w:val="0"/>
                <w:bCs w:val="0"/>
                <w:lang w:val="en-US" w:eastAsia="zh-CN"/>
              </w:rPr>
              <w:t>李秀哲</w:t>
            </w:r>
          </w:p>
        </w:tc>
        <w:tc>
          <w:tcPr>
            <w:tcW w:w="2765" w:type="dxa"/>
            <w:vAlign w:val="center"/>
          </w:tcPr>
          <w:p>
            <w:pPr>
              <w:pStyle w:val="25"/>
              <w:keepNext w:val="0"/>
              <w:keepLines w:val="0"/>
              <w:numPr>
                <w:ilvl w:val="0"/>
                <w:numId w:val="0"/>
              </w:numPr>
              <w:spacing w:line="240" w:lineRule="atLeast"/>
              <w:jc w:val="center"/>
              <w:rPr>
                <w:b w:val="0"/>
                <w:bCs w:val="0"/>
              </w:rPr>
            </w:pPr>
            <w:r>
              <w:rPr>
                <w:rFonts w:hint="eastAsia"/>
                <w:b w:val="0"/>
                <w:bCs w:val="0"/>
              </w:rPr>
              <w:t>评价组成员</w:t>
            </w:r>
          </w:p>
        </w:tc>
        <w:tc>
          <w:tcPr>
            <w:tcW w:w="2766" w:type="dxa"/>
            <w:vAlign w:val="center"/>
          </w:tcPr>
          <w:p>
            <w:pPr>
              <w:pStyle w:val="25"/>
              <w:keepNext w:val="0"/>
              <w:keepLines w:val="0"/>
              <w:numPr>
                <w:ilvl w:val="0"/>
                <w:numId w:val="0"/>
              </w:numPr>
              <w:spacing w:line="240" w:lineRule="atLeast"/>
              <w:jc w:val="center"/>
              <w:rPr>
                <w:rFonts w:hint="default" w:eastAsia="仿宋_GB2312"/>
                <w:b w:val="0"/>
                <w:bCs w:val="0"/>
                <w:lang w:val="en-US" w:eastAsia="zh-CN"/>
              </w:rPr>
            </w:pPr>
            <w:r>
              <w:rPr>
                <w:rFonts w:hint="eastAsia"/>
                <w:b w:val="0"/>
                <w:bCs w:val="0"/>
                <w:lang w:val="en-US" w:eastAsia="zh-CN"/>
              </w:rPr>
              <w:t>中级工程师</w:t>
            </w:r>
          </w:p>
        </w:tc>
      </w:tr>
    </w:tbl>
    <w:p>
      <w:pPr>
        <w:pStyle w:val="25"/>
        <w:keepNext w:val="0"/>
        <w:keepLines w:val="0"/>
        <w:numPr>
          <w:ilvl w:val="0"/>
          <w:numId w:val="0"/>
        </w:numPr>
        <w:ind w:firstLine="640" w:firstLineChars="200"/>
        <w:outlineLvl w:val="9"/>
        <w:rPr>
          <w:b w:val="0"/>
          <w:bCs w:val="0"/>
        </w:rPr>
      </w:pPr>
      <w:r>
        <w:rPr>
          <w:rFonts w:hint="eastAsia"/>
          <w:b w:val="0"/>
          <w:bCs w:val="0"/>
        </w:rPr>
        <w:t>本次评价设计了评价方案、评价指标体系，通过资料分析、调研、访谈满意度调查等方式形成评价结论，在与项目单位沟通后确定评价意见，并出具评价报告。　</w:t>
      </w:r>
    </w:p>
    <w:p>
      <w:pPr>
        <w:pStyle w:val="23"/>
        <w:numPr>
          <w:ilvl w:val="0"/>
          <w:numId w:val="2"/>
        </w:numPr>
        <w:ind w:firstLineChars="0"/>
        <w:rPr>
          <w:color w:val="000000" w:themeColor="text1"/>
        </w:rPr>
      </w:pPr>
      <w:bookmarkStart w:id="7" w:name="_Toc26401558"/>
      <w:r>
        <w:rPr>
          <w:rFonts w:hint="eastAsia" w:ascii="黑体" w:hAnsi="黑体"/>
          <w:color w:val="000000" w:themeColor="text1"/>
        </w:rPr>
        <w:t>综合评价情况及评价结论</w:t>
      </w:r>
    </w:p>
    <w:p>
      <w:pPr>
        <w:pStyle w:val="23"/>
        <w:ind w:firstLine="640"/>
        <w:rPr>
          <w:rFonts w:ascii="仿宋_GB2312" w:eastAsia="仿宋_GB2312" w:hAnsiTheme="majorHAnsi"/>
          <w:b w:val="0"/>
          <w:bCs w:val="0"/>
          <w:kern w:val="2"/>
          <w:highlight w:val="yellow"/>
        </w:rPr>
      </w:pPr>
      <w:r>
        <w:rPr>
          <w:rFonts w:hint="eastAsia" w:ascii="仿宋_GB2312" w:eastAsia="仿宋_GB2312" w:hAnsiTheme="majorHAnsi"/>
          <w:b w:val="0"/>
          <w:bCs w:val="0"/>
          <w:color w:val="000000" w:themeColor="text1"/>
          <w:kern w:val="2"/>
          <w:sz w:val="36"/>
          <w:szCs w:val="36"/>
        </w:rPr>
        <w:t>经评价组通</w:t>
      </w:r>
      <w:r>
        <w:rPr>
          <w:rFonts w:hint="eastAsia" w:ascii="仿宋_GB2312" w:eastAsia="仿宋_GB2312" w:hAnsiTheme="majorHAnsi"/>
          <w:b w:val="0"/>
          <w:bCs w:val="0"/>
          <w:color w:val="000000" w:themeColor="text1"/>
          <w:kern w:val="2"/>
        </w:rPr>
        <w:t>过实地调研、资料分析等方式，采用综合分析法、成本</w:t>
      </w:r>
      <w:r>
        <w:rPr>
          <w:rFonts w:hint="eastAsia" w:ascii="仿宋_GB2312" w:eastAsia="仿宋_GB2312" w:hAnsiTheme="majorHAnsi"/>
          <w:b w:val="0"/>
          <w:bCs w:val="0"/>
          <w:kern w:val="2"/>
        </w:rPr>
        <w:t>效益分析法、最低成本法、标杆管理法（根据实际情况去留）等对项目的决策、管理、绩效进行的综合评价分析，</w:t>
      </w:r>
      <w:r>
        <w:rPr>
          <w:rFonts w:hint="eastAsia" w:ascii="仿宋_GB2312" w:eastAsia="仿宋_GB2312" w:hAnsiTheme="majorHAnsi"/>
          <w:b w:val="0"/>
          <w:bCs w:val="0"/>
          <w:kern w:val="2"/>
          <w:highlight w:val="none"/>
        </w:rPr>
        <w:t>项目得分为</w:t>
      </w:r>
      <w:r>
        <w:rPr>
          <w:rFonts w:hint="eastAsia" w:ascii="仿宋_GB2312" w:eastAsia="仿宋_GB2312" w:hAnsiTheme="majorHAnsi"/>
          <w:b w:val="0"/>
          <w:bCs w:val="0"/>
          <w:kern w:val="2"/>
          <w:highlight w:val="none"/>
          <w:lang w:val="en-US" w:eastAsia="zh-CN"/>
        </w:rPr>
        <w:t>100</w:t>
      </w:r>
      <w:r>
        <w:rPr>
          <w:rFonts w:hint="eastAsia" w:ascii="仿宋_GB2312" w:eastAsia="仿宋_GB2312" w:hAnsiTheme="majorHAnsi"/>
          <w:b w:val="0"/>
          <w:bCs w:val="0"/>
          <w:kern w:val="2"/>
          <w:highlight w:val="none"/>
        </w:rPr>
        <w:t>分，评价结果为优（良/一般/差），详见附件6。</w:t>
      </w:r>
    </w:p>
    <w:p>
      <w:pPr>
        <w:pStyle w:val="23"/>
        <w:numPr>
          <w:ilvl w:val="0"/>
          <w:numId w:val="2"/>
        </w:numPr>
        <w:ind w:firstLineChars="0"/>
      </w:pPr>
      <w:r>
        <w:rPr>
          <w:rFonts w:hint="eastAsia"/>
        </w:rPr>
        <w:t>绩效评价指标分析</w:t>
      </w:r>
      <w:bookmarkEnd w:id="7"/>
    </w:p>
    <w:p>
      <w:pPr>
        <w:pStyle w:val="19"/>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项目的决策情况</w:t>
      </w:r>
    </w:p>
    <w:p>
      <w:pPr>
        <w:pStyle w:val="28"/>
        <w:ind w:firstLine="640"/>
        <w:rPr>
          <w:rFonts w:hint="eastAsia" w:ascii="仿宋_GB2312" w:hAnsi="仿宋" w:eastAsia="仿宋_GB2312" w:cs="宋体"/>
          <w:sz w:val="32"/>
          <w:szCs w:val="32"/>
          <w:lang w:eastAsia="zh-CN"/>
        </w:rPr>
      </w:pPr>
      <w:r>
        <w:rPr>
          <w:rFonts w:hint="eastAsia" w:ascii="仿宋_GB2312" w:hAnsi="仿宋" w:cs="宋体"/>
          <w:sz w:val="32"/>
          <w:szCs w:val="32"/>
        </w:rPr>
        <w:t>本项目的立项符合相关法规政策及部门职责，依据是否充分；项目是否按照规定的程序申请设立；审批文件、材料是否符合相关要求；项目前期是否已经过必要的可行性研究、专家论证、风险评估、绩效评估、集体决策</w:t>
      </w:r>
      <w:r>
        <w:rPr>
          <w:rFonts w:hint="eastAsia" w:ascii="仿宋_GB2312" w:hAnsi="仿宋" w:cs="宋体"/>
          <w:sz w:val="32"/>
          <w:szCs w:val="32"/>
          <w:lang w:eastAsia="zh-CN"/>
        </w:rPr>
        <w:t>。</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根据相关文件要求设置了绩效目标，项目绩效目标基本合理，是否与实际工作内容相关；项目预期产出效益和效果是否符合正常的业绩水平；是否与预算确定的项目投资额或资金量相匹配。是否将项目绩效目标细化分解为具体的绩效指标；是否通过清晰、可衡量的指标值予以体现；是否与项目目标任务数或计划数相对应。</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项目在资金投入方面，预算编制是否经过科学论证、有明确标准，资金额度与年度目标是否相适应，用以反映和考核项目预算编制的科学性、合理性情况。项目预算资金分配是否有测算依据。</w:t>
      </w:r>
    </w:p>
    <w:p>
      <w:pPr>
        <w:pStyle w:val="19"/>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项目的过程情况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资金管理方面，项目资金到位是否足额及时，是否及时支付，资金使用是否符合国家法规和财务管理制度；资金拨付是否有完整的审批程序和手续，是否符合项目预算批复或合同规定的用途；是否存在截留、挤占、挪用、虚列支出等情况。</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在项目组织实施方面，项目单位是否已制定或具有相应的财务和业务管理制度，财务和业务管理制度是否合法、合规、完整。项目实施是否遵守相关法律法规和相关管理规定。</w:t>
      </w:r>
    </w:p>
    <w:p>
      <w:pPr>
        <w:spacing w:line="500" w:lineRule="exact"/>
        <w:ind w:firstLine="645"/>
        <w:rPr>
          <w:rFonts w:ascii="仿宋_GB2312" w:hAnsi="仿宋" w:eastAsia="仿宋_GB2312" w:cs="宋体"/>
          <w:sz w:val="32"/>
          <w:szCs w:val="32"/>
        </w:rPr>
      </w:pPr>
      <w:r>
        <w:rPr>
          <w:rFonts w:hint="eastAsia" w:ascii="仿宋_GB2312" w:hAnsi="仿宋" w:eastAsia="仿宋_GB2312" w:cs="宋体"/>
          <w:sz w:val="32"/>
          <w:szCs w:val="32"/>
        </w:rPr>
        <w:t>项目调整及支出调整手续是否完备，项目合同书、验收报告、技术鉴定等资料是否齐全并及时归档，项目实施的人员条件、场地设备、信息支撑等是否落实到位。</w:t>
      </w:r>
    </w:p>
    <w:p>
      <w:pPr>
        <w:pStyle w:val="19"/>
        <w:numPr>
          <w:ilvl w:val="0"/>
          <w:numId w:val="6"/>
        </w:numPr>
        <w:spacing w:beforeLines="50" w:line="600" w:lineRule="exact"/>
        <w:ind w:left="0" w:firstLine="643"/>
        <w:rPr>
          <w:rFonts w:ascii="仿宋_GB2312" w:hAnsi="仿宋" w:eastAsia="仿宋_GB2312" w:cs="宋体"/>
          <w:b/>
          <w:bCs/>
          <w:color w:val="auto"/>
          <w:sz w:val="32"/>
          <w:szCs w:val="32"/>
          <w:highlight w:val="none"/>
        </w:rPr>
      </w:pPr>
      <w:r>
        <w:rPr>
          <w:rFonts w:hint="eastAsia" w:ascii="仿宋_GB2312" w:hAnsi="仿宋" w:eastAsia="仿宋_GB2312" w:cs="宋体"/>
          <w:b/>
          <w:bCs/>
          <w:color w:val="auto"/>
          <w:sz w:val="32"/>
          <w:szCs w:val="32"/>
          <w:highlight w:val="none"/>
        </w:rPr>
        <w:t>项目产出情况</w:t>
      </w:r>
    </w:p>
    <w:p>
      <w:pPr>
        <w:spacing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项目产出数量为</w:t>
      </w:r>
      <w:r>
        <w:rPr>
          <w:rFonts w:hint="eastAsia" w:ascii="仿宋_GB2312" w:eastAsia="仿宋_GB2312"/>
          <w:sz w:val="32"/>
          <w:szCs w:val="32"/>
          <w:lang w:eastAsia="zh-CN"/>
        </w:rPr>
        <w:t>：</w:t>
      </w:r>
      <w:r>
        <w:rPr>
          <w:rFonts w:hint="eastAsia" w:ascii="仿宋_GB2312" w:eastAsia="仿宋_GB2312"/>
          <w:sz w:val="32"/>
          <w:szCs w:val="32"/>
          <w:lang w:val="en-US" w:eastAsia="zh-CN"/>
        </w:rPr>
        <w:t>1、</w:t>
      </w:r>
      <w:r>
        <w:rPr>
          <w:rFonts w:hint="eastAsia" w:ascii="仿宋_GB2312" w:eastAsia="仿宋_GB2312"/>
          <w:sz w:val="32"/>
          <w:szCs w:val="32"/>
        </w:rPr>
        <w:t>完成地区各县（市）建设用地勘测测定界工作</w:t>
      </w:r>
      <w:r>
        <w:rPr>
          <w:rFonts w:hint="eastAsia" w:ascii="仿宋_GB2312" w:eastAsia="仿宋_GB2312"/>
          <w:sz w:val="32"/>
          <w:szCs w:val="32"/>
          <w:lang w:eastAsia="zh-CN"/>
        </w:rPr>
        <w:t>，</w:t>
      </w:r>
      <w:r>
        <w:rPr>
          <w:rFonts w:hint="eastAsia" w:ascii="仿宋_GB2312" w:eastAsia="仿宋_GB2312"/>
          <w:sz w:val="32"/>
          <w:szCs w:val="32"/>
        </w:rPr>
        <w:t>预期指标值为</w:t>
      </w:r>
      <w:r>
        <w:rPr>
          <w:rFonts w:hint="eastAsia" w:ascii="仿宋_GB2312" w:eastAsia="仿宋_GB2312"/>
          <w:sz w:val="32"/>
          <w:szCs w:val="32"/>
          <w:lang w:val="en-US" w:eastAsia="zh-CN"/>
        </w:rPr>
        <w:t>300宗，</w:t>
      </w:r>
      <w:r>
        <w:rPr>
          <w:rFonts w:hint="eastAsia" w:ascii="仿宋_GB2312" w:eastAsia="仿宋_GB2312"/>
          <w:sz w:val="32"/>
          <w:szCs w:val="32"/>
        </w:rPr>
        <w:t>实际完成值为</w:t>
      </w:r>
      <w:r>
        <w:rPr>
          <w:rFonts w:hint="eastAsia" w:ascii="仿宋_GB2312" w:eastAsia="仿宋_GB2312"/>
          <w:sz w:val="32"/>
          <w:szCs w:val="32"/>
          <w:lang w:val="en-US" w:eastAsia="zh-CN"/>
        </w:rPr>
        <w:t>610宗</w:t>
      </w:r>
      <w:r>
        <w:rPr>
          <w:rFonts w:hint="eastAsia" w:ascii="仿宋_GB2312" w:eastAsia="仿宋_GB2312"/>
          <w:sz w:val="32"/>
          <w:szCs w:val="32"/>
        </w:rPr>
        <w:t>，项目产出质量指标大幅度超过预期目标，原因系年中建设用地单位的报批项目增加，勘测定界宗地数增加</w:t>
      </w:r>
      <w:r>
        <w:rPr>
          <w:rFonts w:hint="eastAsia" w:ascii="仿宋_GB2312" w:eastAsia="仿宋_GB2312"/>
          <w:sz w:val="32"/>
          <w:szCs w:val="32"/>
          <w:lang w:eastAsia="zh-CN"/>
        </w:rPr>
        <w:t>。</w:t>
      </w:r>
    </w:p>
    <w:p>
      <w:pPr>
        <w:spacing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lang w:val="en-US" w:eastAsia="zh-CN"/>
        </w:rPr>
        <w:t xml:space="preserve">2、完成2018年变更调查工作（涉及图斑） </w:t>
      </w:r>
      <w:r>
        <w:rPr>
          <w:rFonts w:hint="eastAsia" w:ascii="仿宋_GB2312" w:eastAsia="仿宋_GB2312"/>
          <w:sz w:val="32"/>
          <w:szCs w:val="32"/>
        </w:rPr>
        <w:t>，预期指标值为</w:t>
      </w:r>
      <w:r>
        <w:rPr>
          <w:rFonts w:hint="eastAsia" w:ascii="仿宋_GB2312" w:eastAsia="仿宋_GB2312"/>
          <w:sz w:val="32"/>
          <w:szCs w:val="32"/>
          <w:lang w:val="en-US" w:eastAsia="zh-CN"/>
        </w:rPr>
        <w:t>5800个</w:t>
      </w:r>
      <w:r>
        <w:rPr>
          <w:rFonts w:hint="eastAsia" w:ascii="仿宋_GB2312" w:eastAsia="仿宋_GB2312"/>
          <w:sz w:val="32"/>
          <w:szCs w:val="32"/>
        </w:rPr>
        <w:t>，实际完成值为</w:t>
      </w:r>
      <w:r>
        <w:rPr>
          <w:rFonts w:hint="eastAsia" w:ascii="仿宋_GB2312" w:eastAsia="仿宋_GB2312"/>
          <w:sz w:val="32"/>
          <w:szCs w:val="32"/>
          <w:lang w:val="en-US" w:eastAsia="zh-CN"/>
        </w:rPr>
        <w:t>5800个</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项目产出质量为</w:t>
      </w:r>
      <w:r>
        <w:rPr>
          <w:rFonts w:hint="eastAsia" w:ascii="仿宋_GB2312" w:eastAsia="仿宋_GB2312"/>
          <w:sz w:val="32"/>
          <w:szCs w:val="32"/>
          <w:lang w:val="en-US" w:eastAsia="zh-CN"/>
        </w:rPr>
        <w:t>工作完成率</w:t>
      </w:r>
      <w:r>
        <w:rPr>
          <w:rFonts w:hint="eastAsia" w:ascii="仿宋_GB2312" w:eastAsia="仿宋_GB2312"/>
          <w:sz w:val="32"/>
          <w:szCs w:val="32"/>
        </w:rPr>
        <w:t>，预期指标值为</w:t>
      </w:r>
      <w:r>
        <w:rPr>
          <w:rFonts w:hint="eastAsia" w:ascii="仿宋_GB2312" w:eastAsia="仿宋_GB2312"/>
          <w:sz w:val="32"/>
          <w:szCs w:val="32"/>
          <w:lang w:val="en-US" w:eastAsia="zh-CN"/>
        </w:rPr>
        <w:t>99%</w:t>
      </w:r>
      <w:r>
        <w:rPr>
          <w:rFonts w:hint="eastAsia" w:ascii="仿宋_GB2312" w:eastAsia="仿宋_GB2312"/>
          <w:sz w:val="32"/>
          <w:szCs w:val="32"/>
        </w:rPr>
        <w:t>，实际完成值为</w:t>
      </w:r>
      <w:r>
        <w:rPr>
          <w:rFonts w:hint="eastAsia" w:ascii="仿宋_GB2312" w:eastAsia="仿宋_GB2312"/>
          <w:sz w:val="32"/>
          <w:szCs w:val="32"/>
          <w:lang w:val="en-US" w:eastAsia="zh-CN"/>
        </w:rPr>
        <w:t>99%</w:t>
      </w:r>
      <w:r>
        <w:rPr>
          <w:rFonts w:hint="eastAsia" w:ascii="仿宋_GB2312" w:eastAsia="仿宋_GB2312"/>
          <w:sz w:val="32"/>
          <w:szCs w:val="32"/>
        </w:rPr>
        <w:t>，指标达到预期目标</w:t>
      </w:r>
      <w:r>
        <w:rPr>
          <w:rFonts w:hint="eastAsia" w:ascii="仿宋_GB2312" w:eastAsia="仿宋_GB2312"/>
          <w:sz w:val="32"/>
          <w:szCs w:val="32"/>
          <w:lang w:eastAsia="zh-CN"/>
        </w:rPr>
        <w:t>。</w:t>
      </w:r>
    </w:p>
    <w:p>
      <w:pPr>
        <w:spacing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项目产出时效为完成及时率，预期指标值为</w:t>
      </w:r>
      <w:r>
        <w:rPr>
          <w:rFonts w:hint="eastAsia" w:ascii="仿宋_GB2312" w:eastAsia="仿宋_GB2312"/>
          <w:sz w:val="32"/>
          <w:szCs w:val="32"/>
          <w:lang w:val="en-US" w:eastAsia="zh-CN"/>
        </w:rPr>
        <w:t>99%</w:t>
      </w:r>
      <w:r>
        <w:rPr>
          <w:rFonts w:hint="eastAsia" w:ascii="仿宋_GB2312" w:eastAsia="仿宋_GB2312"/>
          <w:sz w:val="32"/>
          <w:szCs w:val="32"/>
        </w:rPr>
        <w:t>，实际完成值为</w:t>
      </w:r>
      <w:r>
        <w:rPr>
          <w:rFonts w:hint="eastAsia" w:ascii="仿宋_GB2312" w:eastAsia="仿宋_GB2312"/>
          <w:sz w:val="32"/>
          <w:szCs w:val="32"/>
          <w:lang w:val="en-US" w:eastAsia="zh-CN"/>
        </w:rPr>
        <w:t>99%</w:t>
      </w:r>
      <w:r>
        <w:rPr>
          <w:rFonts w:hint="eastAsia" w:ascii="仿宋_GB2312" w:eastAsia="仿宋_GB2312"/>
          <w:sz w:val="32"/>
          <w:szCs w:val="32"/>
        </w:rPr>
        <w:t>，达到预期目标</w:t>
      </w:r>
      <w:r>
        <w:rPr>
          <w:rFonts w:hint="eastAsia" w:ascii="仿宋_GB2312" w:eastAsia="仿宋_GB2312"/>
          <w:sz w:val="32"/>
          <w:szCs w:val="32"/>
          <w:lang w:eastAsia="zh-CN"/>
        </w:rPr>
        <w:t>。</w:t>
      </w:r>
    </w:p>
    <w:p>
      <w:pPr>
        <w:spacing w:beforeLines="50" w:line="600" w:lineRule="exact"/>
        <w:ind w:firstLine="660"/>
        <w:rPr>
          <w:rFonts w:hint="eastAsia" w:ascii="仿宋_GB2312" w:eastAsia="仿宋_GB2312"/>
          <w:sz w:val="32"/>
          <w:szCs w:val="32"/>
          <w:lang w:eastAsia="zh-CN"/>
        </w:rPr>
      </w:pPr>
      <w:r>
        <w:rPr>
          <w:rFonts w:hint="eastAsia" w:ascii="仿宋_GB2312" w:eastAsia="仿宋_GB2312"/>
          <w:sz w:val="32"/>
          <w:szCs w:val="32"/>
        </w:rPr>
        <w:t>项目产出成本指标为工作经费成本，预期指标值为0.85万元/宗，实际完成值为0.85万元/宗，达到预期目标</w:t>
      </w:r>
      <w:r>
        <w:rPr>
          <w:rFonts w:hint="eastAsia" w:ascii="仿宋_GB2312" w:eastAsia="仿宋_GB2312"/>
          <w:sz w:val="32"/>
          <w:szCs w:val="32"/>
          <w:lang w:eastAsia="zh-CN"/>
        </w:rPr>
        <w:t>。</w:t>
      </w:r>
    </w:p>
    <w:p>
      <w:pPr>
        <w:pStyle w:val="19"/>
        <w:numPr>
          <w:ilvl w:val="0"/>
          <w:numId w:val="6"/>
        </w:numPr>
        <w:spacing w:beforeLines="50" w:line="600" w:lineRule="exact"/>
        <w:ind w:left="0" w:firstLine="643"/>
        <w:rPr>
          <w:rFonts w:ascii="仿宋_GB2312" w:hAnsi="仿宋" w:eastAsia="仿宋_GB2312" w:cs="宋体"/>
          <w:b/>
          <w:bCs/>
          <w:sz w:val="32"/>
          <w:szCs w:val="32"/>
        </w:rPr>
      </w:pPr>
      <w:r>
        <w:rPr>
          <w:rFonts w:hint="eastAsia" w:ascii="仿宋_GB2312" w:hAnsi="仿宋" w:eastAsia="仿宋_GB2312" w:cs="宋体"/>
          <w:b/>
          <w:bCs/>
          <w:sz w:val="32"/>
          <w:szCs w:val="32"/>
        </w:rPr>
        <w:t>项目效益情况</w:t>
      </w:r>
    </w:p>
    <w:p>
      <w:pPr>
        <w:spacing w:beforeLines="50" w:line="600" w:lineRule="exact"/>
        <w:ind w:firstLine="640" w:firstLineChars="200"/>
        <w:rPr>
          <w:rFonts w:hint="eastAsia" w:ascii="仿宋_GB2312" w:hAnsi="仿宋" w:eastAsia="仿宋_GB2312" w:cs="宋体"/>
          <w:bCs/>
          <w:sz w:val="32"/>
          <w:szCs w:val="32"/>
          <w:lang w:eastAsia="zh-CN"/>
        </w:rPr>
      </w:pPr>
      <w:r>
        <w:rPr>
          <w:rFonts w:ascii="仿宋_GB2312" w:hAnsi="仿宋" w:eastAsia="仿宋_GB2312" w:cs="宋体"/>
          <w:bCs/>
          <w:sz w:val="32"/>
          <w:szCs w:val="32"/>
        </w:rPr>
        <w:t xml:space="preserve"> </w:t>
      </w:r>
      <w:r>
        <w:rPr>
          <w:rFonts w:hint="eastAsia" w:ascii="仿宋_GB2312" w:hAnsi="仿宋" w:eastAsia="仿宋_GB2312" w:cs="宋体"/>
          <w:bCs/>
          <w:sz w:val="32"/>
          <w:szCs w:val="32"/>
        </w:rPr>
        <w:t>项目实施产生的经济效益</w:t>
      </w:r>
      <w:r>
        <w:rPr>
          <w:rFonts w:hint="eastAsia" w:ascii="仿宋_GB2312" w:eastAsia="仿宋_GB2312"/>
          <w:sz w:val="32"/>
          <w:szCs w:val="32"/>
        </w:rPr>
        <w:t>指标为地区年度土地利用变化情况掌握覆盖率，预期指标值为</w:t>
      </w:r>
      <w:r>
        <w:rPr>
          <w:rFonts w:hint="eastAsia" w:ascii="仿宋_GB2312" w:eastAsia="仿宋_GB2312"/>
          <w:sz w:val="32"/>
          <w:szCs w:val="32"/>
          <w:lang w:val="en-US" w:eastAsia="zh-CN"/>
        </w:rPr>
        <w:t>99%</w:t>
      </w:r>
      <w:r>
        <w:rPr>
          <w:rFonts w:hint="eastAsia" w:ascii="仿宋_GB2312" w:eastAsia="仿宋_GB2312"/>
          <w:sz w:val="32"/>
          <w:szCs w:val="32"/>
        </w:rPr>
        <w:t>，实际完成值为</w:t>
      </w:r>
      <w:r>
        <w:rPr>
          <w:rFonts w:hint="eastAsia" w:ascii="仿宋_GB2312" w:eastAsia="仿宋_GB2312"/>
          <w:sz w:val="32"/>
          <w:szCs w:val="32"/>
          <w:lang w:val="en-US" w:eastAsia="zh-CN"/>
        </w:rPr>
        <w:t>99%</w:t>
      </w:r>
      <w:r>
        <w:rPr>
          <w:rFonts w:hint="eastAsia" w:ascii="仿宋_GB2312" w:hAnsi="仿宋" w:eastAsia="仿宋_GB2312" w:cs="宋体"/>
          <w:bCs/>
          <w:sz w:val="32"/>
          <w:szCs w:val="32"/>
        </w:rPr>
        <w:t>，达到了预期目标</w:t>
      </w:r>
      <w:r>
        <w:rPr>
          <w:rFonts w:hint="eastAsia" w:ascii="仿宋_GB2312" w:hAnsi="仿宋" w:eastAsia="仿宋_GB2312" w:cs="宋体"/>
          <w:bCs/>
          <w:sz w:val="32"/>
          <w:szCs w:val="32"/>
          <w:lang w:eastAsia="zh-CN"/>
        </w:rPr>
        <w:t>。</w:t>
      </w:r>
    </w:p>
    <w:p>
      <w:pPr>
        <w:spacing w:beforeLines="50" w:line="600" w:lineRule="exact"/>
        <w:ind w:firstLine="640" w:firstLineChars="200"/>
        <w:rPr>
          <w:rFonts w:hint="eastAsia" w:ascii="仿宋_GB2312" w:hAnsi="仿宋" w:eastAsia="仿宋_GB2312" w:cs="宋体"/>
          <w:bCs/>
          <w:sz w:val="32"/>
          <w:szCs w:val="32"/>
          <w:lang w:eastAsia="zh-CN"/>
        </w:rPr>
      </w:pPr>
      <w:r>
        <w:rPr>
          <w:rFonts w:hint="eastAsia" w:ascii="仿宋_GB2312" w:hAnsi="仿宋" w:eastAsia="仿宋_GB2312" w:cs="宋体"/>
          <w:bCs/>
          <w:sz w:val="32"/>
          <w:szCs w:val="32"/>
        </w:rPr>
        <w:t>项目实施产生的社会效益</w:t>
      </w:r>
      <w:r>
        <w:rPr>
          <w:rFonts w:hint="eastAsia" w:ascii="仿宋_GB2312" w:eastAsia="仿宋_GB2312"/>
          <w:sz w:val="32"/>
          <w:szCs w:val="32"/>
        </w:rPr>
        <w:t>指标为社会服务能力提升，预期指标值为</w:t>
      </w:r>
      <w:r>
        <w:rPr>
          <w:rFonts w:hint="eastAsia" w:ascii="仿宋_GB2312" w:eastAsia="仿宋_GB2312"/>
          <w:sz w:val="32"/>
          <w:szCs w:val="32"/>
          <w:lang w:val="en-US" w:eastAsia="zh-CN"/>
        </w:rPr>
        <w:t>99%</w:t>
      </w:r>
      <w:r>
        <w:rPr>
          <w:rFonts w:hint="eastAsia" w:ascii="仿宋_GB2312" w:eastAsia="仿宋_GB2312"/>
          <w:sz w:val="32"/>
          <w:szCs w:val="32"/>
        </w:rPr>
        <w:t>，实际完成值为</w:t>
      </w:r>
      <w:r>
        <w:rPr>
          <w:rFonts w:hint="eastAsia" w:ascii="仿宋_GB2312" w:eastAsia="仿宋_GB2312"/>
          <w:sz w:val="32"/>
          <w:szCs w:val="32"/>
          <w:lang w:val="en-US" w:eastAsia="zh-CN"/>
        </w:rPr>
        <w:t>99%</w:t>
      </w:r>
      <w:r>
        <w:rPr>
          <w:rFonts w:hint="eastAsia" w:ascii="仿宋_GB2312" w:hAnsi="仿宋" w:eastAsia="仿宋_GB2312" w:cs="宋体"/>
          <w:bCs/>
          <w:sz w:val="32"/>
          <w:szCs w:val="32"/>
        </w:rPr>
        <w:t>，达到了预期目标</w:t>
      </w:r>
      <w:r>
        <w:rPr>
          <w:rFonts w:hint="eastAsia" w:ascii="仿宋_GB2312" w:hAnsi="仿宋" w:eastAsia="仿宋_GB2312" w:cs="宋体"/>
          <w:bCs/>
          <w:sz w:val="32"/>
          <w:szCs w:val="32"/>
          <w:lang w:eastAsia="zh-CN"/>
        </w:rPr>
        <w:t>。</w:t>
      </w:r>
    </w:p>
    <w:p>
      <w:pPr>
        <w:spacing w:beforeLines="50" w:line="600" w:lineRule="exact"/>
        <w:ind w:firstLine="640" w:firstLineChars="200"/>
        <w:rPr>
          <w:rFonts w:hint="eastAsia" w:ascii="仿宋_GB2312" w:hAnsi="仿宋" w:eastAsia="仿宋_GB2312" w:cs="宋体"/>
          <w:bCs/>
          <w:sz w:val="32"/>
          <w:szCs w:val="32"/>
          <w:lang w:eastAsia="zh-CN"/>
        </w:rPr>
      </w:pPr>
      <w:r>
        <w:rPr>
          <w:rFonts w:hint="eastAsia" w:ascii="仿宋_GB2312" w:hAnsi="仿宋" w:eastAsia="仿宋_GB2312" w:cs="宋体"/>
          <w:bCs/>
          <w:sz w:val="32"/>
          <w:szCs w:val="32"/>
        </w:rPr>
        <w:t>项目的可持续效益效益</w:t>
      </w:r>
      <w:r>
        <w:rPr>
          <w:rFonts w:hint="eastAsia" w:ascii="仿宋_GB2312" w:eastAsia="仿宋_GB2312"/>
          <w:sz w:val="32"/>
          <w:szCs w:val="32"/>
        </w:rPr>
        <w:t>指标为持续提供政府公共服务能力 ，预期指标值为长期，实际完成值为</w:t>
      </w:r>
      <w:r>
        <w:rPr>
          <w:rFonts w:hint="eastAsia" w:ascii="仿宋_GB2312" w:eastAsia="仿宋_GB2312"/>
          <w:sz w:val="32"/>
          <w:szCs w:val="32"/>
          <w:lang w:val="en-US" w:eastAsia="zh-CN"/>
        </w:rPr>
        <w:t>100%</w:t>
      </w:r>
      <w:r>
        <w:rPr>
          <w:rFonts w:hint="eastAsia" w:ascii="仿宋_GB2312" w:hAnsi="仿宋" w:eastAsia="仿宋_GB2312" w:cs="宋体"/>
          <w:bCs/>
          <w:sz w:val="32"/>
          <w:szCs w:val="32"/>
        </w:rPr>
        <w:t>，达到了预期目标</w:t>
      </w:r>
      <w:r>
        <w:rPr>
          <w:rFonts w:hint="eastAsia" w:ascii="仿宋_GB2312" w:hAnsi="仿宋" w:eastAsia="仿宋_GB2312" w:cs="宋体"/>
          <w:bCs/>
          <w:sz w:val="32"/>
          <w:szCs w:val="32"/>
          <w:lang w:eastAsia="zh-CN"/>
        </w:rPr>
        <w:t>。</w:t>
      </w:r>
    </w:p>
    <w:p>
      <w:pPr>
        <w:spacing w:beforeLines="50" w:line="600" w:lineRule="exact"/>
        <w:ind w:firstLine="640" w:firstLineChars="200"/>
        <w:rPr>
          <w:rFonts w:ascii="仿宋_GB2312" w:hAnsi="仿宋" w:eastAsia="仿宋_GB2312" w:cs="宋体"/>
          <w:bCs/>
          <w:sz w:val="32"/>
          <w:szCs w:val="32"/>
        </w:rPr>
      </w:pPr>
      <w:r>
        <w:rPr>
          <w:rFonts w:hint="eastAsia" w:ascii="仿宋_GB2312" w:hAnsi="仿宋" w:eastAsia="仿宋_GB2312" w:cs="宋体"/>
          <w:bCs/>
          <w:sz w:val="32"/>
          <w:szCs w:val="32"/>
        </w:rPr>
        <w:t>经问卷调查，项目收益群众满意度为</w:t>
      </w:r>
      <w:r>
        <w:rPr>
          <w:rFonts w:hint="eastAsia" w:ascii="仿宋_GB2312" w:hAnsi="仿宋" w:eastAsia="仿宋_GB2312" w:cs="宋体"/>
          <w:bCs/>
          <w:sz w:val="32"/>
          <w:szCs w:val="32"/>
          <w:lang w:val="en-US" w:eastAsia="zh-CN"/>
        </w:rPr>
        <w:t>99%</w:t>
      </w:r>
      <w:r>
        <w:rPr>
          <w:rFonts w:hint="eastAsia" w:ascii="仿宋_GB2312" w:hAnsi="仿宋" w:eastAsia="仿宋_GB2312" w:cs="宋体"/>
          <w:bCs/>
          <w:sz w:val="32"/>
          <w:szCs w:val="32"/>
        </w:rPr>
        <w:t>：达到了预期目标</w:t>
      </w:r>
      <w:r>
        <w:rPr>
          <w:rFonts w:hint="eastAsia" w:ascii="仿宋_GB2312" w:hAnsi="仿宋" w:eastAsia="仿宋_GB2312" w:cs="宋体"/>
          <w:bCs/>
          <w:sz w:val="32"/>
          <w:szCs w:val="32"/>
          <w:lang w:eastAsia="zh-CN"/>
        </w:rPr>
        <w:t>。</w:t>
      </w:r>
    </w:p>
    <w:p>
      <w:pPr>
        <w:pStyle w:val="23"/>
        <w:numPr>
          <w:ilvl w:val="0"/>
          <w:numId w:val="2"/>
        </w:numPr>
        <w:ind w:firstLineChars="0"/>
      </w:pPr>
      <w:r>
        <w:rPr>
          <w:rFonts w:hint="eastAsia" w:ascii="黑体" w:hAnsi="黑体"/>
        </w:rPr>
        <w:t>主要经验及做法、存在的问题及原因分析</w:t>
      </w:r>
    </w:p>
    <w:p>
      <w:pPr>
        <w:pStyle w:val="25"/>
        <w:numPr>
          <w:ilvl w:val="0"/>
          <w:numId w:val="7"/>
        </w:numPr>
        <w:ind w:left="0" w:firstLine="643" w:firstLineChars="200"/>
      </w:pPr>
      <w:r>
        <w:rPr>
          <w:rFonts w:hint="eastAsia"/>
        </w:rPr>
        <w:t>主要经验及做法</w:t>
      </w:r>
    </w:p>
    <w:p>
      <w:pPr>
        <w:pStyle w:val="25"/>
        <w:numPr>
          <w:ilvl w:val="0"/>
          <w:numId w:val="0"/>
        </w:numPr>
        <w:ind w:firstLine="640" w:firstLineChars="200"/>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本项目实施效果较好的原因主要是管理制度完善、责任落实到位，跟踪考核机制完善且运行有效，在项目实施过程中创新管理办法，规范专项资金管理，按照财政资金管理的要求，执行国库集中支付制度，按照项目工程进度，及时支付项目资金，实现资金安全、高效运行。</w:t>
      </w:r>
    </w:p>
    <w:p>
      <w:pPr>
        <w:pStyle w:val="25"/>
        <w:numPr>
          <w:ilvl w:val="0"/>
          <w:numId w:val="7"/>
        </w:numPr>
        <w:ind w:left="0" w:firstLine="643" w:firstLineChars="200"/>
      </w:pPr>
      <w:r>
        <w:rPr>
          <w:rFonts w:hint="eastAsia"/>
        </w:rPr>
        <w:t>存在的问题及原因分析</w:t>
      </w:r>
    </w:p>
    <w:p>
      <w:pPr>
        <w:adjustRightInd w:val="0"/>
        <w:snapToGrid w:val="0"/>
        <w:spacing w:line="560" w:lineRule="exact"/>
        <w:ind w:firstLine="420" w:firstLineChars="200"/>
        <w:rPr>
          <w:b w:val="0"/>
        </w:rPr>
      </w:pPr>
      <w:r>
        <w:rPr>
          <w:rFonts w:hint="eastAsia"/>
          <w:b w:val="0"/>
        </w:rPr>
        <w:t xml:space="preserve"> </w:t>
      </w:r>
      <w:r>
        <w:rPr>
          <w:b w:val="0"/>
        </w:rPr>
        <w:t xml:space="preserve">  </w:t>
      </w:r>
      <w:r>
        <w:rPr>
          <w:rStyle w:val="14"/>
          <w:rFonts w:hint="eastAsia" w:ascii="仿宋" w:eastAsia="仿宋"/>
          <w:b w:val="0"/>
          <w:sz w:val="32"/>
          <w:szCs w:val="32"/>
        </w:rPr>
        <w:t>项目预算批复在次年</w:t>
      </w:r>
      <w:r>
        <w:rPr>
          <w:rStyle w:val="14"/>
          <w:rFonts w:ascii="仿宋" w:eastAsia="仿宋"/>
          <w:b w:val="0"/>
          <w:sz w:val="32"/>
          <w:szCs w:val="32"/>
        </w:rPr>
        <w:t>5</w:t>
      </w:r>
      <w:r>
        <w:rPr>
          <w:rStyle w:val="14"/>
          <w:rFonts w:hint="eastAsia" w:ascii="仿宋" w:eastAsia="仿宋"/>
          <w:b w:val="0"/>
          <w:sz w:val="32"/>
          <w:szCs w:val="32"/>
        </w:rPr>
        <w:t>月左右，导致我院在预算批复前无开展工作的经费。</w:t>
      </w:r>
    </w:p>
    <w:p>
      <w:pPr>
        <w:pStyle w:val="23"/>
        <w:numPr>
          <w:ilvl w:val="0"/>
          <w:numId w:val="2"/>
        </w:numPr>
        <w:ind w:firstLineChars="0"/>
        <w:rPr>
          <w:rFonts w:ascii="黑体" w:hAnsi="黑体"/>
        </w:rPr>
      </w:pPr>
      <w:r>
        <w:rPr>
          <w:rFonts w:hint="eastAsia" w:ascii="黑体" w:hAnsi="黑体"/>
        </w:rPr>
        <w:t>有关建议</w:t>
      </w:r>
    </w:p>
    <w:p>
      <w:pPr>
        <w:pStyle w:val="23"/>
        <w:ind w:firstLine="0" w:firstLineChars="0"/>
        <w:rPr>
          <w:rFonts w:ascii="黑体" w:hAnsi="黑体"/>
          <w:b w:val="0"/>
          <w:bCs/>
        </w:rPr>
      </w:pPr>
      <w:r>
        <w:rPr>
          <w:rFonts w:ascii="黑体" w:hAnsi="黑体"/>
          <w:b w:val="0"/>
          <w:bCs/>
        </w:rPr>
        <w:t xml:space="preserve"> </w:t>
      </w:r>
      <w:r>
        <w:rPr>
          <w:rFonts w:ascii="仿宋_GB2312" w:hAnsi="仿宋" w:eastAsia="仿宋_GB2312" w:cs="宋体"/>
          <w:b w:val="0"/>
          <w:bCs/>
          <w:kern w:val="2"/>
        </w:rPr>
        <w:t xml:space="preserve">   </w:t>
      </w:r>
      <w:r>
        <w:rPr>
          <w:rFonts w:hint="eastAsia" w:ascii="仿宋_GB2312" w:hAnsi="仿宋" w:eastAsia="仿宋_GB2312" w:cs="宋体"/>
          <w:b w:val="0"/>
          <w:bCs w:val="0"/>
          <w:kern w:val="2"/>
          <w:sz w:val="32"/>
          <w:szCs w:val="32"/>
          <w:lang w:val="en-US" w:eastAsia="zh-CN" w:bidi="ar-SA"/>
        </w:rPr>
        <w:t>能考虑到我院的实际情况，允许结余结转项目经费，保障下年度预算批复前有工作经费支撑业务开展。</w:t>
      </w:r>
    </w:p>
    <w:p>
      <w:pPr>
        <w:pStyle w:val="23"/>
        <w:numPr>
          <w:ilvl w:val="0"/>
          <w:numId w:val="2"/>
        </w:numPr>
        <w:ind w:firstLineChars="0"/>
        <w:rPr>
          <w:rFonts w:ascii="黑体" w:hAnsi="黑体"/>
        </w:rPr>
      </w:pPr>
      <w:r>
        <w:rPr>
          <w:rFonts w:hint="eastAsia" w:ascii="黑体" w:hAnsi="黑体"/>
        </w:rPr>
        <w:t>其他需要说明的问题</w:t>
      </w:r>
    </w:p>
    <w:p>
      <w:pPr>
        <w:spacing w:beforeLines="50" w:line="600" w:lineRule="exact"/>
        <w:ind w:firstLine="640" w:firstLineChars="200"/>
        <w:rPr>
          <w:rFonts w:hint="eastAsia" w:ascii="仿宋_GB2312" w:hAnsi="仿宋" w:eastAsia="仿宋_GB2312" w:cs="宋体"/>
          <w:b w:val="0"/>
          <w:bCs w:val="0"/>
          <w:kern w:val="2"/>
          <w:sz w:val="32"/>
          <w:szCs w:val="32"/>
          <w:lang w:val="en-US" w:eastAsia="zh-CN" w:bidi="ar-SA"/>
        </w:rPr>
      </w:pPr>
      <w:r>
        <w:rPr>
          <w:rFonts w:hint="eastAsia" w:ascii="仿宋_GB2312" w:hAnsi="仿宋" w:eastAsia="仿宋_GB2312" w:cs="宋体"/>
          <w:b w:val="0"/>
          <w:bCs w:val="0"/>
          <w:kern w:val="2"/>
          <w:sz w:val="32"/>
          <w:szCs w:val="32"/>
          <w:lang w:val="en-US" w:eastAsia="zh-CN" w:bidi="ar-SA"/>
        </w:rPr>
        <w:t xml:space="preserve">无 </w:t>
      </w:r>
    </w:p>
    <w:p>
      <w:pPr>
        <w:spacing w:beforeLines="50" w:line="600" w:lineRule="exact"/>
        <w:ind w:firstLine="640" w:firstLineChars="200"/>
        <w:rPr>
          <w:rFonts w:hint="eastAsia" w:ascii="仿宋_GB2312" w:hAnsi="仿宋" w:eastAsia="仿宋_GB2312" w:cs="宋体"/>
          <w:b w:val="0"/>
          <w:bCs w:val="0"/>
          <w:kern w:val="2"/>
          <w:sz w:val="32"/>
          <w:szCs w:val="32"/>
          <w:lang w:val="en-US" w:eastAsia="zh-CN" w:bidi="ar-SA"/>
        </w:rPr>
      </w:pP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附件1：喀什地区</w:t>
      </w:r>
      <w:r>
        <w:rPr>
          <w:rFonts w:hint="eastAsia" w:ascii="仿宋_GB2312" w:hAnsi="仿宋" w:eastAsia="仿宋_GB2312" w:cs="宋体"/>
          <w:sz w:val="32"/>
          <w:szCs w:val="32"/>
          <w:lang w:val="en-US" w:eastAsia="zh-CN"/>
        </w:rPr>
        <w:t>国土资源规划院土地资源调查</w:t>
      </w:r>
      <w:r>
        <w:rPr>
          <w:rFonts w:hint="eastAsia" w:ascii="仿宋_GB2312" w:hAnsi="仿宋" w:eastAsia="仿宋_GB2312" w:cs="宋体"/>
          <w:sz w:val="32"/>
          <w:szCs w:val="32"/>
        </w:rPr>
        <w:t>项目支出绩效目标申报表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附件2：喀什地区</w:t>
      </w:r>
      <w:r>
        <w:rPr>
          <w:rFonts w:hint="eastAsia" w:ascii="仿宋_GB2312" w:hAnsi="仿宋" w:eastAsia="仿宋_GB2312" w:cs="宋体"/>
          <w:sz w:val="32"/>
          <w:szCs w:val="32"/>
          <w:lang w:val="en-US" w:eastAsia="zh-CN"/>
        </w:rPr>
        <w:t>国土资源规划院土地资源调查</w:t>
      </w:r>
      <w:r>
        <w:rPr>
          <w:rFonts w:hint="eastAsia" w:ascii="仿宋_GB2312" w:hAnsi="仿宋" w:eastAsia="仿宋_GB2312" w:cs="宋体"/>
          <w:sz w:val="32"/>
          <w:szCs w:val="32"/>
        </w:rPr>
        <w:t>项目支出绩效目标表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附件3：喀什地区</w:t>
      </w:r>
      <w:r>
        <w:rPr>
          <w:rFonts w:hint="eastAsia" w:ascii="仿宋_GB2312" w:hAnsi="仿宋" w:eastAsia="仿宋_GB2312" w:cs="宋体"/>
          <w:sz w:val="32"/>
          <w:szCs w:val="32"/>
          <w:lang w:val="en-US" w:eastAsia="zh-CN"/>
        </w:rPr>
        <w:t>国土资源规划院土地资源调查</w:t>
      </w:r>
      <w:r>
        <w:rPr>
          <w:rFonts w:hint="eastAsia" w:ascii="仿宋_GB2312" w:hAnsi="仿宋" w:eastAsia="仿宋_GB2312" w:cs="宋体"/>
          <w:sz w:val="32"/>
          <w:szCs w:val="32"/>
        </w:rPr>
        <w:t>项目支出绩效自评表</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附件4：喀什地区</w:t>
      </w:r>
      <w:r>
        <w:rPr>
          <w:rFonts w:hint="eastAsia" w:ascii="仿宋_GB2312" w:hAnsi="仿宋" w:eastAsia="仿宋_GB2312" w:cs="宋体"/>
          <w:sz w:val="32"/>
          <w:szCs w:val="32"/>
          <w:lang w:val="en-US" w:eastAsia="zh-CN"/>
        </w:rPr>
        <w:t>国土资源规划院土地资源调查</w:t>
      </w:r>
      <w:r>
        <w:rPr>
          <w:rFonts w:hint="eastAsia" w:ascii="仿宋_GB2312" w:hAnsi="仿宋" w:eastAsia="仿宋_GB2312" w:cs="宋体"/>
          <w:sz w:val="32"/>
          <w:szCs w:val="32"/>
        </w:rPr>
        <w:t>项目支出绩效评价指标体系</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附件5：绩效评价依据</w:t>
      </w:r>
    </w:p>
    <w:p>
      <w:pPr>
        <w:spacing w:beforeLines="50" w:line="600" w:lineRule="exact"/>
        <w:ind w:firstLine="640" w:firstLineChars="200"/>
        <w:rPr>
          <w:rFonts w:ascii="仿宋_GB2312" w:hAnsi="仿宋" w:eastAsia="仿宋_GB2312" w:cs="宋体"/>
          <w:sz w:val="32"/>
          <w:szCs w:val="32"/>
        </w:rPr>
      </w:pPr>
      <w:r>
        <w:rPr>
          <w:rFonts w:hint="eastAsia" w:ascii="仿宋_GB2312" w:hAnsi="仿宋" w:eastAsia="仿宋_GB2312" w:cs="宋体"/>
          <w:sz w:val="32"/>
          <w:szCs w:val="32"/>
        </w:rPr>
        <w:t>附件6：喀什地区</w:t>
      </w:r>
      <w:r>
        <w:rPr>
          <w:rFonts w:hint="eastAsia" w:ascii="仿宋_GB2312" w:hAnsi="仿宋" w:eastAsia="仿宋_GB2312" w:cs="宋体"/>
          <w:sz w:val="32"/>
          <w:szCs w:val="32"/>
          <w:lang w:val="en-US" w:eastAsia="zh-CN"/>
        </w:rPr>
        <w:t>国土资源规划院土地资源调查</w:t>
      </w:r>
      <w:r>
        <w:rPr>
          <w:rFonts w:hint="eastAsia" w:ascii="仿宋_GB2312" w:hAnsi="仿宋" w:eastAsia="仿宋_GB2312" w:cs="宋体"/>
          <w:sz w:val="32"/>
          <w:szCs w:val="32"/>
        </w:rPr>
        <w:t>项目支出绩效评价评分表</w:t>
      </w:r>
    </w:p>
    <w:p>
      <w:pPr>
        <w:spacing w:beforeLines="50" w:line="600" w:lineRule="exact"/>
        <w:ind w:firstLine="640" w:firstLineChars="200"/>
        <w:rPr>
          <w:rFonts w:ascii="仿宋_GB2312" w:hAnsi="仿宋" w:eastAsia="仿宋_GB2312" w:cs="宋体"/>
          <w:sz w:val="32"/>
          <w:szCs w:val="32"/>
        </w:rPr>
      </w:pPr>
      <w:bookmarkStart w:id="8" w:name="_GoBack"/>
      <w:bookmarkEnd w:id="8"/>
    </w:p>
    <w:sectPr>
      <w:footerReference r:id="rId3" w:type="default"/>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Light">
    <w:altName w:val="微软雅黑"/>
    <w:panose1 w:val="00000000000000000000"/>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5"/>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 w:numId="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0"/>
  <w:drawingGridHorizontalSpacing w:val="21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75715"/>
    <w:rsid w:val="00022413"/>
    <w:rsid w:val="00037F93"/>
    <w:rsid w:val="00042126"/>
    <w:rsid w:val="000C7EF1"/>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04271"/>
    <w:rsid w:val="00233ECE"/>
    <w:rsid w:val="00297A4D"/>
    <w:rsid w:val="002A1BF4"/>
    <w:rsid w:val="002B3A72"/>
    <w:rsid w:val="002C6231"/>
    <w:rsid w:val="002F7CDC"/>
    <w:rsid w:val="00324E56"/>
    <w:rsid w:val="00331AF1"/>
    <w:rsid w:val="003468D7"/>
    <w:rsid w:val="00363E52"/>
    <w:rsid w:val="00382736"/>
    <w:rsid w:val="003A04D1"/>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61B2"/>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2671D"/>
    <w:rsid w:val="00C563AA"/>
    <w:rsid w:val="00C71FF0"/>
    <w:rsid w:val="00C77259"/>
    <w:rsid w:val="00C97E2D"/>
    <w:rsid w:val="00D043D7"/>
    <w:rsid w:val="00D117FB"/>
    <w:rsid w:val="00D23C2E"/>
    <w:rsid w:val="00D61EC8"/>
    <w:rsid w:val="00D93516"/>
    <w:rsid w:val="00DA7F4C"/>
    <w:rsid w:val="00DC5F94"/>
    <w:rsid w:val="00DE152F"/>
    <w:rsid w:val="00DE293B"/>
    <w:rsid w:val="00E05626"/>
    <w:rsid w:val="00E25B2F"/>
    <w:rsid w:val="00E373A5"/>
    <w:rsid w:val="00E66A4D"/>
    <w:rsid w:val="00E72B1C"/>
    <w:rsid w:val="00E96169"/>
    <w:rsid w:val="00EF7B48"/>
    <w:rsid w:val="00F0780F"/>
    <w:rsid w:val="00F16D54"/>
    <w:rsid w:val="00F6015C"/>
    <w:rsid w:val="00F75715"/>
    <w:rsid w:val="00FB2E2F"/>
    <w:rsid w:val="00FD300A"/>
    <w:rsid w:val="00FF137F"/>
    <w:rsid w:val="00FF6959"/>
    <w:rsid w:val="00FF6C14"/>
    <w:rsid w:val="01BE6316"/>
    <w:rsid w:val="027575DD"/>
    <w:rsid w:val="02884378"/>
    <w:rsid w:val="02E96AA8"/>
    <w:rsid w:val="04615B48"/>
    <w:rsid w:val="04881502"/>
    <w:rsid w:val="050768EC"/>
    <w:rsid w:val="05BE732B"/>
    <w:rsid w:val="0667216B"/>
    <w:rsid w:val="06DE7E2E"/>
    <w:rsid w:val="07954DEC"/>
    <w:rsid w:val="0F5C7697"/>
    <w:rsid w:val="13021F1A"/>
    <w:rsid w:val="142179B4"/>
    <w:rsid w:val="14664668"/>
    <w:rsid w:val="1541710B"/>
    <w:rsid w:val="15856E27"/>
    <w:rsid w:val="169657FF"/>
    <w:rsid w:val="16D34C12"/>
    <w:rsid w:val="16FE04F1"/>
    <w:rsid w:val="17BB5FDD"/>
    <w:rsid w:val="19DC65A8"/>
    <w:rsid w:val="19F31194"/>
    <w:rsid w:val="1A356874"/>
    <w:rsid w:val="1C637FAC"/>
    <w:rsid w:val="1DDC3112"/>
    <w:rsid w:val="1E382591"/>
    <w:rsid w:val="1FEA43B1"/>
    <w:rsid w:val="20264F8B"/>
    <w:rsid w:val="208376E2"/>
    <w:rsid w:val="217F35A7"/>
    <w:rsid w:val="21DE02BF"/>
    <w:rsid w:val="2282404E"/>
    <w:rsid w:val="24706817"/>
    <w:rsid w:val="24E73B1F"/>
    <w:rsid w:val="2633756B"/>
    <w:rsid w:val="26F03C06"/>
    <w:rsid w:val="279C75B3"/>
    <w:rsid w:val="290958E0"/>
    <w:rsid w:val="291D11AB"/>
    <w:rsid w:val="29FB06CE"/>
    <w:rsid w:val="2A547683"/>
    <w:rsid w:val="2CBB5E0F"/>
    <w:rsid w:val="2D01583E"/>
    <w:rsid w:val="2E66389B"/>
    <w:rsid w:val="2E9C1AAE"/>
    <w:rsid w:val="2FAB71C9"/>
    <w:rsid w:val="3077797B"/>
    <w:rsid w:val="30936166"/>
    <w:rsid w:val="310F49AE"/>
    <w:rsid w:val="316E0790"/>
    <w:rsid w:val="3337036A"/>
    <w:rsid w:val="33442A53"/>
    <w:rsid w:val="33D52518"/>
    <w:rsid w:val="3449623C"/>
    <w:rsid w:val="34782240"/>
    <w:rsid w:val="35243C4A"/>
    <w:rsid w:val="355768EB"/>
    <w:rsid w:val="36655D80"/>
    <w:rsid w:val="36E768B6"/>
    <w:rsid w:val="37735AE3"/>
    <w:rsid w:val="382A425A"/>
    <w:rsid w:val="387D222C"/>
    <w:rsid w:val="397B6863"/>
    <w:rsid w:val="3AB249BD"/>
    <w:rsid w:val="3BD93351"/>
    <w:rsid w:val="3BDA7FC2"/>
    <w:rsid w:val="3C354FB0"/>
    <w:rsid w:val="3CE75CC7"/>
    <w:rsid w:val="3E0F1D12"/>
    <w:rsid w:val="3F534629"/>
    <w:rsid w:val="41E25F5D"/>
    <w:rsid w:val="438D2BE0"/>
    <w:rsid w:val="44E61960"/>
    <w:rsid w:val="46045DA3"/>
    <w:rsid w:val="465D6729"/>
    <w:rsid w:val="47231FBE"/>
    <w:rsid w:val="47C527AE"/>
    <w:rsid w:val="49480C20"/>
    <w:rsid w:val="4B2A6B67"/>
    <w:rsid w:val="4BA738D6"/>
    <w:rsid w:val="4C4A7A1B"/>
    <w:rsid w:val="4CCF6963"/>
    <w:rsid w:val="4CE2133F"/>
    <w:rsid w:val="4D207D14"/>
    <w:rsid w:val="4F181E0A"/>
    <w:rsid w:val="4FEB1F90"/>
    <w:rsid w:val="50816CD8"/>
    <w:rsid w:val="521D0FC3"/>
    <w:rsid w:val="52BB2C82"/>
    <w:rsid w:val="55B457FE"/>
    <w:rsid w:val="56CB692C"/>
    <w:rsid w:val="57964064"/>
    <w:rsid w:val="595C2243"/>
    <w:rsid w:val="5B4D6AFE"/>
    <w:rsid w:val="5C7A5331"/>
    <w:rsid w:val="5C8231DF"/>
    <w:rsid w:val="5C8606D2"/>
    <w:rsid w:val="5D546F42"/>
    <w:rsid w:val="60B756DB"/>
    <w:rsid w:val="625109BA"/>
    <w:rsid w:val="62B0252A"/>
    <w:rsid w:val="642E7143"/>
    <w:rsid w:val="64863276"/>
    <w:rsid w:val="648E0794"/>
    <w:rsid w:val="64D04951"/>
    <w:rsid w:val="6610673D"/>
    <w:rsid w:val="661606B9"/>
    <w:rsid w:val="661F69D6"/>
    <w:rsid w:val="66477016"/>
    <w:rsid w:val="667765BF"/>
    <w:rsid w:val="667D6CE2"/>
    <w:rsid w:val="68057780"/>
    <w:rsid w:val="69C76F97"/>
    <w:rsid w:val="69F315CB"/>
    <w:rsid w:val="6C4D1416"/>
    <w:rsid w:val="6D906355"/>
    <w:rsid w:val="6E416E3C"/>
    <w:rsid w:val="6EE00DAB"/>
    <w:rsid w:val="7034409C"/>
    <w:rsid w:val="7168581E"/>
    <w:rsid w:val="745464C9"/>
    <w:rsid w:val="7515264A"/>
    <w:rsid w:val="7775238E"/>
    <w:rsid w:val="78271A11"/>
    <w:rsid w:val="79087648"/>
    <w:rsid w:val="7A8638D9"/>
    <w:rsid w:val="7B6D35EF"/>
    <w:rsid w:val="7B6F3259"/>
    <w:rsid w:val="7C5E5502"/>
    <w:rsid w:val="7C83413A"/>
    <w:rsid w:val="7D30295B"/>
    <w:rsid w:val="7DC51932"/>
    <w:rsid w:val="7DEE0E8F"/>
    <w:rsid w:val="7E2E29F7"/>
    <w:rsid w:val="7F397260"/>
    <w:rsid w:val="7FDB14C7"/>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8"/>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semiHidden/>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Indent"/>
    <w:basedOn w:val="1"/>
    <w:uiPriority w:val="0"/>
    <w:pPr>
      <w:spacing w:after="120"/>
      <w:ind w:left="420" w:leftChars="200"/>
    </w:pPr>
  </w:style>
  <w:style w:type="paragraph" w:styleId="6">
    <w:name w:val="toc 3"/>
    <w:basedOn w:val="1"/>
    <w:next w:val="1"/>
    <w:semiHidden/>
    <w:unhideWhenUsed/>
    <w:qFormat/>
    <w:uiPriority w:val="39"/>
    <w:rPr>
      <w:rFonts w:eastAsia="仿宋_GB2312"/>
      <w:sz w:val="28"/>
    </w:rPr>
  </w:style>
  <w:style w:type="paragraph" w:styleId="7">
    <w:name w:val="Balloon Text"/>
    <w:basedOn w:val="1"/>
    <w:link w:val="22"/>
    <w:semiHidden/>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rPr>
      <w:rFonts w:eastAsia="仿宋_GB2312"/>
      <w:sz w:val="28"/>
    </w:rPr>
  </w:style>
  <w:style w:type="paragraph" w:styleId="11">
    <w:name w:val="toc 2"/>
    <w:basedOn w:val="1"/>
    <w:next w:val="1"/>
    <w:unhideWhenUsed/>
    <w:qFormat/>
    <w:uiPriority w:val="39"/>
    <w:rPr>
      <w:rFonts w:eastAsia="仿宋_GB2312"/>
      <w:sz w:val="2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Strong"/>
    <w:basedOn w:val="13"/>
    <w:qFormat/>
    <w:uiPriority w:val="0"/>
    <w:rPr>
      <w:b/>
      <w:bCs/>
    </w:rPr>
  </w:style>
  <w:style w:type="character" w:styleId="15">
    <w:name w:val="Hyperlink"/>
    <w:basedOn w:val="13"/>
    <w:unhideWhenUsed/>
    <w:qFormat/>
    <w:uiPriority w:val="99"/>
    <w:rPr>
      <w:color w:val="0563C1" w:themeColor="hyperlink"/>
      <w:u w:val="single"/>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8">
    <w:name w:val="标题 1 Char"/>
    <w:basedOn w:val="13"/>
    <w:link w:val="2"/>
    <w:qFormat/>
    <w:uiPriority w:val="9"/>
    <w:rPr>
      <w:rFonts w:ascii="Times New Roman" w:hAnsi="Times New Roman" w:eastAsia="黑体" w:cs="Arial"/>
      <w:b/>
      <w:bCs/>
      <w:kern w:val="44"/>
      <w:sz w:val="28"/>
      <w:szCs w:val="44"/>
    </w:rPr>
  </w:style>
  <w:style w:type="paragraph" w:styleId="19">
    <w:name w:val="List Paragraph"/>
    <w:basedOn w:val="1"/>
    <w:qFormat/>
    <w:uiPriority w:val="34"/>
    <w:pPr>
      <w:ind w:firstLine="420" w:firstLineChars="200"/>
    </w:pPr>
  </w:style>
  <w:style w:type="character" w:customStyle="1" w:styleId="20">
    <w:name w:val="页眉 Char"/>
    <w:basedOn w:val="13"/>
    <w:link w:val="9"/>
    <w:qFormat/>
    <w:uiPriority w:val="99"/>
    <w:rPr>
      <w:sz w:val="18"/>
      <w:szCs w:val="18"/>
    </w:rPr>
  </w:style>
  <w:style w:type="character" w:customStyle="1" w:styleId="21">
    <w:name w:val="页脚 Char"/>
    <w:basedOn w:val="13"/>
    <w:link w:val="8"/>
    <w:qFormat/>
    <w:uiPriority w:val="99"/>
    <w:rPr>
      <w:sz w:val="18"/>
      <w:szCs w:val="18"/>
    </w:rPr>
  </w:style>
  <w:style w:type="character" w:customStyle="1" w:styleId="22">
    <w:name w:val="批注框文本 Char"/>
    <w:basedOn w:val="13"/>
    <w:link w:val="7"/>
    <w:semiHidden/>
    <w:qFormat/>
    <w:uiPriority w:val="99"/>
    <w:rPr>
      <w:sz w:val="18"/>
      <w:szCs w:val="18"/>
    </w:rPr>
  </w:style>
  <w:style w:type="paragraph" w:customStyle="1" w:styleId="23">
    <w:name w:val="标题1"/>
    <w:basedOn w:val="2"/>
    <w:qFormat/>
    <w:uiPriority w:val="0"/>
    <w:pPr>
      <w:spacing w:before="120" w:after="120" w:line="500" w:lineRule="exact"/>
      <w:ind w:firstLine="200" w:firstLineChars="200"/>
    </w:pPr>
    <w:rPr>
      <w:rFonts w:cs="Times New Roman"/>
      <w:sz w:val="32"/>
      <w:szCs w:val="32"/>
    </w:rPr>
  </w:style>
  <w:style w:type="character" w:customStyle="1" w:styleId="24">
    <w:name w:val="标题 2 Char"/>
    <w:basedOn w:val="13"/>
    <w:link w:val="3"/>
    <w:qFormat/>
    <w:uiPriority w:val="9"/>
    <w:rPr>
      <w:rFonts w:asciiTheme="majorHAnsi" w:hAnsiTheme="majorHAnsi" w:eastAsiaTheme="majorEastAsia" w:cstheme="majorBidi"/>
      <w:b/>
      <w:bCs/>
      <w:sz w:val="32"/>
      <w:szCs w:val="32"/>
    </w:rPr>
  </w:style>
  <w:style w:type="paragraph" w:customStyle="1" w:styleId="25">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27">
    <w:name w:val="闻政正文 Char"/>
    <w:link w:val="28"/>
    <w:qFormat/>
    <w:uiPriority w:val="0"/>
    <w:rPr>
      <w:rFonts w:ascii="Times New Roman" w:hAnsi="Times New Roman" w:eastAsia="仿宋_GB2312" w:cs="Times New Roman"/>
      <w:sz w:val="28"/>
      <w:szCs w:val="28"/>
    </w:rPr>
  </w:style>
  <w:style w:type="paragraph" w:customStyle="1" w:styleId="28">
    <w:name w:val="闻政正文"/>
    <w:basedOn w:val="1"/>
    <w:link w:val="27"/>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9">
    <w:name w:val="闻政表 Char"/>
    <w:link w:val="30"/>
    <w:qFormat/>
    <w:uiPriority w:val="0"/>
    <w:rPr>
      <w:rFonts w:ascii="Times New Roman" w:hAnsi="Times New Roman" w:eastAsia="仿宋_GB2312" w:cs="Times New Roman"/>
      <w:b/>
      <w:sz w:val="24"/>
      <w:szCs w:val="28"/>
    </w:rPr>
  </w:style>
  <w:style w:type="paragraph" w:customStyle="1" w:styleId="30">
    <w:name w:val="闻政表"/>
    <w:basedOn w:val="1"/>
    <w:link w:val="29"/>
    <w:qFormat/>
    <w:uiPriority w:val="0"/>
    <w:pPr>
      <w:spacing w:before="60" w:after="60"/>
      <w:jc w:val="center"/>
    </w:pPr>
    <w:rPr>
      <w:rFonts w:ascii="Times New Roman" w:hAnsi="Times New Roman" w:eastAsia="仿宋_GB2312" w:cs="Times New Roman"/>
      <w:b/>
      <w:sz w:val="24"/>
      <w:szCs w:val="28"/>
    </w:rPr>
  </w:style>
  <w:style w:type="paragraph" w:customStyle="1" w:styleId="31">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2">
    <w:name w:val="闻政标题3 Char"/>
    <w:link w:val="33"/>
    <w:qFormat/>
    <w:uiPriority w:val="0"/>
    <w:rPr>
      <w:rFonts w:ascii="黑体" w:hAnsi="黑体" w:eastAsia="黑体" w:cs="Times New Roman"/>
      <w:bCs/>
      <w:sz w:val="32"/>
      <w:szCs w:val="32"/>
    </w:rPr>
  </w:style>
  <w:style w:type="paragraph" w:customStyle="1" w:styleId="33">
    <w:name w:val="闻政标题3"/>
    <w:basedOn w:val="4"/>
    <w:link w:val="32"/>
    <w:qFormat/>
    <w:uiPriority w:val="99"/>
    <w:pPr>
      <w:spacing w:before="120" w:after="60" w:line="500" w:lineRule="exact"/>
      <w:jc w:val="left"/>
      <w:outlineLvl w:val="0"/>
    </w:pPr>
    <w:rPr>
      <w:rFonts w:ascii="黑体" w:hAnsi="黑体" w:eastAsia="黑体" w:cs="Times New Roman"/>
      <w:b w:val="0"/>
    </w:rPr>
  </w:style>
  <w:style w:type="character" w:customStyle="1" w:styleId="34">
    <w:name w:val="标题 3 Char"/>
    <w:basedOn w:val="13"/>
    <w:link w:val="4"/>
    <w:semiHidden/>
    <w:qFormat/>
    <w:uiPriority w:val="9"/>
    <w:rPr>
      <w:b/>
      <w:bCs/>
      <w:sz w:val="32"/>
      <w:szCs w:val="32"/>
    </w:rPr>
  </w:style>
  <w:style w:type="paragraph" w:customStyle="1" w:styleId="35">
    <w:name w:val="Body text|1"/>
    <w:basedOn w:val="1"/>
    <w:link w:val="36"/>
    <w:qFormat/>
    <w:uiPriority w:val="0"/>
    <w:pPr>
      <w:spacing w:after="40" w:line="334" w:lineRule="auto"/>
    </w:pPr>
    <w:rPr>
      <w:rFonts w:ascii="MingLiU" w:hAnsi="MingLiU" w:eastAsia="MingLiU" w:cs="MingLiU"/>
      <w:sz w:val="20"/>
      <w:szCs w:val="20"/>
      <w:lang w:val="zh-TW" w:eastAsia="zh-TW" w:bidi="zh-TW"/>
    </w:rPr>
  </w:style>
  <w:style w:type="character" w:customStyle="1" w:styleId="36">
    <w:name w:val="Body text|1_"/>
    <w:basedOn w:val="13"/>
    <w:link w:val="35"/>
    <w:unhideWhenUsed/>
    <w:qFormat/>
    <w:uiPriority w:val="0"/>
    <w:rPr>
      <w:rFonts w:ascii="MingLiU" w:hAnsi="MingLiU" w:eastAsia="MingLiU" w:cs="MingLiU"/>
      <w:sz w:val="20"/>
      <w:szCs w:val="20"/>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77839E-A90E-4751-BF6D-35FEC7C371FB}">
  <ds:schemaRefs/>
</ds:datastoreItem>
</file>

<file path=docProps/app.xml><?xml version="1.0" encoding="utf-8"?>
<Properties xmlns="http://schemas.openxmlformats.org/officeDocument/2006/extended-properties" xmlns:vt="http://schemas.openxmlformats.org/officeDocument/2006/docPropsVTypes">
  <Template>Normal</Template>
  <Pages>11</Pages>
  <Words>512</Words>
  <Characters>2923</Characters>
  <Lines>24</Lines>
  <Paragraphs>6</Paragraphs>
  <TotalTime>5</TotalTime>
  <ScaleCrop>false</ScaleCrop>
  <LinksUpToDate>false</LinksUpToDate>
  <CharactersWithSpaces>3429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ASUS</cp:lastModifiedBy>
  <dcterms:modified xsi:type="dcterms:W3CDTF">2020-09-05T05:49:29Z</dcterms:modified>
  <dc:title>新疆普天鹏华商务信息咨询有限公司</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