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  <w:bookmarkStart w:id="8" w:name="_GoBack"/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喀什地区工会部门工会经费项目支出绩效评价报告</w:t>
      </w: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autoSpaceDE w:val="0"/>
        <w:autoSpaceDN w:val="0"/>
        <w:spacing w:line="540" w:lineRule="exact"/>
        <w:rPr>
          <w:rFonts w:hAnsi="宋体" w:eastAsia="仿宋_GB2312" w:cs="宋体"/>
          <w:color w:val="000000" w:themeColor="text1"/>
          <w:kern w:val="0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项目名称：</w:t>
      </w:r>
      <w:r>
        <w:rPr>
          <w:rFonts w:hint="eastAsia" w:hAnsi="宋体" w:eastAsia="仿宋_GB2312" w:cs="宋体"/>
          <w:color w:val="000000" w:themeColor="text1"/>
          <w:kern w:val="0"/>
          <w:sz w:val="36"/>
          <w:szCs w:val="36"/>
        </w:rPr>
        <w:t>工会经费项目</w:t>
      </w:r>
    </w:p>
    <w:p>
      <w:pPr>
        <w:spacing w:line="700" w:lineRule="exact"/>
        <w:jc w:val="left"/>
        <w:rPr>
          <w:rFonts w:hAnsi="宋体" w:eastAsia="仿宋_GB2312" w:cs="宋体"/>
          <w:color w:val="000000" w:themeColor="text1"/>
          <w:kern w:val="0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实施单位：</w:t>
      </w:r>
      <w:r>
        <w:rPr>
          <w:rFonts w:hint="eastAsia" w:hAnsi="宋体" w:eastAsia="仿宋_GB2312" w:cs="宋体"/>
          <w:color w:val="000000" w:themeColor="text1"/>
          <w:kern w:val="0"/>
          <w:sz w:val="36"/>
          <w:szCs w:val="36"/>
        </w:rPr>
        <w:t>新疆维吾尔自治区总工会喀什地区办事处</w:t>
      </w:r>
    </w:p>
    <w:p>
      <w:pPr>
        <w:autoSpaceDE w:val="0"/>
        <w:autoSpaceDN w:val="0"/>
        <w:spacing w:line="540" w:lineRule="exact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评价部门：</w:t>
      </w:r>
      <w:r>
        <w:rPr>
          <w:rFonts w:hint="eastAsia" w:hAnsi="宋体" w:eastAsia="仿宋_GB2312" w:cs="宋体"/>
          <w:color w:val="000000" w:themeColor="text1"/>
          <w:kern w:val="0"/>
          <w:sz w:val="36"/>
          <w:szCs w:val="36"/>
        </w:rPr>
        <w:t>新疆维吾尔自治区总工会喀什地区办事处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136" w:firstLineChars="6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848" w:firstLineChars="8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二零二零年四月</w:t>
      </w:r>
    </w:p>
    <w:p>
      <w:pPr>
        <w:pStyle w:val="22"/>
        <w:numPr>
          <w:ilvl w:val="0"/>
          <w:numId w:val="2"/>
        </w:numPr>
        <w:ind w:firstLineChars="0"/>
      </w:pPr>
      <w:r>
        <w:rPr>
          <w:rFonts w:hint="eastAsia"/>
        </w:rPr>
        <w:t>基本情况</w:t>
      </w:r>
    </w:p>
    <w:p>
      <w:pPr>
        <w:pStyle w:val="24"/>
        <w:ind w:left="0" w:firstLine="643" w:firstLineChars="200"/>
      </w:pPr>
      <w:bookmarkStart w:id="0" w:name="_Toc26401549"/>
      <w:r>
        <w:rPr>
          <w:rFonts w:hint="eastAsia"/>
        </w:rPr>
        <w:t>项目概况</w:t>
      </w:r>
      <w:bookmarkEnd w:id="0"/>
    </w:p>
    <w:p>
      <w:pPr>
        <w:pStyle w:val="18"/>
        <w:numPr>
          <w:ilvl w:val="0"/>
          <w:numId w:val="3"/>
        </w:numPr>
        <w:spacing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项目背景及立项依据</w:t>
      </w:r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本项目根据《工会法》和《工会章程》等政策立项，旨在解决工会经费财政划拨的问题，缓解地区工会资金困难，增加了工会经费收入，补助在职职工人员经费。</w:t>
      </w:r>
    </w:p>
    <w:p>
      <w:pPr>
        <w:pStyle w:val="18"/>
        <w:numPr>
          <w:ilvl w:val="0"/>
          <w:numId w:val="3"/>
        </w:numPr>
        <w:spacing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项目主要内容及实施情况</w:t>
      </w:r>
    </w:p>
    <w:p>
      <w:pPr>
        <w:spacing w:line="700" w:lineRule="exact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 xml:space="preserve">    用于保障在职职工基本工资、津贴及社保、公积金缴费，强化对在职职工的关心爱护，经费100万元。</w:t>
      </w:r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项目实施未能进行充分调研，按照以前年度惯例实施。制定了实施方案，项目实施过程中严格按照实施方案进行实施并及时进行监督管理，项目实施完成后对绩效进行落实，完成年度决算等工作。</w:t>
      </w:r>
    </w:p>
    <w:p>
      <w:pPr>
        <w:tabs>
          <w:tab w:val="left" w:pos="7770"/>
        </w:tabs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3.项目负责人为杜红阳，主要职责为执行财务制度和财政管理制度，落实财务收支日常审批工作。</w:t>
      </w:r>
    </w:p>
    <w:p>
      <w:pPr>
        <w:pStyle w:val="24"/>
        <w:ind w:left="0" w:firstLine="643" w:firstLineChars="200"/>
        <w:rPr>
          <w:rFonts w:hAnsi="仿宋" w:cs="宋体"/>
        </w:rPr>
      </w:pPr>
      <w:bookmarkStart w:id="1" w:name="_Toc26401550"/>
      <w:r>
        <w:rPr>
          <w:rFonts w:hint="eastAsia"/>
        </w:rPr>
        <w:t>资金</w:t>
      </w:r>
      <w:bookmarkEnd w:id="1"/>
      <w:r>
        <w:rPr>
          <w:rFonts w:hint="eastAsia"/>
        </w:rPr>
        <w:t>投入和使用情况</w:t>
      </w:r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本项目总投资100万元，资金来源为本级部门预算资金100万元。</w:t>
      </w:r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工会经费项目资金的使用范围：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项目资金用于支付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在职人员工资、津贴、单位绩效奖励，社保、公积金缴费</w:t>
      </w:r>
      <w:r>
        <w:rPr>
          <w:rStyle w:val="13"/>
          <w:rFonts w:hint="eastAsia" w:ascii="仿宋" w:hAnsi="仿宋" w:eastAsia="仿宋"/>
          <w:b w:val="0"/>
          <w:bCs w:val="0"/>
          <w:spacing w:val="-4"/>
          <w:sz w:val="32"/>
          <w:szCs w:val="32"/>
        </w:rPr>
        <w:t>。</w:t>
      </w:r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喀什地区工会单位制定了工会经费资金管理办法，按照财政项目用途进行使用</w:t>
      </w:r>
    </w:p>
    <w:p>
      <w:pPr>
        <w:pStyle w:val="24"/>
        <w:ind w:left="0" w:firstLine="643" w:firstLineChars="200"/>
      </w:pPr>
      <w:bookmarkStart w:id="2" w:name="_Toc26401551"/>
      <w:r>
        <w:rPr>
          <w:rFonts w:hint="eastAsia"/>
        </w:rPr>
        <w:t>绩效目标</w:t>
      </w:r>
      <w:bookmarkEnd w:id="2"/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总体目标为：</w:t>
      </w:r>
      <w:r>
        <w:rPr>
          <w:rStyle w:val="13"/>
          <w:rFonts w:hint="eastAsia" w:ascii="仿宋" w:hAnsi="仿宋" w:eastAsia="仿宋"/>
          <w:b w:val="0"/>
          <w:bCs w:val="0"/>
          <w:spacing w:val="-4"/>
          <w:sz w:val="32"/>
          <w:szCs w:val="32"/>
        </w:rPr>
        <w:t>解决工会经费财政划拨的问题，缓解地区工会资金困难，增加了工会经费收入，补助在职职工人员经费。</w:t>
      </w:r>
    </w:p>
    <w:p>
      <w:pPr>
        <w:spacing w:beforeLines="50" w:line="600" w:lineRule="exact"/>
        <w:rPr>
          <w:rFonts w:ascii="仿宋_GB2312" w:hAnsi="仿宋" w:eastAsia="仿宋_GB2312" w:cs="宋体"/>
          <w:color w:val="FF0000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 xml:space="preserve"> </w:t>
      </w:r>
      <w:r>
        <w:rPr>
          <w:rFonts w:ascii="仿宋_GB2312" w:hAnsi="仿宋" w:eastAsia="仿宋_GB2312" w:cs="宋体"/>
          <w:sz w:val="32"/>
          <w:szCs w:val="32"/>
        </w:rPr>
        <w:t xml:space="preserve">   </w:t>
      </w:r>
      <w:r>
        <w:rPr>
          <w:rFonts w:hint="eastAsia" w:ascii="仿宋_GB2312" w:hAnsi="仿宋" w:eastAsia="仿宋_GB2312" w:cs="宋体"/>
          <w:sz w:val="32"/>
          <w:szCs w:val="32"/>
        </w:rPr>
        <w:t>项目共设置</w:t>
      </w:r>
      <w:r>
        <w:rPr>
          <w:rFonts w:ascii="仿宋_GB2312" w:hAnsi="仿宋" w:eastAsia="仿宋_GB2312" w:cs="宋体"/>
          <w:sz w:val="32"/>
          <w:szCs w:val="32"/>
        </w:rPr>
        <w:t>1</w:t>
      </w:r>
      <w:r>
        <w:rPr>
          <w:rFonts w:hint="eastAsia" w:ascii="仿宋_GB2312" w:hAnsi="仿宋" w:eastAsia="仿宋_GB2312" w:cs="宋体"/>
          <w:sz w:val="32"/>
          <w:szCs w:val="32"/>
        </w:rPr>
        <w:t>级指标3个，二级指标7个，三级指标7个，绩效目标申报表详见附件1。</w:t>
      </w:r>
    </w:p>
    <w:p>
      <w:pPr>
        <w:pStyle w:val="22"/>
        <w:numPr>
          <w:ilvl w:val="0"/>
          <w:numId w:val="2"/>
        </w:numPr>
        <w:ind w:firstLineChars="0"/>
      </w:pPr>
      <w:bookmarkStart w:id="3" w:name="_Toc26401552"/>
      <w:r>
        <w:rPr>
          <w:rFonts w:hint="eastAsia"/>
        </w:rPr>
        <w:t>评价工作简述</w:t>
      </w:r>
      <w:bookmarkEnd w:id="3"/>
    </w:p>
    <w:p>
      <w:pPr>
        <w:pStyle w:val="24"/>
        <w:numPr>
          <w:ilvl w:val="0"/>
          <w:numId w:val="4"/>
        </w:numPr>
        <w:ind w:left="0" w:firstLine="643" w:firstLineChars="200"/>
      </w:pPr>
      <w:bookmarkStart w:id="4" w:name="_Toc26401553"/>
      <w:r>
        <w:rPr>
          <w:rFonts w:hint="eastAsia"/>
        </w:rPr>
        <w:t>评价目的</w:t>
      </w:r>
      <w:bookmarkEnd w:id="4"/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本次绩效评价遵循财政部《项目</w:t>
      </w:r>
      <w:r>
        <w:rPr>
          <w:rFonts w:ascii="仿宋_GB2312" w:hAnsi="仿宋" w:eastAsia="仿宋_GB2312" w:cs="宋体"/>
          <w:sz w:val="32"/>
          <w:szCs w:val="32"/>
        </w:rPr>
        <w:t>支出绩效评价管理办法》（财预〔2020〕10号）和自治区财政厅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《自治区财政支出绩效评价管理暂行办法》（新财预〔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2018〕189号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）</w:t>
      </w:r>
      <w:r>
        <w:rPr>
          <w:rFonts w:ascii="仿宋_GB2312" w:hAnsi="仿宋" w:eastAsia="仿宋_GB2312" w:cs="宋体"/>
          <w:sz w:val="32"/>
          <w:szCs w:val="32"/>
        </w:rPr>
        <w:t>等相关政策文件与规定，</w:t>
      </w:r>
      <w:r>
        <w:rPr>
          <w:rFonts w:hint="eastAsia" w:ascii="仿宋_GB2312" w:hAnsi="仿宋" w:eastAsia="仿宋_GB2312" w:cs="宋体"/>
          <w:sz w:val="32"/>
          <w:szCs w:val="32"/>
        </w:rPr>
        <w:t>旨在评价工会经费项目实施前期、过程及效果，评价财政预算资金使用的效率及效益。通过开展自我评价来总结经验和教训，为喀什地区工会经费项目今后的开展提供参考依据。</w:t>
      </w:r>
    </w:p>
    <w:p>
      <w:pPr>
        <w:pStyle w:val="24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本次绩效评价的对象及范围</w:t>
      </w:r>
      <w:bookmarkStart w:id="5" w:name="_Toc26401554"/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ascii="仿宋_GB2312" w:hAnsi="仿宋" w:eastAsia="仿宋_GB2312" w:cs="宋体"/>
          <w:sz w:val="32"/>
          <w:szCs w:val="32"/>
        </w:rPr>
        <w:t>本次评价对象为</w:t>
      </w:r>
      <w:r>
        <w:rPr>
          <w:rFonts w:hint="eastAsia" w:ascii="仿宋_GB2312" w:hAnsi="仿宋" w:eastAsia="仿宋_GB2312" w:cs="宋体"/>
          <w:sz w:val="32"/>
          <w:szCs w:val="32"/>
        </w:rPr>
        <w:t>工会经费</w:t>
      </w:r>
      <w:r>
        <w:rPr>
          <w:rFonts w:ascii="仿宋_GB2312" w:hAnsi="仿宋" w:eastAsia="仿宋_GB2312" w:cs="宋体"/>
          <w:sz w:val="32"/>
          <w:szCs w:val="32"/>
        </w:rPr>
        <w:t>项目资金，评价范围包括专项资</w:t>
      </w:r>
      <w:r>
        <w:rPr>
          <w:rFonts w:hint="eastAsia" w:ascii="仿宋_GB2312" w:hAnsi="仿宋" w:eastAsia="仿宋_GB2312" w:cs="宋体"/>
          <w:sz w:val="32"/>
          <w:szCs w:val="32"/>
        </w:rPr>
        <w:t>金的安排、组织及使用效益。</w:t>
      </w:r>
    </w:p>
    <w:p>
      <w:pPr>
        <w:pStyle w:val="24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绩效评价原则</w:t>
      </w:r>
      <w:bookmarkEnd w:id="5"/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本次绩效评价遵循的原则包括：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科学公正。绩效评价应当运用科学合理的方法，按照规范的程序，对项目绩效进行客观、公正的反映。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激励约束。绩效评价结果应与预算安排、政策调整、改进管理实质性挂钩，体现奖优罚劣和激励相容导向，有效要安排、低效要压减、无效要问责。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b w:val="0"/>
        </w:rPr>
      </w:pPr>
      <w:r>
        <w:rPr>
          <w:rFonts w:hint="eastAsia" w:hAnsi="仿宋" w:cs="宋体"/>
          <w:b w:val="0"/>
        </w:rPr>
        <w:t>公开透明。绩效评价结果应依法依规公开，并自觉接受社会监督。</w:t>
      </w:r>
      <w:r>
        <w:rPr>
          <w:rFonts w:hint="eastAsia"/>
          <w:b w:val="0"/>
        </w:rPr>
        <w:t>绩效评价体系</w:t>
      </w:r>
    </w:p>
    <w:p>
      <w:pPr>
        <w:pStyle w:val="24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本项目绩效评价体系</w:t>
      </w:r>
    </w:p>
    <w:p>
      <w:pPr>
        <w:pStyle w:val="24"/>
        <w:numPr>
          <w:ilvl w:val="0"/>
          <w:numId w:val="0"/>
        </w:numPr>
        <w:ind w:firstLine="640" w:firstLineChars="200"/>
        <w:rPr>
          <w:b w:val="0"/>
        </w:rPr>
      </w:pPr>
      <w:r>
        <w:rPr>
          <w:rFonts w:hint="eastAsia"/>
          <w:b w:val="0"/>
        </w:rPr>
        <w:t>本项目绩效评价体系为根据财预</w:t>
      </w:r>
      <w:r>
        <w:rPr>
          <w:rFonts w:hint="eastAsia" w:ascii="仿宋" w:hAnsi="仿宋" w:eastAsia="仿宋"/>
          <w:b w:val="0"/>
        </w:rPr>
        <w:t>﹝</w:t>
      </w:r>
      <w:r>
        <w:rPr>
          <w:rFonts w:hint="eastAsia"/>
          <w:b w:val="0"/>
        </w:rPr>
        <w:t>2</w:t>
      </w:r>
      <w:r>
        <w:rPr>
          <w:b w:val="0"/>
        </w:rPr>
        <w:t>020</w:t>
      </w:r>
      <w:r>
        <w:rPr>
          <w:rFonts w:hint="eastAsia" w:ascii="仿宋" w:hAnsi="仿宋" w:eastAsia="仿宋"/>
          <w:b w:val="0"/>
        </w:rPr>
        <w:t>﹞</w:t>
      </w:r>
      <w:r>
        <w:rPr>
          <w:rFonts w:hint="eastAsia"/>
          <w:b w:val="0"/>
        </w:rPr>
        <w:t>1</w:t>
      </w:r>
      <w:r>
        <w:rPr>
          <w:b w:val="0"/>
        </w:rPr>
        <w:t>0</w:t>
      </w:r>
      <w:r>
        <w:rPr>
          <w:rFonts w:hint="eastAsia"/>
          <w:b w:val="0"/>
        </w:rPr>
        <w:t>号共性指标及个性化指标设置，详见附件</w:t>
      </w:r>
      <w:r>
        <w:rPr>
          <w:rFonts w:hint="eastAsia"/>
          <w:b w:val="0"/>
          <w:lang w:val="en-US" w:eastAsia="zh-CN"/>
        </w:rPr>
        <w:t>4</w:t>
      </w:r>
      <w:r>
        <w:rPr>
          <w:rFonts w:hint="eastAsia"/>
          <w:b w:val="0"/>
        </w:rPr>
        <w:t>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</w:pPr>
      <w:bookmarkStart w:id="6" w:name="_Toc26401555"/>
      <w:r>
        <w:rPr>
          <w:rFonts w:hint="eastAsia"/>
        </w:rPr>
        <w:t>绩效评价方法</w:t>
      </w:r>
      <w:bookmarkEnd w:id="6"/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本次绩效评价方法的选用简便有效的原则采用综合评价法、问卷调查法。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评价标准</w:t>
      </w:r>
    </w:p>
    <w:p>
      <w:pPr>
        <w:pStyle w:val="24"/>
        <w:keepNext w:val="0"/>
        <w:keepLines w:val="0"/>
        <w:numPr>
          <w:ilvl w:val="0"/>
          <w:numId w:val="0"/>
        </w:numPr>
      </w:pP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项目评价标准采用</w:t>
      </w:r>
      <w:r>
        <w:rPr>
          <w:rFonts w:hint="eastAsia"/>
          <w:bCs w:val="0"/>
        </w:rPr>
        <w:t>计划标准、历史标准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绩效评价工作过程</w:t>
      </w:r>
    </w:p>
    <w:p>
      <w:pPr>
        <w:pStyle w:val="24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本次评价成立了评价</w:t>
      </w:r>
      <w:r>
        <w:rPr>
          <w:rFonts w:hint="eastAsia"/>
          <w:b w:val="0"/>
          <w:bCs w:val="0"/>
          <w:lang w:eastAsia="zh-CN"/>
        </w:rPr>
        <w:t>小组</w:t>
      </w:r>
      <w:r>
        <w:rPr>
          <w:rFonts w:hint="eastAsia"/>
          <w:b w:val="0"/>
          <w:bCs w:val="0"/>
        </w:rPr>
        <w:t>，成员如下：</w:t>
      </w:r>
    </w:p>
    <w:tbl>
      <w:tblPr>
        <w:tblStyle w:val="16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评价人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职责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杜红阳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评价组组长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教育工会主席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董友麟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其曼古丽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出纳</w:t>
            </w:r>
          </w:p>
        </w:tc>
      </w:tr>
    </w:tbl>
    <w:p>
      <w:pPr>
        <w:pStyle w:val="24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本次评价设计了评价方案、评价指标体系，通过资料分析、调研、访谈满意度调查等方式形成评价结论，在与项目单位沟通后确定评价意见，并出具评价报告。　</w:t>
      </w:r>
    </w:p>
    <w:p>
      <w:pPr>
        <w:pStyle w:val="22"/>
        <w:numPr>
          <w:ilvl w:val="0"/>
          <w:numId w:val="2"/>
        </w:numPr>
        <w:ind w:firstLineChars="0"/>
        <w:rPr>
          <w:color w:val="FF0000"/>
        </w:rPr>
      </w:pPr>
      <w:bookmarkStart w:id="7" w:name="_Toc26401558"/>
      <w:r>
        <w:rPr>
          <w:rFonts w:hint="eastAsia" w:ascii="黑体" w:hAnsi="黑体"/>
        </w:rPr>
        <w:t>综合评价情况及评价结论</w:t>
      </w:r>
    </w:p>
    <w:p>
      <w:pPr>
        <w:pStyle w:val="22"/>
        <w:ind w:firstLine="640"/>
        <w:rPr>
          <w:rFonts w:ascii="仿宋_GB2312" w:eastAsia="仿宋_GB2312" w:hAnsiTheme="majorHAnsi"/>
          <w:b w:val="0"/>
          <w:bCs w:val="0"/>
          <w:kern w:val="2"/>
        </w:rPr>
      </w:pPr>
      <w:r>
        <w:rPr>
          <w:rFonts w:hint="eastAsia" w:ascii="仿宋_GB2312" w:eastAsia="仿宋_GB2312" w:hAnsiTheme="majorHAnsi"/>
          <w:b w:val="0"/>
          <w:bCs w:val="0"/>
          <w:kern w:val="2"/>
        </w:rPr>
        <w:t>经评价组通过实地调研、资料分析等方式，采用综合分析法、等对项目的决策、管理、绩效进行的综合评价分析，项目得分为95分，评价结果为优良，详见附件</w:t>
      </w:r>
      <w:r>
        <w:rPr>
          <w:rFonts w:hint="eastAsia" w:ascii="仿宋_GB2312" w:eastAsia="仿宋_GB2312" w:hAnsiTheme="majorHAnsi"/>
          <w:b w:val="0"/>
          <w:bCs w:val="0"/>
          <w:kern w:val="2"/>
          <w:lang w:val="en-US" w:eastAsia="zh-CN"/>
        </w:rPr>
        <w:t>6</w:t>
      </w:r>
      <w:r>
        <w:rPr>
          <w:rFonts w:hint="eastAsia" w:ascii="仿宋_GB2312" w:eastAsia="仿宋_GB2312" w:hAnsiTheme="majorHAnsi"/>
          <w:b w:val="0"/>
          <w:bCs w:val="0"/>
          <w:kern w:val="2"/>
        </w:rPr>
        <w:t>。</w:t>
      </w:r>
    </w:p>
    <w:p>
      <w:pPr>
        <w:pStyle w:val="22"/>
        <w:numPr>
          <w:ilvl w:val="0"/>
          <w:numId w:val="2"/>
        </w:numPr>
        <w:ind w:firstLineChars="0"/>
      </w:pPr>
      <w:r>
        <w:rPr>
          <w:rFonts w:hint="eastAsia"/>
        </w:rPr>
        <w:t>绩效评价指标分析</w:t>
      </w:r>
      <w:bookmarkEnd w:id="7"/>
    </w:p>
    <w:p>
      <w:pPr>
        <w:pStyle w:val="18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项目的决策情况</w:t>
      </w:r>
    </w:p>
    <w:p>
      <w:pPr>
        <w:pStyle w:val="27"/>
        <w:ind w:firstLine="640"/>
        <w:rPr>
          <w:rFonts w:ascii="仿宋_GB2312" w:hAnsi="仿宋" w:cs="宋体"/>
          <w:sz w:val="32"/>
          <w:szCs w:val="32"/>
        </w:rPr>
      </w:pPr>
      <w:r>
        <w:rPr>
          <w:rFonts w:hint="eastAsia" w:ascii="仿宋_GB2312" w:hAnsi="仿宋" w:cs="宋体"/>
          <w:sz w:val="32"/>
          <w:szCs w:val="32"/>
        </w:rPr>
        <w:t>本项目的立项符合相关法规政策及部门职责，依据充分；项目是否按照规定的程序申请设立；审批文件、材料符合相关要求；项目前期是否已经过必要的可行性研究、专家论证、风险评估、绩效评估、集体决策。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根据相关文件要求设置了绩效目标，项目绩效目标基本合理，与实际工作内容相关；项目预期产出效益和效果符合正常的业绩水平；与预算确定的项目投资额或资金量相匹配。项目绩效目标细化分解为具体的绩效指标；通过清晰、可衡量的指标值予以体现；与项目目标任务数或计划数相对应。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项目在资金投入方面，预算编制经过科学论证、有明确标准，资金额度与年度目标相适应，用以反映和考核项目预算编制的科学性、合理性情况。项目预算资金分配有测算依据，与补助单位或地方实际相适应。</w:t>
      </w:r>
    </w:p>
    <w:p>
      <w:pPr>
        <w:pStyle w:val="18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项目的过程情况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在资金管理方面，项目资金到位足额及时，及时支付，资金使用符合国家法规和财务管理制度；资金拨付有完整的审批程序和手续，符合项目预算批复或合同规定的用途；不存在截留、挤占、挪用、虚列支出等情况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在项目组织实施方面，项目单位已制定或具有相应的财务和业务管理制度，财务和业务管理制度合法、合规、完整。项目实施遵守相关法律法规和相关管理规定。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项目调整及支出调整手续完备，因为是人员补助类项目所以不涉及项目合同书、验收报告、技术鉴定等资料齐全并及时归档，不涉及项目实施的人员条件、场地设备、信息支撑等是否落实到位。</w:t>
      </w:r>
    </w:p>
    <w:p>
      <w:pPr>
        <w:pStyle w:val="18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项目产出情况</w:t>
      </w:r>
    </w:p>
    <w:p>
      <w:pPr>
        <w:spacing w:beforeLines="50" w:line="600" w:lineRule="exact"/>
        <w:ind w:firstLine="660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项目产出数量为补助人数，预期指标值为16人，实际完成值为16人，指标达到预期目标</w:t>
      </w:r>
    </w:p>
    <w:p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项目产出质量为人员覆盖率，预期指标值为100%，实际完成值为100%，指标达到预期目标</w:t>
      </w:r>
    </w:p>
    <w:p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项目产出时效为发放工资、津贴及时率，预期指标值为95%，实际完成值为95%，达到预期目标</w:t>
      </w:r>
    </w:p>
    <w:p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项目产出成本指标为覆盖单位全体人员补助费用，预期指标值为100万元，实际完成值为100万元，达到预期目标</w:t>
      </w:r>
    </w:p>
    <w:p>
      <w:pPr>
        <w:pStyle w:val="18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项目效益情况</w:t>
      </w:r>
    </w:p>
    <w:p>
      <w:pPr>
        <w:spacing w:beforeLines="50" w:line="600" w:lineRule="exact"/>
        <w:ind w:firstLine="660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项目实施产生的社会效益</w:t>
      </w:r>
      <w:r>
        <w:rPr>
          <w:rFonts w:hint="eastAsia" w:ascii="仿宋_GB2312" w:eastAsia="仿宋_GB2312"/>
          <w:sz w:val="32"/>
          <w:szCs w:val="32"/>
        </w:rPr>
        <w:t>指标为逐步改善职工待遇水平，预期指标值为逐步提高，实际完成值为逐步提高</w:t>
      </w:r>
      <w:r>
        <w:rPr>
          <w:rFonts w:hint="eastAsia" w:ascii="仿宋_GB2312" w:hAnsi="仿宋" w:eastAsia="仿宋_GB2312" w:cs="宋体"/>
          <w:bCs/>
          <w:sz w:val="32"/>
          <w:szCs w:val="32"/>
        </w:rPr>
        <w:t>，达到了预期目标</w:t>
      </w:r>
    </w:p>
    <w:p>
      <w:pPr>
        <w:spacing w:beforeLines="50" w:line="600" w:lineRule="exact"/>
        <w:ind w:firstLine="660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项目的可持续效益效益</w:t>
      </w:r>
      <w:r>
        <w:rPr>
          <w:rFonts w:hint="eastAsia" w:ascii="仿宋_GB2312" w:eastAsia="仿宋_GB2312"/>
          <w:sz w:val="32"/>
          <w:szCs w:val="32"/>
        </w:rPr>
        <w:t>指标为对干部职工的影响，预期指标值为逐步改善，实际完成值为逐步改善</w:t>
      </w:r>
      <w:r>
        <w:rPr>
          <w:rFonts w:hint="eastAsia" w:ascii="仿宋_GB2312" w:hAnsi="仿宋" w:eastAsia="仿宋_GB2312" w:cs="宋体"/>
          <w:bCs/>
          <w:sz w:val="32"/>
          <w:szCs w:val="32"/>
        </w:rPr>
        <w:t>，达到了预期目标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经问卷调查，项目收益干部职工满意度为≥95%：达到了预期目标。</w:t>
      </w:r>
    </w:p>
    <w:p>
      <w:pPr>
        <w:pStyle w:val="22"/>
        <w:numPr>
          <w:ilvl w:val="0"/>
          <w:numId w:val="2"/>
        </w:numPr>
        <w:ind w:firstLineChars="0"/>
      </w:pPr>
      <w:r>
        <w:rPr>
          <w:rFonts w:hint="eastAsia" w:ascii="黑体" w:hAnsi="黑体"/>
        </w:rPr>
        <w:t>主要经验及做法、存在的问题及原因分析</w:t>
      </w:r>
    </w:p>
    <w:p>
      <w:pPr>
        <w:pStyle w:val="24"/>
        <w:numPr>
          <w:ilvl w:val="0"/>
          <w:numId w:val="7"/>
        </w:numPr>
        <w:ind w:left="0" w:firstLine="643" w:firstLineChars="200"/>
      </w:pPr>
      <w:r>
        <w:rPr>
          <w:rFonts w:hint="eastAsia"/>
        </w:rPr>
        <w:t>主要经验及做法</w:t>
      </w:r>
    </w:p>
    <w:p>
      <w:pPr>
        <w:pStyle w:val="24"/>
        <w:numPr>
          <w:ilvl w:val="0"/>
          <w:numId w:val="0"/>
        </w:numPr>
        <w:ind w:firstLine="640" w:firstLineChars="200"/>
        <w:rPr>
          <w:b w:val="0"/>
        </w:rPr>
      </w:pPr>
      <w:r>
        <w:rPr>
          <w:rFonts w:hint="eastAsia"/>
          <w:b w:val="0"/>
        </w:rPr>
        <w:t>本项目实施效果较好的原因主要是管理制度完善、责任落实到位，跟踪考核机制完善且运行有效，在项目实施过程中创新管理办法，采用严格管理执行财务制度方式使项目取得了良好的效果</w:t>
      </w:r>
    </w:p>
    <w:p>
      <w:pPr>
        <w:pStyle w:val="24"/>
        <w:numPr>
          <w:ilvl w:val="0"/>
          <w:numId w:val="7"/>
        </w:numPr>
        <w:ind w:left="0" w:firstLine="643" w:firstLineChars="200"/>
      </w:pPr>
      <w:r>
        <w:rPr>
          <w:rFonts w:hint="eastAsia"/>
        </w:rPr>
        <w:t>存在的问题及原因分析</w:t>
      </w:r>
    </w:p>
    <w:p>
      <w:pPr>
        <w:adjustRightInd w:val="0"/>
        <w:snapToGrid w:val="0"/>
        <w:spacing w:line="560" w:lineRule="exact"/>
        <w:ind w:firstLine="420" w:firstLineChars="200"/>
        <w:rPr>
          <w:rFonts w:ascii="仿宋" w:hAnsi="仿宋" w:eastAsia="仿宋"/>
          <w:bCs/>
          <w:color w:val="000000" w:themeColor="text1"/>
          <w:spacing w:val="-4"/>
          <w:sz w:val="32"/>
          <w:szCs w:val="32"/>
        </w:rPr>
      </w:pPr>
      <w:r>
        <w:rPr>
          <w:rFonts w:hint="eastAsia"/>
        </w:rPr>
        <w:t xml:space="preserve"> </w:t>
      </w:r>
      <w:r>
        <w:t xml:space="preserve">  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前期资金使用因指标下达较晚的原因未按期支付，导致了资金滞缓，影响了项目的进度，造成了部分资金的延迟支付，经过中后期调整，完成项目支付。</w:t>
      </w:r>
    </w:p>
    <w:p>
      <w:pPr>
        <w:pStyle w:val="24"/>
        <w:numPr>
          <w:ilvl w:val="0"/>
          <w:numId w:val="0"/>
        </w:numPr>
        <w:rPr>
          <w:b w:val="0"/>
        </w:rPr>
      </w:pPr>
    </w:p>
    <w:p>
      <w:pPr>
        <w:pStyle w:val="22"/>
        <w:numPr>
          <w:ilvl w:val="0"/>
          <w:numId w:val="2"/>
        </w:numPr>
        <w:ind w:firstLineChars="0"/>
        <w:rPr>
          <w:rFonts w:ascii="黑体" w:hAnsi="黑体"/>
        </w:rPr>
      </w:pPr>
      <w:r>
        <w:rPr>
          <w:rFonts w:hint="eastAsia" w:ascii="黑体" w:hAnsi="黑体"/>
        </w:rPr>
        <w:t>有关建议</w:t>
      </w:r>
    </w:p>
    <w:p>
      <w:pPr>
        <w:adjustRightInd w:val="0"/>
        <w:snapToGrid w:val="0"/>
        <w:spacing w:line="560" w:lineRule="exact"/>
        <w:ind w:firstLine="420" w:firstLineChars="200"/>
        <w:rPr>
          <w:rFonts w:ascii="黑体" w:hAnsi="黑体"/>
        </w:rPr>
      </w:pPr>
      <w:r>
        <w:rPr>
          <w:rFonts w:ascii="黑体" w:hAnsi="黑体"/>
        </w:rPr>
        <w:t xml:space="preserve"> </w:t>
      </w:r>
      <w:r>
        <w:rPr>
          <w:rFonts w:ascii="仿宋_GB2312" w:hAnsi="仿宋" w:eastAsia="仿宋_GB2312" w:cs="宋体"/>
        </w:rPr>
        <w:t xml:space="preserve">   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年初做好资金计划，按照项目进度及时拨付资金，使资金使用效益最大化，减少不必要的浪费，节约成本。</w:t>
      </w:r>
    </w:p>
    <w:p>
      <w:pPr>
        <w:pStyle w:val="22"/>
        <w:numPr>
          <w:ilvl w:val="0"/>
          <w:numId w:val="2"/>
        </w:numPr>
        <w:ind w:firstLineChars="0"/>
        <w:rPr>
          <w:rFonts w:ascii="黑体" w:hAnsi="黑体"/>
        </w:rPr>
      </w:pPr>
      <w:r>
        <w:rPr>
          <w:rFonts w:hint="eastAsia" w:ascii="黑体" w:hAnsi="黑体"/>
        </w:rPr>
        <w:t>其他需要说明的问题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无其他需要说明的问题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附件1：喀什地区工会单位工会经费项目支出绩效目标申报表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附件2：喀什地区工会单位工会经费项目支出绩效目标表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附件3：喀什地区工会单位工会经费项目支出绩效自评表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附件4：喀什地区工会部门工会经费项目支出绩效评价指标体系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附件5：绩效评价依据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附件6：喀什地区工会部门工会经费项目支出绩效评价评分表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</w:p>
    <w:bookmarkEnd w:id="8"/>
    <w:sectPr>
      <w:footerReference r:id="rId3" w:type="default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D4D14"/>
    <w:multiLevelType w:val="multilevel"/>
    <w:tmpl w:val="316D4D14"/>
    <w:lvl w:ilvl="0" w:tentative="0">
      <w:start w:val="1"/>
      <w:numFmt w:val="decimal"/>
      <w:lvlText w:val="%1."/>
      <w:lvlJc w:val="left"/>
      <w:pPr>
        <w:ind w:left="988" w:hanging="420"/>
      </w:pPr>
    </w:lvl>
    <w:lvl w:ilvl="1" w:tentative="0">
      <w:start w:val="1"/>
      <w:numFmt w:val="decimal"/>
      <w:lvlText w:val="%2."/>
      <w:lvlJc w:val="left"/>
      <w:pPr>
        <w:ind w:left="1408" w:hanging="420"/>
      </w:pPr>
    </w:lvl>
    <w:lvl w:ilvl="2" w:tentative="0">
      <w:start w:val="1"/>
      <w:numFmt w:val="lowerRoman"/>
      <w:lvlText w:val="%3."/>
      <w:lvlJc w:val="right"/>
      <w:pPr>
        <w:ind w:left="1828" w:hanging="420"/>
      </w:pPr>
    </w:lvl>
    <w:lvl w:ilvl="3" w:tentative="0">
      <w:start w:val="1"/>
      <w:numFmt w:val="decimal"/>
      <w:lvlText w:val="%4."/>
      <w:lvlJc w:val="left"/>
      <w:pPr>
        <w:ind w:left="2248" w:hanging="420"/>
      </w:pPr>
    </w:lvl>
    <w:lvl w:ilvl="4" w:tentative="0">
      <w:start w:val="1"/>
      <w:numFmt w:val="lowerLetter"/>
      <w:lvlText w:val="%5)"/>
      <w:lvlJc w:val="left"/>
      <w:pPr>
        <w:ind w:left="2668" w:hanging="420"/>
      </w:pPr>
    </w:lvl>
    <w:lvl w:ilvl="5" w:tentative="0">
      <w:start w:val="1"/>
      <w:numFmt w:val="lowerRoman"/>
      <w:lvlText w:val="%6."/>
      <w:lvlJc w:val="right"/>
      <w:pPr>
        <w:ind w:left="3088" w:hanging="420"/>
      </w:pPr>
    </w:lvl>
    <w:lvl w:ilvl="6" w:tentative="0">
      <w:start w:val="1"/>
      <w:numFmt w:val="decimal"/>
      <w:lvlText w:val="%7."/>
      <w:lvlJc w:val="left"/>
      <w:pPr>
        <w:ind w:left="3508" w:hanging="420"/>
      </w:pPr>
    </w:lvl>
    <w:lvl w:ilvl="7" w:tentative="0">
      <w:start w:val="1"/>
      <w:numFmt w:val="lowerLetter"/>
      <w:lvlText w:val="%8)"/>
      <w:lvlJc w:val="left"/>
      <w:pPr>
        <w:ind w:left="3928" w:hanging="420"/>
      </w:pPr>
    </w:lvl>
    <w:lvl w:ilvl="8" w:tentative="0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3A7260C0"/>
    <w:multiLevelType w:val="multilevel"/>
    <w:tmpl w:val="3A7260C0"/>
    <w:lvl w:ilvl="0" w:tentative="0">
      <w:start w:val="1"/>
      <w:numFmt w:val="chineseCountingThousand"/>
      <w:pStyle w:val="24"/>
      <w:lvlText w:val="(%1)"/>
      <w:lvlJc w:val="left"/>
      <w:pPr>
        <w:ind w:left="988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37299F"/>
    <w:multiLevelType w:val="multilevel"/>
    <w:tmpl w:val="4F37299F"/>
    <w:lvl w:ilvl="0" w:tentative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451D54"/>
    <w:multiLevelType w:val="multilevel"/>
    <w:tmpl w:val="54451D54"/>
    <w:lvl w:ilvl="0" w:tentative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5" w:hanging="420"/>
      </w:pPr>
    </w:lvl>
    <w:lvl w:ilvl="2" w:tentative="0">
      <w:start w:val="1"/>
      <w:numFmt w:val="lowerRoman"/>
      <w:lvlText w:val="%3."/>
      <w:lvlJc w:val="right"/>
      <w:pPr>
        <w:ind w:left="1905" w:hanging="420"/>
      </w:pPr>
    </w:lvl>
    <w:lvl w:ilvl="3" w:tentative="0">
      <w:start w:val="1"/>
      <w:numFmt w:val="decimal"/>
      <w:lvlText w:val="%4."/>
      <w:lvlJc w:val="left"/>
      <w:pPr>
        <w:ind w:left="2325" w:hanging="420"/>
      </w:pPr>
    </w:lvl>
    <w:lvl w:ilvl="4" w:tentative="0">
      <w:start w:val="1"/>
      <w:numFmt w:val="lowerLetter"/>
      <w:lvlText w:val="%5)"/>
      <w:lvlJc w:val="left"/>
      <w:pPr>
        <w:ind w:left="2745" w:hanging="420"/>
      </w:pPr>
    </w:lvl>
    <w:lvl w:ilvl="5" w:tentative="0">
      <w:start w:val="1"/>
      <w:numFmt w:val="lowerRoman"/>
      <w:lvlText w:val="%6."/>
      <w:lvlJc w:val="right"/>
      <w:pPr>
        <w:ind w:left="3165" w:hanging="420"/>
      </w:pPr>
    </w:lvl>
    <w:lvl w:ilvl="6" w:tentative="0">
      <w:start w:val="1"/>
      <w:numFmt w:val="decimal"/>
      <w:lvlText w:val="%7."/>
      <w:lvlJc w:val="left"/>
      <w:pPr>
        <w:ind w:left="3585" w:hanging="420"/>
      </w:pPr>
    </w:lvl>
    <w:lvl w:ilvl="7" w:tentative="0">
      <w:start w:val="1"/>
      <w:numFmt w:val="lowerLetter"/>
      <w:lvlText w:val="%8)"/>
      <w:lvlJc w:val="left"/>
      <w:pPr>
        <w:ind w:left="4005" w:hanging="420"/>
      </w:pPr>
    </w:lvl>
    <w:lvl w:ilvl="8" w:tentative="0">
      <w:start w:val="1"/>
      <w:numFmt w:val="lowerRoman"/>
      <w:lvlText w:val="%9."/>
      <w:lvlJc w:val="right"/>
      <w:pPr>
        <w:ind w:left="4425" w:hanging="420"/>
      </w:pPr>
    </w:lvl>
  </w:abstractNum>
  <w:abstractNum w:abstractNumId="4">
    <w:nsid w:val="5B493FDA"/>
    <w:multiLevelType w:val="multilevel"/>
    <w:tmpl w:val="5B493FDA"/>
    <w:lvl w:ilvl="0" w:tentative="0">
      <w:start w:val="1"/>
      <w:numFmt w:val="chineseCountingThousand"/>
      <w:lvlText w:val="(%1)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6757463D"/>
    <w:multiLevelType w:val="multilevel"/>
    <w:tmpl w:val="6757463D"/>
    <w:lvl w:ilvl="0" w:tentative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0"/>
  <w:drawingGridHorizontalSpacing w:val="210"/>
  <w:drawingGridVerticalSpacing w:val="158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5715"/>
    <w:rsid w:val="00022413"/>
    <w:rsid w:val="00037F93"/>
    <w:rsid w:val="00042126"/>
    <w:rsid w:val="000C7EF1"/>
    <w:rsid w:val="000E0C7B"/>
    <w:rsid w:val="000F2007"/>
    <w:rsid w:val="00100A64"/>
    <w:rsid w:val="00100AA9"/>
    <w:rsid w:val="001143D6"/>
    <w:rsid w:val="0012798F"/>
    <w:rsid w:val="00132553"/>
    <w:rsid w:val="00151AF1"/>
    <w:rsid w:val="00174F3A"/>
    <w:rsid w:val="0018169D"/>
    <w:rsid w:val="00193649"/>
    <w:rsid w:val="0019720C"/>
    <w:rsid w:val="001A1902"/>
    <w:rsid w:val="001A4FFA"/>
    <w:rsid w:val="001B5B44"/>
    <w:rsid w:val="001D5FF2"/>
    <w:rsid w:val="001D6F2E"/>
    <w:rsid w:val="00203FB6"/>
    <w:rsid w:val="00233ECE"/>
    <w:rsid w:val="00297A4D"/>
    <w:rsid w:val="002A1BF4"/>
    <w:rsid w:val="002B3A72"/>
    <w:rsid w:val="002C6231"/>
    <w:rsid w:val="002F7CDC"/>
    <w:rsid w:val="00324E56"/>
    <w:rsid w:val="00331AF1"/>
    <w:rsid w:val="003468D7"/>
    <w:rsid w:val="00363E52"/>
    <w:rsid w:val="00382736"/>
    <w:rsid w:val="003A04D1"/>
    <w:rsid w:val="003C327E"/>
    <w:rsid w:val="003C4B3D"/>
    <w:rsid w:val="003C6E7F"/>
    <w:rsid w:val="003E0E95"/>
    <w:rsid w:val="003F1C70"/>
    <w:rsid w:val="003F2E47"/>
    <w:rsid w:val="00403544"/>
    <w:rsid w:val="004115AA"/>
    <w:rsid w:val="00434C92"/>
    <w:rsid w:val="00443C47"/>
    <w:rsid w:val="00452560"/>
    <w:rsid w:val="00467DBB"/>
    <w:rsid w:val="004A0587"/>
    <w:rsid w:val="004C56AB"/>
    <w:rsid w:val="004D088E"/>
    <w:rsid w:val="004D4F06"/>
    <w:rsid w:val="005225F1"/>
    <w:rsid w:val="00531253"/>
    <w:rsid w:val="00540B36"/>
    <w:rsid w:val="00563E06"/>
    <w:rsid w:val="0058554B"/>
    <w:rsid w:val="00596DDF"/>
    <w:rsid w:val="005B6EAB"/>
    <w:rsid w:val="005D7AC7"/>
    <w:rsid w:val="00630E69"/>
    <w:rsid w:val="006362B2"/>
    <w:rsid w:val="0065420A"/>
    <w:rsid w:val="006869EC"/>
    <w:rsid w:val="00694A44"/>
    <w:rsid w:val="006D0AA4"/>
    <w:rsid w:val="006F2513"/>
    <w:rsid w:val="006F64CB"/>
    <w:rsid w:val="007161B2"/>
    <w:rsid w:val="0071759F"/>
    <w:rsid w:val="007253B3"/>
    <w:rsid w:val="00731D46"/>
    <w:rsid w:val="00734BAD"/>
    <w:rsid w:val="00745547"/>
    <w:rsid w:val="00752C57"/>
    <w:rsid w:val="00781733"/>
    <w:rsid w:val="007C5CF9"/>
    <w:rsid w:val="007D340B"/>
    <w:rsid w:val="007E6392"/>
    <w:rsid w:val="007F3C25"/>
    <w:rsid w:val="00811F2D"/>
    <w:rsid w:val="00815938"/>
    <w:rsid w:val="008226BA"/>
    <w:rsid w:val="00827DA6"/>
    <w:rsid w:val="00835103"/>
    <w:rsid w:val="00854416"/>
    <w:rsid w:val="00866F54"/>
    <w:rsid w:val="00883FF2"/>
    <w:rsid w:val="0089293E"/>
    <w:rsid w:val="00893E6C"/>
    <w:rsid w:val="008D7BC7"/>
    <w:rsid w:val="0090104C"/>
    <w:rsid w:val="009741BA"/>
    <w:rsid w:val="00982B10"/>
    <w:rsid w:val="009C0267"/>
    <w:rsid w:val="009E5354"/>
    <w:rsid w:val="009F426A"/>
    <w:rsid w:val="00A10F1E"/>
    <w:rsid w:val="00A12A0C"/>
    <w:rsid w:val="00A365D5"/>
    <w:rsid w:val="00A41DB8"/>
    <w:rsid w:val="00A43094"/>
    <w:rsid w:val="00A53361"/>
    <w:rsid w:val="00A5786D"/>
    <w:rsid w:val="00A60191"/>
    <w:rsid w:val="00A81609"/>
    <w:rsid w:val="00A85237"/>
    <w:rsid w:val="00AB07C5"/>
    <w:rsid w:val="00AE1FDF"/>
    <w:rsid w:val="00AE3042"/>
    <w:rsid w:val="00B03B29"/>
    <w:rsid w:val="00B16C8F"/>
    <w:rsid w:val="00B32FA4"/>
    <w:rsid w:val="00B36F46"/>
    <w:rsid w:val="00B47B13"/>
    <w:rsid w:val="00B53BE4"/>
    <w:rsid w:val="00B6063F"/>
    <w:rsid w:val="00B9042A"/>
    <w:rsid w:val="00BA0855"/>
    <w:rsid w:val="00BA65AD"/>
    <w:rsid w:val="00BC7696"/>
    <w:rsid w:val="00C2671D"/>
    <w:rsid w:val="00C563AA"/>
    <w:rsid w:val="00C71FF0"/>
    <w:rsid w:val="00C77259"/>
    <w:rsid w:val="00C97E2D"/>
    <w:rsid w:val="00D043D7"/>
    <w:rsid w:val="00D117FB"/>
    <w:rsid w:val="00D23C2E"/>
    <w:rsid w:val="00D61EC8"/>
    <w:rsid w:val="00D93516"/>
    <w:rsid w:val="00DA7F4C"/>
    <w:rsid w:val="00DC5F94"/>
    <w:rsid w:val="00DE152F"/>
    <w:rsid w:val="00DE293B"/>
    <w:rsid w:val="00E05626"/>
    <w:rsid w:val="00E25B2F"/>
    <w:rsid w:val="00E373A5"/>
    <w:rsid w:val="00E66A4D"/>
    <w:rsid w:val="00E72B1C"/>
    <w:rsid w:val="00E96169"/>
    <w:rsid w:val="00EF7B48"/>
    <w:rsid w:val="00F0780F"/>
    <w:rsid w:val="00F16D54"/>
    <w:rsid w:val="00F6015C"/>
    <w:rsid w:val="00F75715"/>
    <w:rsid w:val="00FB2E2F"/>
    <w:rsid w:val="00FD300A"/>
    <w:rsid w:val="00FF137F"/>
    <w:rsid w:val="00FF6959"/>
    <w:rsid w:val="00FF6C14"/>
    <w:rsid w:val="01BE6316"/>
    <w:rsid w:val="13FF4BE2"/>
    <w:rsid w:val="217F35A7"/>
    <w:rsid w:val="232B383B"/>
    <w:rsid w:val="24556F52"/>
    <w:rsid w:val="24E73B1F"/>
    <w:rsid w:val="26F03C06"/>
    <w:rsid w:val="2A547683"/>
    <w:rsid w:val="2E655143"/>
    <w:rsid w:val="307151F6"/>
    <w:rsid w:val="331748B2"/>
    <w:rsid w:val="370D0D49"/>
    <w:rsid w:val="3A5A6994"/>
    <w:rsid w:val="42603FC5"/>
    <w:rsid w:val="4D2424C0"/>
    <w:rsid w:val="55D14DAC"/>
    <w:rsid w:val="57964064"/>
    <w:rsid w:val="667765BF"/>
    <w:rsid w:val="6F9532B6"/>
    <w:rsid w:val="73961649"/>
    <w:rsid w:val="7775238E"/>
    <w:rsid w:val="7A8638D9"/>
    <w:rsid w:val="7E7F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4">
    <w:name w:val="heading 2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2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nhideWhenUsed/>
    <w:qFormat/>
    <w:uiPriority w:val="39"/>
    <w:rPr>
      <w:rFonts w:eastAsia="仿宋_GB2312"/>
      <w:sz w:val="28"/>
    </w:rPr>
  </w:style>
  <w:style w:type="paragraph" w:styleId="6">
    <w:name w:val="Balloon Text"/>
    <w:basedOn w:val="1"/>
    <w:link w:val="21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eastAsia="仿宋_GB2312"/>
      <w:sz w:val="28"/>
    </w:rPr>
  </w:style>
  <w:style w:type="paragraph" w:styleId="10">
    <w:name w:val="toc 2"/>
    <w:basedOn w:val="1"/>
    <w:next w:val="1"/>
    <w:unhideWhenUsed/>
    <w:qFormat/>
    <w:uiPriority w:val="39"/>
    <w:rPr>
      <w:rFonts w:eastAsia="仿宋_GB2312"/>
      <w:sz w:val="2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Hyperlink"/>
    <w:basedOn w:val="12"/>
    <w:unhideWhenUsed/>
    <w:qFormat/>
    <w:uiPriority w:val="99"/>
    <w:rPr>
      <w:color w:val="0563C1" w:themeColor="hyperlink"/>
      <w:u w:val="single"/>
    </w:rPr>
  </w:style>
  <w:style w:type="table" w:styleId="16">
    <w:name w:val="Table Grid"/>
    <w:basedOn w:val="1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标题 1 Char"/>
    <w:basedOn w:val="12"/>
    <w:link w:val="3"/>
    <w:qFormat/>
    <w:uiPriority w:val="9"/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customStyle="1" w:styleId="18">
    <w:name w:val="列出段落1"/>
    <w:basedOn w:val="1"/>
    <w:qFormat/>
    <w:uiPriority w:val="34"/>
    <w:pPr>
      <w:ind w:firstLine="420" w:firstLineChars="200"/>
    </w:pPr>
  </w:style>
  <w:style w:type="character" w:customStyle="1" w:styleId="19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20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21">
    <w:name w:val="批注框文本 Char"/>
    <w:basedOn w:val="12"/>
    <w:link w:val="6"/>
    <w:semiHidden/>
    <w:qFormat/>
    <w:uiPriority w:val="99"/>
    <w:rPr>
      <w:sz w:val="18"/>
      <w:szCs w:val="18"/>
    </w:rPr>
  </w:style>
  <w:style w:type="paragraph" w:customStyle="1" w:styleId="22">
    <w:name w:val="标题1"/>
    <w:basedOn w:val="3"/>
    <w:qFormat/>
    <w:uiPriority w:val="0"/>
    <w:pPr>
      <w:spacing w:before="120" w:after="120" w:line="500" w:lineRule="exact"/>
      <w:ind w:firstLine="200" w:firstLineChars="200"/>
    </w:pPr>
    <w:rPr>
      <w:rFonts w:cs="Times New Roman"/>
      <w:sz w:val="32"/>
      <w:szCs w:val="32"/>
    </w:rPr>
  </w:style>
  <w:style w:type="character" w:customStyle="1" w:styleId="23">
    <w:name w:val="标题 2 Char"/>
    <w:basedOn w:val="12"/>
    <w:link w:val="4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4">
    <w:name w:val="标题2"/>
    <w:basedOn w:val="4"/>
    <w:qFormat/>
    <w:uiPriority w:val="0"/>
    <w:pPr>
      <w:numPr>
        <w:ilvl w:val="0"/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25">
    <w:name w:val="TOC 标题1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26">
    <w:name w:val="闻政正文 Char"/>
    <w:link w:val="27"/>
    <w:qFormat/>
    <w:uiPriority w:val="0"/>
    <w:rPr>
      <w:rFonts w:ascii="Times New Roman" w:hAnsi="Times New Roman" w:eastAsia="仿宋_GB2312" w:cs="Times New Roman"/>
      <w:sz w:val="28"/>
      <w:szCs w:val="28"/>
    </w:rPr>
  </w:style>
  <w:style w:type="paragraph" w:customStyle="1" w:styleId="27">
    <w:name w:val="闻政正文"/>
    <w:basedOn w:val="1"/>
    <w:link w:val="26"/>
    <w:qFormat/>
    <w:uiPriority w:val="0"/>
    <w:pPr>
      <w:spacing w:line="500" w:lineRule="exact"/>
      <w:ind w:firstLine="560" w:firstLineChars="200"/>
    </w:pPr>
    <w:rPr>
      <w:rFonts w:ascii="Times New Roman" w:hAnsi="Times New Roman" w:eastAsia="仿宋_GB2312" w:cs="Times New Roman"/>
      <w:sz w:val="28"/>
      <w:szCs w:val="28"/>
    </w:rPr>
  </w:style>
  <w:style w:type="character" w:customStyle="1" w:styleId="28">
    <w:name w:val="闻政表 Char"/>
    <w:link w:val="29"/>
    <w:qFormat/>
    <w:uiPriority w:val="0"/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9">
    <w:name w:val="闻政表"/>
    <w:basedOn w:val="1"/>
    <w:link w:val="28"/>
    <w:qFormat/>
    <w:uiPriority w:val="0"/>
    <w:pPr>
      <w:spacing w:before="60" w:after="60"/>
      <w:jc w:val="center"/>
    </w:pPr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30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2"/>
    </w:rPr>
  </w:style>
  <w:style w:type="character" w:customStyle="1" w:styleId="31">
    <w:name w:val="闻政标题3 Char"/>
    <w:link w:val="32"/>
    <w:qFormat/>
    <w:uiPriority w:val="0"/>
    <w:rPr>
      <w:rFonts w:ascii="黑体" w:hAnsi="黑体" w:eastAsia="黑体" w:cs="Times New Roman"/>
      <w:bCs/>
      <w:sz w:val="32"/>
      <w:szCs w:val="32"/>
    </w:rPr>
  </w:style>
  <w:style w:type="paragraph" w:customStyle="1" w:styleId="32">
    <w:name w:val="闻政标题3"/>
    <w:basedOn w:val="2"/>
    <w:link w:val="31"/>
    <w:qFormat/>
    <w:uiPriority w:val="99"/>
    <w:pPr>
      <w:spacing w:before="120" w:after="60" w:line="500" w:lineRule="exact"/>
      <w:jc w:val="left"/>
      <w:outlineLvl w:val="0"/>
    </w:pPr>
    <w:rPr>
      <w:rFonts w:ascii="黑体" w:hAnsi="黑体" w:eastAsia="黑体" w:cs="Times New Roman"/>
      <w:b w:val="0"/>
    </w:rPr>
  </w:style>
  <w:style w:type="character" w:customStyle="1" w:styleId="33">
    <w:name w:val="标题 3 Char"/>
    <w:basedOn w:val="12"/>
    <w:link w:val="2"/>
    <w:semiHidden/>
    <w:qFormat/>
    <w:uiPriority w:val="9"/>
    <w:rPr>
      <w:b/>
      <w:bCs/>
      <w:sz w:val="32"/>
      <w:szCs w:val="32"/>
    </w:rPr>
  </w:style>
  <w:style w:type="paragraph" w:customStyle="1" w:styleId="34">
    <w:name w:val="Body text|1"/>
    <w:basedOn w:val="1"/>
    <w:link w:val="35"/>
    <w:qFormat/>
    <w:uiPriority w:val="0"/>
    <w:pPr>
      <w:spacing w:after="40" w:line="334" w:lineRule="auto"/>
    </w:pPr>
    <w:rPr>
      <w:rFonts w:ascii="MingLiU" w:hAnsi="MingLiU" w:eastAsia="MingLiU" w:cs="MingLiU"/>
      <w:sz w:val="20"/>
      <w:szCs w:val="20"/>
      <w:lang w:val="zh-TW" w:eastAsia="zh-TW" w:bidi="zh-TW"/>
    </w:rPr>
  </w:style>
  <w:style w:type="character" w:customStyle="1" w:styleId="35">
    <w:name w:val="Body text|1_"/>
    <w:basedOn w:val="12"/>
    <w:link w:val="34"/>
    <w:unhideWhenUsed/>
    <w:qFormat/>
    <w:uiPriority w:val="0"/>
    <w:rPr>
      <w:rFonts w:ascii="MingLiU" w:hAnsi="MingLiU" w:eastAsia="MingLiU" w:cs="MingLiU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9F2D31-F20E-4B9C-AFD1-DDBC6F384E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424</Words>
  <Characters>2423</Characters>
  <Lines>20</Lines>
  <Paragraphs>5</Paragraphs>
  <TotalTime>25</TotalTime>
  <ScaleCrop>false</ScaleCrop>
  <LinksUpToDate>false</LinksUpToDate>
  <CharactersWithSpaces>2842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2019-11-22T05:12:00Z</dcterms:created>
  <dc:creator>ThinkPad</dc:creator>
  <cp:lastModifiedBy>ASUS</cp:lastModifiedBy>
  <dcterms:modified xsi:type="dcterms:W3CDTF">2020-09-05T06:02:41Z</dcterms:modified>
  <dc:title>新疆普天鹏华商务信息咨询有限公司</dc:title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