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新疆喀什地区发展和改革委员会2019年度部门决算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第一条根据自治区党委、自治区人民政府批准的《喀什地区机构改革方案&gt;的实施意见》（喀党办发﹝2019﹞2号），制定本规定。第二条　地区发展和改革委员会是行署工作部门，为正县级。第三条　地区推进实施“一带一路”建设领导小组办公室设在地区发展和改革委员会，接受地区推进实施“一带一路”建设领导小组的直接领导，承担地区推进实施“一带一路”建设具体工作,组织研究推进实施“一带一路”建设、丝绸之路经济带核心区建设和对内对外开放交流合作等重大规划、重点工作、政策措施和建设项目,指导各县市、各部门与“一带一路”周边及沿线国家开展各领域互利合作。发展和改革委员会的内设机构根据工作需要承担自治区推进实施“一带一路”建设领导小组办公室相关工作,接受地区推进实施“一带一路”建设领导小组的统筹协调。第四条　喀什地区发展和改革委员会贯彻落实党中央、自治区党委关于发展改革工作的方针政策和决策部署以及地委工作要求，在履行职责过程中坚持和加强党对发展改革工作的集中统一领导。主要职责是：(一)研究提出地区国民经济和社会发展战略、中长期规划，贯彻执行国家、自治区国民经济和社会发展方针、政策；统筹协调地区经济社会发展，研究分析国内外、区内外经济形势，提出国民经济发展、价格总水平调控和优化重大经济结构的目标、政策，提出综合运用各种经济手段和政策的建议；组织研究、协调实施重点专项规划，衔接、平衡各县市及主要行业的规划；受地区行署委托向地区人大提交国民经济和社会发展计划报告。(二)负责监测宏观经济和社会发展态势，承担预测预警和信息引导的责任；提出促进地区经济高质量发展的政策建议；研究涉及经济安全及总体产业安全等重要问题并提出政策措施和建议。(三)负责汇总分析地区财政、金融、产业、价格政策等方面的情况和执行效果，提出政策建议；拟订并组织实施价格政策；制定和调整政府管理的重要商品价格、服务价格和收费项目、标准；发布重大价格信息，规范市场价格行为等。(四)承担经济体制改革的责任，研究地区经济体制改革和对外开放的重大问题，组织拟订地区综合性经济体制改革方案，协调有关专项经济体制改革方案，指导经济体制改革试点工作；组织制定区域经济协调发展规划和政策；负责自治区推进实施“一带一路”建设的日常组织协调工作；推进西部大开发战略和重大政策的实施；推进地区城镇化建设。(五)承担规划重大建设项目和生产力布局的职责，研究提出地区全社会固定资产投资总规模和投资结构的目标政策及措施，规划重大项目和生产力布局；衔接平衡需要中央财政、自治区财政投资和涉及重大建设项目的专项规划；编制、下达地区固定资产投资计划、重点项目建设计划和前期项目计划；负责地区重大项目的管理和组织协调；争取自治区财政预算内建设资金，引导社会投资方向；按照管理权限，负责审核上报、审批、核准、备案固定资产投资项目，审查、审批项目初步设计；组织实施地区固定资产投资项目节能评估审查工作；指导和协调地区招投标工作；配合地区涉外(建设)项目国家安全事项审查工作。(六)推进产业结构战略性调整和升级。组织拟订综合性产业政策，负责协调第一、二、三产业发展的重大问题，做好与国民经济和社会发展规划、计划的衔接平衡；提出国民经济重要产业的发展战略和规划，组织审核上报、审批专项规划；研究农业和农村经济社会发展的有关重大问题，衔接农村专项规划和政策；拟订并实施以工代赈规划和计划；组织拟订高技术产业发展、产业技术进步的战略、规划和政策，推动高技术产业化发展；规划、指导服务业的建设与发展。(七)研究提出利用外资和境外投资的战略、总量平衡和结构优化的目标和政策；监测国外资金利用和境外投资情况以及地区外债结构优化状况；按照管理权限，负责审核上报、审批核准、备案国外贷款项目、外商直接投资项目和境外投资项目；会同有关部门协调和审查利用重大内外资项目；会同有关部门做好招商引资工作；会同有关部门指导、协调、审核地区各类开发区等特殊经济区和开放地区的规划、布局和设立。(八)承担重要商品总量平衡和宏观调控的责任，研究分析国内外市场供求状况。(九)负责地区社会发展与国民经济发展的政策衔接，组织拟订社会发展战略、总体规划，参与拟订人口和计划生育、科学技术、教育、文化、卫生、民政等发展政策，协调地区社会事业发展的重大问题；研究提出促进就业、消费、调整收入分配、完善社会保障与经济协调发展的政策。(十)推进可持续发展战略，负责地区全社会节能综合协调工作，组织拟订发展循环经济、全社会能源资源节约和综合利用规划及政策措施并协调实施。会同有关部门研究提出地区生态建设、环境保护规划、资源节约综合利用规划和政策；协调生态建设、环保产业和资源节约综合利用等重大问题，综合协调环保产业和清洁生产促进有关工作。(十一)完成地委、行署交办的其他任务。</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新疆喀什地区发展和改革委员会2</w:t>
      </w:r>
      <w:r>
        <w:rPr>
          <w:rFonts w:ascii="仿宋_GB2312" w:eastAsia="仿宋_GB2312"/>
          <w:sz w:val="32"/>
          <w:szCs w:val="32"/>
        </w:rPr>
        <w:t>019</w:t>
      </w:r>
      <w:r>
        <w:rPr>
          <w:rFonts w:hint="eastAsia" w:ascii="仿宋_GB2312" w:eastAsia="仿宋_GB2312"/>
          <w:sz w:val="32"/>
          <w:szCs w:val="32"/>
        </w:rPr>
        <w:t>年度，实有人数103人，其中：在职人员72人，离休人员3人，退休人员28人。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从部门决算单位构成看，新疆喀什地区发展和改革委员会部门决算包括：新疆喀什地区发展和改革委员会决算。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2019年度本年收入1,698.95万元，与上年相比，减少4,091.70万元，下降70.66%，主要原因是：</w:t>
      </w:r>
      <w:r>
        <w:rPr>
          <w:rFonts w:hint="eastAsia" w:ascii="仿宋_GB2312" w:eastAsia="仿宋_GB2312"/>
          <w:color w:val="000000" w:themeColor="text1"/>
          <w:sz w:val="32"/>
          <w:szCs w:val="32"/>
          <w14:textFill>
            <w14:solidFill>
              <w14:schemeClr w14:val="tx1"/>
            </w14:solidFill>
          </w14:textFill>
        </w:rPr>
        <w:t>一般公共服务收入减少114.85万元，教育收入减少14.04万元，社会就业和保障收入减少7.03万元，节能环保收入减少25.97万元，农林水收入减少1000万元，交通运输收入减少2880万元，住房保障收入减少9.64万元，其他收入减少107.46万元。</w:t>
      </w:r>
      <w:r>
        <w:rPr>
          <w:rFonts w:hint="eastAsia" w:ascii="仿宋_GB2312" w:eastAsia="仿宋_GB2312"/>
          <w:sz w:val="32"/>
          <w:szCs w:val="32"/>
        </w:rPr>
        <w:t>本年支出1,700.89万元，与上年相比，减少4,158.99万元，下降70.97%，主要原因是：</w:t>
      </w:r>
      <w:r>
        <w:rPr>
          <w:rFonts w:hint="eastAsia" w:ascii="仿宋_GB2312" w:eastAsia="仿宋_GB2312"/>
          <w:color w:val="000000" w:themeColor="text1"/>
          <w:sz w:val="32"/>
          <w:szCs w:val="32"/>
          <w14:textFill>
            <w14:solidFill>
              <w14:schemeClr w14:val="tx1"/>
            </w14:solidFill>
          </w14:textFill>
        </w:rPr>
        <w:t>一般公共服务支出减少114.85万元，教育支出减少14.04万元，社会就业和保障支出减少7.03万元，节能环保支出减少25.97万元，农林水支出减少1000万元，交通运输支出减少2880万元，住房保障支出减少9.64万元，其他支出减少107.46万元。</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年度本年收入1,698.95万元，其中：财政拨款收入1,578.95万元，占92.94%；上级补助收入0万元，占0%；事业收入0万元，占0%；经营收入0万元，占0%；附属单位上缴收入0万元，占0%；其他收入120万元，占7.06%。</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2019年度本年支出1,700.89万元，其中：基本支出1,473.53万元，占86.63%；项目支出227.36万元，占13.37%；上缴上级支出0万元，占0%；经营支出0万元，占0%；对附属单位补助支出0万元，占0%。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1,578.95万元，与上年相比，减少4,211.70万元，下降72.73%，主要原因是：年初结转增加1.96万元，一般公共服务收入减少114.85万元，教育收入减少14.04万元，社会就业和保障收入减少7.03万元，节能环保收入减少25.97万元，农林水收入减少1000万元，交通运输收入减少2880万元，住房保障收入减少9.64万元，其他收入减少107.46万元。财政拨款支出1,580.89万元，与上年相比，减少4,207.79万元，下降72.69%，主要原因是：</w:t>
      </w:r>
      <w:r>
        <w:rPr>
          <w:rFonts w:ascii="仿宋_GB2312" w:eastAsia="仿宋_GB2312"/>
          <w:sz w:val="32"/>
          <w:szCs w:val="32"/>
        </w:rPr>
        <w:t>一般公共服务支出减少114.85万元，教育支出减少14.04万元，社会就业和保障支出减少7.03万元，节能环保支出减少25.97万元，农林水支出减少1000万元，交通运输支出减少2880万元，住房保障支出减少9.64万元，其他支出减少107.46万元。</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1,463.47</w:t>
      </w:r>
      <w:r>
        <w:rPr>
          <w:rFonts w:hint="eastAsia" w:ascii="仿宋_GB2312" w:eastAsia="仿宋_GB2312"/>
          <w:sz w:val="32"/>
          <w:szCs w:val="32"/>
        </w:rPr>
        <w:t>万元，决算数1,578.95万元</w:t>
      </w:r>
      <w:r>
        <w:rPr>
          <w:rFonts w:ascii="仿宋_GB2312" w:eastAsia="仿宋_GB2312"/>
          <w:color w:val="000000" w:themeColor="text1"/>
          <w:sz w:val="32"/>
          <w:szCs w:val="32"/>
          <w14:textFill>
            <w14:solidFill>
              <w14:schemeClr w14:val="tx1"/>
            </w14:solidFill>
          </w14:textFill>
        </w:rPr>
        <w:t>，预决算差异率7.89%，主要原因是：社会保障收入增加114.76万元。</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1,636.01</w:t>
      </w:r>
      <w:r>
        <w:rPr>
          <w:rFonts w:hint="eastAsia" w:ascii="仿宋_GB2312" w:eastAsia="仿宋_GB2312"/>
          <w:sz w:val="32"/>
          <w:szCs w:val="32"/>
        </w:rPr>
        <w:t>万元，决算数1,580.89万元</w:t>
      </w:r>
      <w:r>
        <w:rPr>
          <w:rFonts w:ascii="仿宋_GB2312" w:eastAsia="仿宋_GB2312"/>
          <w:color w:val="000000" w:themeColor="text1"/>
          <w:sz w:val="32"/>
          <w:szCs w:val="32"/>
          <w14:textFill>
            <w14:solidFill>
              <w14:schemeClr w14:val="tx1"/>
            </w14:solidFill>
          </w14:textFill>
        </w:rPr>
        <w:t>，预决算差异率-3.37%，主要原因是：轨道交通规划项目未执行，财政收回资金172.54万元，社会保障支出增加114.76万元。</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年度一般公共预算财政拨款支出1,580.89万元。按功能分类科目项级科目公开，其中：</w:t>
      </w:r>
    </w:p>
    <w:p>
      <w:pPr>
        <w:rPr>
          <w:rFonts w:ascii="仿宋_GB2312" w:eastAsia="仿宋_GB2312"/>
          <w:sz w:val="32"/>
          <w:szCs w:val="32"/>
        </w:rPr>
      </w:pPr>
      <w:r>
        <w:rPr>
          <w:rFonts w:ascii="仿宋_GB2312" w:eastAsia="仿宋_GB2312"/>
          <w:sz w:val="32"/>
          <w:szCs w:val="32"/>
        </w:rPr>
        <w:t xml:space="preserve">   2010401行政运行支出1,257.83万元；</w:t>
      </w:r>
      <w:r>
        <w:rPr>
          <w:rFonts w:ascii="仿宋_GB2312" w:eastAsia="仿宋_GB2312"/>
          <w:sz w:val="32"/>
          <w:szCs w:val="32"/>
        </w:rPr>
        <w:br w:type="textWrapping"/>
      </w:r>
      <w:r>
        <w:rPr>
          <w:rFonts w:ascii="仿宋_GB2312" w:eastAsia="仿宋_GB2312"/>
          <w:sz w:val="32"/>
          <w:szCs w:val="32"/>
        </w:rPr>
        <w:t xml:space="preserve">   2010402一般行政管理事务支出15.33万元；</w:t>
      </w:r>
      <w:r>
        <w:rPr>
          <w:rFonts w:ascii="仿宋_GB2312" w:eastAsia="仿宋_GB2312"/>
          <w:sz w:val="32"/>
          <w:szCs w:val="32"/>
        </w:rPr>
        <w:br w:type="textWrapping"/>
      </w:r>
      <w:r>
        <w:rPr>
          <w:rFonts w:ascii="仿宋_GB2312" w:eastAsia="仿宋_GB2312"/>
          <w:sz w:val="32"/>
          <w:szCs w:val="32"/>
        </w:rPr>
        <w:t xml:space="preserve">   2010499其他发展与改革事务支出8万元；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2080505机关事业单位基本养老保险缴费支出116.61万元；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2080506机关事业单位职业年金缴费支出17.32万元；</w:t>
      </w:r>
      <w:r>
        <w:rPr>
          <w:rFonts w:ascii="仿宋_GB2312" w:eastAsia="仿宋_GB2312"/>
          <w:sz w:val="32"/>
          <w:szCs w:val="32"/>
        </w:rPr>
        <w:br w:type="textWrapping"/>
      </w:r>
      <w:r>
        <w:rPr>
          <w:rFonts w:ascii="仿宋_GB2312" w:eastAsia="仿宋_GB2312"/>
          <w:sz w:val="32"/>
          <w:szCs w:val="32"/>
        </w:rPr>
        <w:t xml:space="preserve">   2110203建设项目环评审查与监督支出21.93万元；</w:t>
      </w:r>
      <w:r>
        <w:rPr>
          <w:rFonts w:ascii="仿宋_GB2312" w:eastAsia="仿宋_GB2312"/>
          <w:sz w:val="32"/>
          <w:szCs w:val="32"/>
        </w:rPr>
        <w:br w:type="textWrapping"/>
      </w:r>
      <w:r>
        <w:rPr>
          <w:rFonts w:ascii="仿宋_GB2312" w:eastAsia="仿宋_GB2312"/>
          <w:sz w:val="32"/>
          <w:szCs w:val="32"/>
        </w:rPr>
        <w:t xml:space="preserve">   2110804退牧还草工程建设支出2.10万元；</w:t>
      </w:r>
      <w:r>
        <w:rPr>
          <w:rFonts w:ascii="仿宋_GB2312" w:eastAsia="仿宋_GB2312"/>
          <w:sz w:val="32"/>
          <w:szCs w:val="32"/>
        </w:rPr>
        <w:br w:type="textWrapping"/>
      </w:r>
      <w:r>
        <w:rPr>
          <w:rFonts w:ascii="仿宋_GB2312" w:eastAsia="仿宋_GB2312"/>
          <w:sz w:val="32"/>
          <w:szCs w:val="32"/>
        </w:rPr>
        <w:t xml:space="preserve">   2210201住房公积金支出81.78万元；</w:t>
      </w:r>
      <w:r>
        <w:rPr>
          <w:rFonts w:ascii="仿宋_GB2312" w:eastAsia="仿宋_GB2312"/>
          <w:sz w:val="32"/>
          <w:szCs w:val="32"/>
        </w:rPr>
        <w:br w:type="textWrapping"/>
      </w:r>
      <w:r>
        <w:rPr>
          <w:rFonts w:ascii="仿宋_GB2312" w:eastAsia="仿宋_GB2312"/>
          <w:sz w:val="32"/>
          <w:szCs w:val="32"/>
        </w:rPr>
        <w:t xml:space="preserve">   2299901其他支出60万元。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年度一般公共预算财政拨款基本支出1,473.53万元，其中：</w:t>
      </w:r>
    </w:p>
    <w:p>
      <w:pPr>
        <w:ind w:firstLine="640" w:firstLineChars="200"/>
        <w:rPr>
          <w:rFonts w:ascii="仿宋_GB2312" w:eastAsia="仿宋_GB2312"/>
          <w:sz w:val="32"/>
          <w:szCs w:val="32"/>
        </w:rPr>
      </w:pPr>
      <w:r>
        <w:rPr>
          <w:rFonts w:hint="eastAsia" w:ascii="仿宋_GB2312" w:eastAsia="仿宋_GB2312"/>
          <w:sz w:val="32"/>
          <w:szCs w:val="32"/>
        </w:rPr>
        <w:t>人员经费1,416.34万元，包括：基本工资、津贴补贴、奖金、机关事业单位基本养老保险缴费、职业年金缴费、职工基本医疗保险缴费、公务员医疗补助缴费、其他社会保障缴费、住房公积金、其他工资福利支出、离休费、退休费、抚恤金、生活补助、奖励金。</w:t>
      </w:r>
    </w:p>
    <w:p>
      <w:pPr>
        <w:ind w:firstLine="640" w:firstLineChars="200"/>
        <w:rPr>
          <w:rFonts w:ascii="仿宋_GB2312" w:eastAsia="仿宋_GB2312"/>
          <w:sz w:val="32"/>
          <w:szCs w:val="32"/>
        </w:rPr>
      </w:pPr>
      <w:r>
        <w:rPr>
          <w:rFonts w:hint="eastAsia" w:ascii="仿宋_GB2312" w:eastAsia="仿宋_GB2312"/>
          <w:sz w:val="32"/>
          <w:szCs w:val="32"/>
        </w:rPr>
        <w:t>公用经费57.19万元，包括：办公费、印刷费、水费、电费、邮电费、取暖费、差旅费、会议费、劳务费、公务用车运行维护费、其他交通费用、其他商品和服务支出</w:t>
      </w:r>
      <w:r>
        <w:rPr>
          <w:rFonts w:hint="eastAsia" w:ascii="仿宋_GB2312" w:eastAsia="仿宋_GB2312"/>
          <w:sz w:val="32"/>
          <w:szCs w:val="32"/>
          <w:lang w:eastAsia="zh-CN"/>
        </w:rPr>
        <w:t>、办公设备购置</w:t>
      </w:r>
      <w:bookmarkStart w:id="54" w:name="_GoBack"/>
      <w:bookmarkEnd w:id="54"/>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12.60万元，比上年减少1.27万元，降低9.16%，主要原因是随着机构改革，一辆公务用车划出至市场监管局，经费随之划出。其中，因公出国（境）费支出0万元，占0%，比上年增加0万元，增长0%，主要原因是</w:t>
      </w:r>
      <w:r>
        <w:rPr>
          <w:rFonts w:hint="eastAsia" w:ascii="仿宋_GB2312" w:eastAsia="仿宋_GB2312"/>
          <w:sz w:val="32"/>
          <w:szCs w:val="32"/>
          <w:lang w:eastAsia="zh-CN"/>
        </w:rPr>
        <w:t>：</w:t>
      </w:r>
      <w:r>
        <w:rPr>
          <w:rFonts w:hint="eastAsia" w:ascii="仿宋_GB2312" w:eastAsia="仿宋_GB2312"/>
          <w:sz w:val="32"/>
          <w:szCs w:val="32"/>
          <w:lang w:val="en-US" w:eastAsia="zh-CN"/>
        </w:rPr>
        <w:t>与上年相比无变动，与上年一致</w:t>
      </w:r>
      <w:r>
        <w:rPr>
          <w:rFonts w:hint="eastAsia" w:ascii="仿宋_GB2312" w:eastAsia="仿宋_GB2312"/>
          <w:sz w:val="32"/>
          <w:szCs w:val="32"/>
        </w:rPr>
        <w:t>；公务用车购置及运行维护费支出12.60万元，占100%，比上年减少1.27万元，降低9.16%，主要原因是随着机构改革，一辆公务用车划出至市场监管局，经费随之划出；公务接待费支出0万元，占0%，比上年增加0万元，增长0%，主要原因是</w:t>
      </w:r>
      <w:r>
        <w:rPr>
          <w:rFonts w:hint="eastAsia" w:ascii="仿宋_GB2312" w:eastAsia="仿宋_GB2312"/>
          <w:sz w:val="32"/>
          <w:szCs w:val="32"/>
          <w:lang w:val="en-US" w:eastAsia="zh-CN"/>
        </w:rPr>
        <w:t>;与上年相比无变动，与上年一致</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公务用车购置及运行维护费12.60万元，其中，公务用车购置费0万元，公务用车运行维护费12.60万元。公务用车运行维护费开支内容包括汽车油料、维护费、过路费等。公务用车购置数0辆，公务用车保有量7辆。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公务接待费0万元，开支内容包括国内公务接待支出0万元。单位全年安排的国内公务接待0批次，0人次。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12.60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12.60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，预决算差异率0%，主要原因是：严格按照预算执行。</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12.60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12.60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，预决算差异率0%，主要原因是：严格按照预算执行；</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2019年度新疆喀什地区发展和改革委员会机关运行经费支出57.19万元，比上年减少0.98万元，降低1.68%，主要原因是2019年度发改委机关运行经费支出57.19万元，比上年减少0.98万元，降低1.68%，主要原因是励行节约，减少支出。</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年度政府采购支出总额189.86万元，其中：政府采购货物支出7.28万元、政府采购工程支出57.59万元、政府采购服务支出125万元。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授予中小企业合同金额189.86万元，占政府采购支出总额的100%，其中：授予小微企业合同金额189.86万元，占政府采购支出总额的100%。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年12月31日，单位共有房屋1,670.25（平方米），价值68万元。车辆7辆，价值203.32万元，其中：副部（省）级及以上领导用车0辆、主要领导干部用车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7</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机关公务用车；</w:t>
      </w:r>
      <w:r>
        <w:rPr>
          <w:rFonts w:hint="eastAsia" w:ascii="仿宋_GB2312" w:eastAsia="仿宋_GB2312"/>
          <w:sz w:val="32"/>
          <w:szCs w:val="32"/>
        </w:rPr>
        <w:t>单位价值50万元以上通用设备1台（套）、单位价值100万元以上专用设备0台（套）。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10个，共涉及资金107.36万元。预算绩效管理取得的成效：一是部门年度任务在预算资金额度内完成，并通过规范的招投标及严格的资金管理及项目管理及其他创新的管理措施实现了资金的节约。三公经费在预算范围内开支，开支范围较上年减少2.1万元，因机构改革一辆公务用车划转至市场监督管理局，车辆运行维护费由2018年14.7万元减少至2019年12.6万元；二是各项工作计划按预期计划按时完成，效益按预期时间产生；三是预期的经济效益项目实现对接费项目节约资金3万元，社会效益实现喀什地区煤炭供应紧张局面得到有效缓解，可持续的影响实现长期持续为群众提高政府公共服务能力，相关人员的满意度较高。发现的问题及原因：通过预算绩效管理，发现了工作中存在的不足，部分财政资金于年中或年底才下达，导致前期工作开展中经费使用较为紧张。下一步改进措施：年初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E0G23TPKCPOSMpAveYSh8jNvo0w=" w:salt="AC2mZu1PSupL/1IulM3ZB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180D"/>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5310978"/>
    <w:rsid w:val="058878FA"/>
    <w:rsid w:val="06792773"/>
    <w:rsid w:val="0C2C563A"/>
    <w:rsid w:val="1448223E"/>
    <w:rsid w:val="1A9829E1"/>
    <w:rsid w:val="1DAF458D"/>
    <w:rsid w:val="2A053397"/>
    <w:rsid w:val="2D1136DF"/>
    <w:rsid w:val="31C63837"/>
    <w:rsid w:val="3D5275AC"/>
    <w:rsid w:val="46901EEE"/>
    <w:rsid w:val="469C74D2"/>
    <w:rsid w:val="50DB5F45"/>
    <w:rsid w:val="5389616E"/>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qFormat/>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1056</Words>
  <Characters>6024</Characters>
  <Lines>50</Lines>
  <Paragraphs>14</Paragraphs>
  <TotalTime>5</TotalTime>
  <ScaleCrop>false</ScaleCrop>
  <LinksUpToDate>false</LinksUpToDate>
  <CharactersWithSpaces>7066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2021-07-11T07:03:48Z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