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  <w:bookmarkStart w:id="8" w:name="_GoBack"/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autoSpaceDE w:val="0"/>
        <w:autoSpaceDN w:val="0"/>
        <w:spacing w:line="5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喀什地区农业技术推广中心2018年农业资源及生态保护补助资金预算项目支出绩效评价报告</w:t>
      </w: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项目名称：2018年农业资源及生态保护补助资金预算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实施单位：喀什地区农业技术推广中心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评价部门：喀什地区农业技术推广中心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136" w:firstLineChars="6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848" w:firstLineChars="8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二零二零年四月</w:t>
      </w:r>
    </w:p>
    <w:p>
      <w:pPr>
        <w:spacing w:beforeLines="50" w:line="0" w:lineRule="atLeast"/>
        <w:jc w:val="left"/>
        <w:rPr>
          <w:sz w:val="28"/>
          <w:szCs w:val="28"/>
        </w:rPr>
      </w:pPr>
    </w:p>
    <w:p>
      <w:pPr>
        <w:spacing w:beforeLines="50" w:afterLines="50" w:line="600" w:lineRule="exact"/>
        <w:jc w:val="center"/>
        <w:rPr>
          <w:rFonts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</w:rPr>
      </w:pPr>
    </w:p>
    <w:p>
      <w:pPr>
        <w:spacing w:beforeLines="50" w:afterLines="50" w:line="600" w:lineRule="exact"/>
        <w:jc w:val="center"/>
        <w:rPr>
          <w:rFonts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</w:rPr>
      </w:pPr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基本情况</w:t>
      </w:r>
    </w:p>
    <w:p>
      <w:pPr>
        <w:pStyle w:val="23"/>
        <w:ind w:left="0" w:firstLine="643" w:firstLineChars="200"/>
        <w:rPr>
          <w:rFonts w:hint="eastAsia"/>
        </w:rPr>
      </w:pPr>
      <w:bookmarkStart w:id="0" w:name="_Toc26401549"/>
      <w:r>
        <w:rPr>
          <w:rFonts w:hint="eastAsia"/>
        </w:rPr>
        <w:t>项目概况</w:t>
      </w:r>
      <w:bookmarkEnd w:id="0"/>
    </w:p>
    <w:p>
      <w:pPr>
        <w:pStyle w:val="23"/>
        <w:numPr>
          <w:ilvl w:val="0"/>
          <w:numId w:val="0"/>
        </w:numPr>
        <w:ind w:left="643"/>
        <w:rPr>
          <w:b w:val="0"/>
        </w:rPr>
      </w:pPr>
      <w:r>
        <w:rPr>
          <w:rFonts w:hint="eastAsia"/>
          <w:b w:val="0"/>
        </w:rPr>
        <w:t>1.</w:t>
      </w:r>
      <w:r>
        <w:rPr>
          <w:rFonts w:hint="eastAsia" w:hAnsi="仿宋" w:cs="宋体"/>
          <w:b w:val="0"/>
        </w:rPr>
        <w:t>项目背景及立项依据</w:t>
      </w:r>
    </w:p>
    <w:p>
      <w:pPr>
        <w:spacing w:line="600" w:lineRule="exact"/>
        <w:ind w:firstLine="640" w:firstLineChars="200"/>
        <w:rPr>
          <w:rFonts w:hint="eastAsia" w:ascii="华文仿宋" w:hAnsi="华文仿宋" w:eastAsia="华文仿宋"/>
          <w:bCs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本项目根据新农土【2018】146号、新财农【2018】78号及喀地财农【2018】51号文件立项，旨在</w:t>
      </w:r>
      <w:r>
        <w:rPr>
          <w:rFonts w:hint="eastAsia" w:ascii="华文仿宋" w:hAnsi="华文仿宋" w:eastAsia="华文仿宋"/>
          <w:bCs/>
          <w:sz w:val="32"/>
          <w:szCs w:val="32"/>
        </w:rPr>
        <w:t>扎实推进“耕地质量保护与提升行动”和“到2020年化肥使用量零增长行动”稳步提升耕地质量，促进化肥减量增效。</w:t>
      </w:r>
    </w:p>
    <w:p>
      <w:pPr>
        <w:spacing w:line="600" w:lineRule="exact"/>
        <w:ind w:firstLine="640" w:firstLineChars="200"/>
        <w:rPr>
          <w:rFonts w:ascii="华文仿宋" w:hAnsi="华文仿宋" w:eastAsia="华文仿宋"/>
          <w:bCs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2.项目主要内容及实施情况</w:t>
      </w:r>
    </w:p>
    <w:p>
      <w:pPr>
        <w:spacing w:beforeLines="50" w:line="600" w:lineRule="exact"/>
        <w:ind w:firstLine="480" w:firstLineChars="15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项目实施前进行了充分调研，制定了实施方案，项目实施过程中严格按照实施方案进行实施并及时进行监督管理，项目实施后未进行验收。</w:t>
      </w:r>
    </w:p>
    <w:p>
      <w:pPr>
        <w:pStyle w:val="23"/>
        <w:ind w:left="0" w:firstLine="643" w:firstLineChars="200"/>
      </w:pPr>
      <w:bookmarkStart w:id="1" w:name="_Toc26401550"/>
      <w:r>
        <w:rPr>
          <w:rFonts w:hint="eastAsia"/>
        </w:rPr>
        <w:t>资金</w:t>
      </w:r>
      <w:bookmarkEnd w:id="1"/>
      <w:r>
        <w:rPr>
          <w:rFonts w:hint="eastAsia"/>
        </w:rPr>
        <w:t>投入和使用情况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本项目总投资458000元，资金来源为本级部门预算。</w:t>
      </w:r>
    </w:p>
    <w:p>
      <w:pPr>
        <w:spacing w:beforeLines="50" w:line="600" w:lineRule="exact"/>
        <w:ind w:firstLine="645"/>
        <w:rPr>
          <w:rFonts w:hint="eastAsia" w:ascii="华文仿宋" w:hAnsi="华文仿宋" w:eastAsia="华文仿宋"/>
          <w:bCs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2018年农业资源及生态保护补助资金预算项目资金的使用范围：</w:t>
      </w:r>
      <w:r>
        <w:rPr>
          <w:rFonts w:hint="eastAsia" w:ascii="华文仿宋" w:hAnsi="华文仿宋" w:eastAsia="华文仿宋"/>
          <w:bCs/>
          <w:sz w:val="32"/>
          <w:szCs w:val="32"/>
        </w:rPr>
        <w:t>耕地保护与质量提升项目资金390万元，其中：测土配方施肥基础工作资金105万元，化肥减量增效示范县创建资金285万元（麦盖提县171万、叶城县114万）。</w:t>
      </w:r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ascii="仿宋_GB2312" w:hAnsi="仿宋" w:eastAsia="仿宋_GB2312" w:cs="宋体"/>
          <w:sz w:val="32"/>
          <w:szCs w:val="32"/>
        </w:rPr>
        <w:t>喀什地区农业技术推广中心</w:t>
      </w:r>
      <w:r>
        <w:rPr>
          <w:rFonts w:hint="eastAsia" w:ascii="仿宋_GB2312" w:hAnsi="仿宋" w:eastAsia="仿宋_GB2312" w:cs="宋体"/>
          <w:sz w:val="32"/>
          <w:szCs w:val="32"/>
        </w:rPr>
        <w:t>制定了</w:t>
      </w:r>
      <w:r>
        <w:rPr>
          <w:rFonts w:hint="eastAsia" w:ascii="仿宋_GB2312" w:hAnsi="Calibri"/>
          <w:bCs/>
          <w:sz w:val="32"/>
          <w:szCs w:val="32"/>
        </w:rPr>
        <w:t>《</w:t>
      </w:r>
      <w:r>
        <w:rPr>
          <w:rFonts w:hint="eastAsia" w:ascii="华文仿宋" w:hAnsi="华文仿宋" w:eastAsia="华文仿宋"/>
          <w:bCs/>
          <w:sz w:val="32"/>
          <w:szCs w:val="32"/>
        </w:rPr>
        <w:t>喀什地区农业技术推广中心项目资金管理制度</w:t>
      </w:r>
      <w:r>
        <w:rPr>
          <w:rFonts w:hint="eastAsia" w:ascii="仿宋_GB2312" w:hAnsi="Calibri"/>
          <w:bCs/>
          <w:sz w:val="32"/>
          <w:szCs w:val="32"/>
        </w:rPr>
        <w:t>》</w:t>
      </w:r>
      <w:r>
        <w:rPr>
          <w:rFonts w:hint="eastAsia" w:ascii="仿宋_GB2312" w:hAnsi="仿宋" w:eastAsia="仿宋_GB2312" w:cs="宋体"/>
          <w:sz w:val="32"/>
          <w:szCs w:val="32"/>
        </w:rPr>
        <w:t>，按照新农土【2018】146号、新财农【2018】78号及喀地财农【2018】51号文件进行使用.</w:t>
      </w:r>
    </w:p>
    <w:p>
      <w:pPr>
        <w:pStyle w:val="23"/>
        <w:ind w:left="0" w:firstLine="643" w:firstLineChars="200"/>
      </w:pPr>
      <w:bookmarkStart w:id="2" w:name="_Toc26401551"/>
      <w:r>
        <w:rPr>
          <w:rFonts w:hint="eastAsia"/>
        </w:rPr>
        <w:t>绩效目标</w:t>
      </w:r>
      <w:bookmarkEnd w:id="2"/>
    </w:p>
    <w:p>
      <w:pPr>
        <w:spacing w:line="600" w:lineRule="exact"/>
        <w:ind w:firstLine="480" w:firstLineChars="150"/>
        <w:rPr>
          <w:rFonts w:ascii="华文仿宋" w:hAnsi="华文仿宋" w:eastAsia="华文仿宋"/>
          <w:bCs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总体目标为：</w:t>
      </w:r>
      <w:r>
        <w:rPr>
          <w:rFonts w:hint="eastAsia" w:ascii="华文仿宋" w:hAnsi="华文仿宋" w:eastAsia="华文仿宋"/>
          <w:bCs/>
          <w:sz w:val="32"/>
          <w:szCs w:val="32"/>
        </w:rPr>
        <w:t>扎实推进“耕地质量保护与提升行动”和“到2020年化肥使用量零增长行动”稳步提升耕地质量，促进化肥减量增效。在喀什地区十二县（市）继续开展耕地质量等级评价取样工作，2018年完成1018个取样，田间试验6个；开展测土配方技术宣传培训，提高测土配方施肥技术覆盖率；在麦盖提县、叶城县开展化肥减量增效示范面积5万亩，其中麦盖提县3万亩，叶城县2万亩。通过项目实施，力争实现“三个促进”。</w:t>
      </w:r>
    </w:p>
    <w:p>
      <w:pPr>
        <w:spacing w:beforeLines="50" w:line="600" w:lineRule="exact"/>
        <w:ind w:firstLine="480" w:firstLineChars="150"/>
        <w:rPr>
          <w:rFonts w:ascii="仿宋_GB2312" w:hAnsi="仿宋" w:eastAsia="仿宋_GB2312" w:cs="宋体"/>
          <w:color w:val="FF0000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项目共设置</w:t>
      </w:r>
      <w:r>
        <w:rPr>
          <w:rFonts w:ascii="仿宋_GB2312" w:hAnsi="仿宋" w:eastAsia="仿宋_GB2312" w:cs="宋体"/>
          <w:sz w:val="32"/>
          <w:szCs w:val="32"/>
        </w:rPr>
        <w:t>1</w:t>
      </w:r>
      <w:r>
        <w:rPr>
          <w:rFonts w:hint="eastAsia" w:ascii="仿宋_GB2312" w:hAnsi="仿宋" w:eastAsia="仿宋_GB2312" w:cs="宋体"/>
          <w:sz w:val="32"/>
          <w:szCs w:val="32"/>
        </w:rPr>
        <w:t>级指标3个，二级指标9个，三级指标12个，绩效目标申报表详见附件1。</w:t>
      </w:r>
    </w:p>
    <w:p>
      <w:pPr>
        <w:pStyle w:val="21"/>
        <w:numPr>
          <w:ilvl w:val="0"/>
          <w:numId w:val="2"/>
        </w:numPr>
        <w:ind w:firstLineChars="0"/>
      </w:pPr>
      <w:bookmarkStart w:id="3" w:name="_Toc26401552"/>
      <w:r>
        <w:rPr>
          <w:rFonts w:hint="eastAsia"/>
        </w:rPr>
        <w:t>评价工作简述</w:t>
      </w:r>
      <w:bookmarkEnd w:id="3"/>
    </w:p>
    <w:p>
      <w:pPr>
        <w:pStyle w:val="23"/>
        <w:numPr>
          <w:ilvl w:val="0"/>
          <w:numId w:val="3"/>
        </w:numPr>
        <w:ind w:left="0" w:firstLine="643" w:firstLineChars="200"/>
      </w:pPr>
      <w:bookmarkStart w:id="4" w:name="_Toc26401553"/>
      <w:r>
        <w:rPr>
          <w:rFonts w:hint="eastAsia"/>
        </w:rPr>
        <w:t>评价目的</w:t>
      </w:r>
      <w:bookmarkEnd w:id="4"/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color w:val="FF0000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本次绩效评价遵循财政部《项目</w:t>
      </w:r>
      <w:r>
        <w:rPr>
          <w:rFonts w:ascii="仿宋_GB2312" w:hAnsi="仿宋" w:eastAsia="仿宋_GB2312" w:cs="宋体"/>
          <w:sz w:val="32"/>
          <w:szCs w:val="32"/>
        </w:rPr>
        <w:t>支出绩效评价管理办法》（财预〔2020〕10号）和自治区财政厅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《自治区财政支出绩效评价管理暂行办法》（新财预〔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2018〕189号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）</w:t>
      </w:r>
      <w:r>
        <w:rPr>
          <w:rFonts w:ascii="仿宋_GB2312" w:hAnsi="仿宋" w:eastAsia="仿宋_GB2312" w:cs="宋体"/>
          <w:sz w:val="32"/>
          <w:szCs w:val="32"/>
        </w:rPr>
        <w:t>等相关政策文件与规定，</w:t>
      </w:r>
      <w:r>
        <w:rPr>
          <w:rFonts w:hint="eastAsia" w:ascii="仿宋_GB2312" w:hAnsi="仿宋" w:eastAsia="仿宋_GB2312" w:cs="宋体"/>
          <w:sz w:val="32"/>
          <w:szCs w:val="32"/>
        </w:rPr>
        <w:t>旨在评价2018年农业资源及生态保护补助资金预算项目实施前期、过程及效果，评价财政预算资金使用的效率及效益。</w:t>
      </w:r>
    </w:p>
    <w:p>
      <w:pPr>
        <w:pStyle w:val="23"/>
        <w:numPr>
          <w:ilvl w:val="0"/>
          <w:numId w:val="3"/>
        </w:numPr>
        <w:ind w:left="0" w:firstLine="643" w:firstLineChars="200"/>
      </w:pPr>
      <w:r>
        <w:rPr>
          <w:rFonts w:hint="eastAsia"/>
        </w:rPr>
        <w:t>本次绩效评价的对象及范围</w:t>
      </w:r>
      <w:bookmarkStart w:id="5" w:name="_Toc26401554"/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color w:val="FF0000"/>
          <w:sz w:val="32"/>
          <w:szCs w:val="32"/>
        </w:rPr>
      </w:pPr>
      <w:r>
        <w:rPr>
          <w:rFonts w:ascii="仿宋_GB2312" w:hAnsi="仿宋" w:eastAsia="仿宋_GB2312" w:cs="宋体"/>
          <w:sz w:val="32"/>
          <w:szCs w:val="32"/>
        </w:rPr>
        <w:t>本次评价对象为</w:t>
      </w:r>
      <w:r>
        <w:rPr>
          <w:rFonts w:hint="eastAsia" w:ascii="仿宋_GB2312" w:hAnsi="仿宋" w:eastAsia="仿宋_GB2312" w:cs="宋体"/>
          <w:sz w:val="32"/>
          <w:szCs w:val="32"/>
        </w:rPr>
        <w:t>2018年农业资源及生态保护补助资金预算</w:t>
      </w:r>
      <w:r>
        <w:rPr>
          <w:rFonts w:ascii="仿宋_GB2312" w:hAnsi="仿宋" w:eastAsia="仿宋_GB2312" w:cs="宋体"/>
          <w:sz w:val="32"/>
          <w:szCs w:val="32"/>
        </w:rPr>
        <w:t>项目资金，评价范围包括专项资</w:t>
      </w:r>
      <w:r>
        <w:rPr>
          <w:rFonts w:hint="eastAsia" w:ascii="仿宋_GB2312" w:hAnsi="仿宋" w:eastAsia="仿宋_GB2312" w:cs="宋体"/>
          <w:sz w:val="32"/>
          <w:szCs w:val="32"/>
        </w:rPr>
        <w:t>金的安排、组织及使用效益。</w:t>
      </w:r>
    </w:p>
    <w:p>
      <w:pPr>
        <w:pStyle w:val="23"/>
        <w:numPr>
          <w:ilvl w:val="0"/>
          <w:numId w:val="3"/>
        </w:numPr>
        <w:ind w:left="0" w:firstLine="643" w:firstLineChars="200"/>
      </w:pPr>
      <w:r>
        <w:rPr>
          <w:rFonts w:hint="eastAsia"/>
        </w:rPr>
        <w:t>绩效评价原则</w:t>
      </w:r>
      <w:bookmarkEnd w:id="5"/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本次绩效评价遵循的原则包括：</w:t>
      </w:r>
    </w:p>
    <w:p>
      <w:pPr>
        <w:pStyle w:val="23"/>
        <w:keepNext w:val="0"/>
        <w:keepLines w:val="0"/>
        <w:numPr>
          <w:ilvl w:val="1"/>
          <w:numId w:val="4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科学公正。绩效评价应当运用科学合理的方法，按照规范的程序，对项目绩效进行客观、公正的反映。</w:t>
      </w:r>
    </w:p>
    <w:p>
      <w:pPr>
        <w:pStyle w:val="23"/>
        <w:keepNext w:val="0"/>
        <w:keepLines w:val="0"/>
        <w:numPr>
          <w:ilvl w:val="1"/>
          <w:numId w:val="4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>
      <w:pPr>
        <w:pStyle w:val="23"/>
        <w:keepNext w:val="0"/>
        <w:keepLines w:val="0"/>
        <w:numPr>
          <w:ilvl w:val="1"/>
          <w:numId w:val="4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激励约束。绩效评价结果应与预算安排、政策调整、改进管理实质性挂钩，体现奖优罚劣和激励相容导向，有效要安排、低效要压减、无效要问责。</w:t>
      </w:r>
    </w:p>
    <w:p>
      <w:pPr>
        <w:pStyle w:val="23"/>
        <w:keepNext w:val="0"/>
        <w:keepLines w:val="0"/>
        <w:numPr>
          <w:ilvl w:val="1"/>
          <w:numId w:val="4"/>
        </w:numPr>
        <w:ind w:left="0" w:firstLine="640" w:firstLineChars="200"/>
        <w:rPr>
          <w:b w:val="0"/>
        </w:rPr>
      </w:pPr>
      <w:r>
        <w:rPr>
          <w:rFonts w:hint="eastAsia" w:hAnsi="仿宋" w:cs="宋体"/>
          <w:b w:val="0"/>
        </w:rPr>
        <w:t>公开透明。绩效评价结果应依法依规公开，并自觉接受社会监督。</w:t>
      </w:r>
      <w:r>
        <w:rPr>
          <w:rFonts w:hint="eastAsia"/>
          <w:b w:val="0"/>
        </w:rPr>
        <w:t>绩效评价体系</w:t>
      </w:r>
    </w:p>
    <w:p>
      <w:pPr>
        <w:pStyle w:val="23"/>
        <w:numPr>
          <w:ilvl w:val="0"/>
          <w:numId w:val="3"/>
        </w:numPr>
        <w:ind w:left="0" w:firstLine="643" w:firstLineChars="200"/>
      </w:pPr>
      <w:r>
        <w:rPr>
          <w:rFonts w:hint="eastAsia"/>
        </w:rPr>
        <w:t>本项目绩效评价体系</w:t>
      </w:r>
    </w:p>
    <w:p>
      <w:pPr>
        <w:pStyle w:val="23"/>
        <w:numPr>
          <w:ilvl w:val="0"/>
          <w:numId w:val="0"/>
        </w:numPr>
        <w:ind w:firstLine="640" w:firstLineChars="200"/>
        <w:rPr>
          <w:rFonts w:hint="eastAsia" w:eastAsia="仿宋_GB2312"/>
          <w:b w:val="0"/>
          <w:lang w:val="en-US" w:eastAsia="zh-CN"/>
        </w:rPr>
      </w:pPr>
      <w:r>
        <w:rPr>
          <w:rFonts w:hint="eastAsia"/>
          <w:b w:val="0"/>
        </w:rPr>
        <w:t>本项目绩效评价体系为根据财预</w:t>
      </w:r>
      <w:r>
        <w:rPr>
          <w:rFonts w:hint="eastAsia" w:ascii="仿宋" w:hAnsi="仿宋" w:eastAsia="仿宋"/>
          <w:b w:val="0"/>
        </w:rPr>
        <w:t>﹝</w:t>
      </w:r>
      <w:r>
        <w:rPr>
          <w:rFonts w:hint="eastAsia"/>
          <w:b w:val="0"/>
        </w:rPr>
        <w:t>2</w:t>
      </w:r>
      <w:r>
        <w:rPr>
          <w:b w:val="0"/>
        </w:rPr>
        <w:t>020</w:t>
      </w:r>
      <w:r>
        <w:rPr>
          <w:rFonts w:hint="eastAsia" w:ascii="仿宋" w:hAnsi="仿宋" w:eastAsia="仿宋"/>
          <w:b w:val="0"/>
        </w:rPr>
        <w:t>﹞</w:t>
      </w:r>
      <w:r>
        <w:rPr>
          <w:rFonts w:hint="eastAsia"/>
          <w:b w:val="0"/>
        </w:rPr>
        <w:t>1</w:t>
      </w:r>
      <w:r>
        <w:rPr>
          <w:b w:val="0"/>
        </w:rPr>
        <w:t>0</w:t>
      </w:r>
      <w:r>
        <w:rPr>
          <w:rFonts w:hint="eastAsia"/>
          <w:b w:val="0"/>
        </w:rPr>
        <w:t>号共性指标及个性化指标设置</w:t>
      </w:r>
      <w:r>
        <w:rPr>
          <w:rFonts w:hint="eastAsia"/>
          <w:b w:val="0"/>
          <w:lang w:eastAsia="zh-CN"/>
        </w:rPr>
        <w:t>，详见附件</w:t>
      </w:r>
      <w:r>
        <w:rPr>
          <w:rFonts w:hint="eastAsia"/>
          <w:b w:val="0"/>
          <w:lang w:val="en-US" w:eastAsia="zh-CN"/>
        </w:rPr>
        <w:t>4。</w:t>
      </w:r>
    </w:p>
    <w:p>
      <w:pPr>
        <w:pStyle w:val="23"/>
        <w:keepNext w:val="0"/>
        <w:keepLines w:val="0"/>
        <w:numPr>
          <w:ilvl w:val="0"/>
          <w:numId w:val="3"/>
        </w:numPr>
        <w:ind w:left="0" w:firstLine="643" w:firstLineChars="200"/>
      </w:pPr>
      <w:bookmarkStart w:id="6" w:name="_Toc26401555"/>
      <w:r>
        <w:rPr>
          <w:rFonts w:hint="eastAsia"/>
        </w:rPr>
        <w:t>绩效评价方法</w:t>
      </w:r>
      <w:bookmarkEnd w:id="6"/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本次绩效评价方法的选用坚持简便有效的原则采用成本效益分析法、比较法、因素分析法、专家评议法、问卷调查法、综合分析法。</w:t>
      </w:r>
    </w:p>
    <w:p>
      <w:pPr>
        <w:pStyle w:val="23"/>
        <w:keepNext w:val="0"/>
        <w:keepLines w:val="0"/>
        <w:numPr>
          <w:ilvl w:val="0"/>
          <w:numId w:val="3"/>
        </w:numPr>
        <w:ind w:left="0" w:firstLine="643" w:firstLineChars="200"/>
      </w:pPr>
      <w:r>
        <w:rPr>
          <w:rFonts w:hint="eastAsia"/>
        </w:rPr>
        <w:t>评价标准</w:t>
      </w:r>
    </w:p>
    <w:p>
      <w:pPr>
        <w:pStyle w:val="23"/>
        <w:keepNext w:val="0"/>
        <w:keepLines w:val="0"/>
        <w:numPr>
          <w:ilvl w:val="0"/>
          <w:numId w:val="0"/>
        </w:numPr>
        <w:ind w:firstLine="630" w:firstLineChars="196"/>
      </w:pPr>
      <w:r>
        <w:rPr>
          <w:rFonts w:hint="eastAsia"/>
        </w:rPr>
        <w:t>项目评价标准采用</w:t>
      </w:r>
      <w:r>
        <w:rPr>
          <w:rFonts w:hint="eastAsia"/>
          <w:bCs w:val="0"/>
        </w:rPr>
        <w:t>计划标准、行业标准。</w:t>
      </w:r>
    </w:p>
    <w:p>
      <w:pPr>
        <w:pStyle w:val="23"/>
        <w:keepNext w:val="0"/>
        <w:keepLines w:val="0"/>
        <w:numPr>
          <w:ilvl w:val="0"/>
          <w:numId w:val="3"/>
        </w:numPr>
        <w:ind w:left="0" w:firstLine="643" w:firstLineChars="200"/>
      </w:pPr>
      <w:r>
        <w:rPr>
          <w:rFonts w:hint="eastAsia"/>
        </w:rPr>
        <w:t>绩效评价工作过程</w:t>
      </w:r>
    </w:p>
    <w:p>
      <w:pPr>
        <w:pStyle w:val="23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本次评价成立了评价</w:t>
      </w:r>
      <w:r>
        <w:rPr>
          <w:rFonts w:hint="eastAsia"/>
          <w:b w:val="0"/>
          <w:bCs w:val="0"/>
          <w:lang w:eastAsia="zh-CN"/>
        </w:rPr>
        <w:t>小组</w:t>
      </w:r>
      <w:r>
        <w:rPr>
          <w:rFonts w:hint="eastAsia"/>
          <w:b w:val="0"/>
          <w:bCs w:val="0"/>
        </w:rPr>
        <w:t>，成员如下：</w:t>
      </w:r>
    </w:p>
    <w:tbl>
      <w:tblPr>
        <w:tblStyle w:val="15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评价人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职责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傅连军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评价组组长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中心主任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刘昌文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评价组副组长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正高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张勇、王海孝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副高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阿布都瓦斯提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助理农艺师</w:t>
            </w:r>
          </w:p>
        </w:tc>
      </w:tr>
    </w:tbl>
    <w:p>
      <w:pPr>
        <w:pStyle w:val="23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本次评价设计了评价方案、评价指标体系，通过资料分析、调研、访谈满意度调查等方式形成评价结论，在与项目单位沟通后确定评价意见，并出具评价报告。　</w:t>
      </w:r>
    </w:p>
    <w:p>
      <w:pPr>
        <w:pStyle w:val="21"/>
        <w:numPr>
          <w:ilvl w:val="0"/>
          <w:numId w:val="2"/>
        </w:numPr>
        <w:ind w:firstLineChars="0"/>
      </w:pPr>
      <w:bookmarkStart w:id="7" w:name="_Toc26401558"/>
      <w:r>
        <w:rPr>
          <w:rFonts w:hint="eastAsia" w:ascii="黑体" w:hAnsi="黑体"/>
        </w:rPr>
        <w:t>综合评价情况及评价结论</w:t>
      </w:r>
    </w:p>
    <w:p>
      <w:pPr>
        <w:pStyle w:val="21"/>
        <w:ind w:firstLine="640"/>
        <w:rPr>
          <w:rFonts w:ascii="仿宋_GB2312" w:eastAsia="仿宋_GB2312" w:hAnsiTheme="majorHAnsi"/>
          <w:b w:val="0"/>
          <w:bCs w:val="0"/>
          <w:kern w:val="2"/>
        </w:rPr>
      </w:pPr>
      <w:r>
        <w:rPr>
          <w:rFonts w:hint="eastAsia" w:ascii="仿宋_GB2312" w:eastAsia="仿宋_GB2312" w:hAnsiTheme="majorHAnsi"/>
          <w:b w:val="0"/>
          <w:bCs w:val="0"/>
          <w:kern w:val="2"/>
        </w:rPr>
        <w:t>经评价组通过实地调研、资料分析等方式，采用综合分析法、成本效益分析法、最低成本法</w:t>
      </w:r>
      <w:r>
        <w:rPr>
          <w:rFonts w:hint="eastAsia" w:ascii="仿宋_GB2312" w:eastAsia="仿宋_GB2312" w:hAnsiTheme="majorHAnsi"/>
          <w:b w:val="0"/>
          <w:bCs w:val="0"/>
          <w:kern w:val="2"/>
          <w:lang w:eastAsia="zh-CN"/>
        </w:rPr>
        <w:t>、</w:t>
      </w:r>
      <w:r>
        <w:rPr>
          <w:rFonts w:hint="eastAsia" w:ascii="仿宋_GB2312" w:eastAsia="仿宋_GB2312" w:hAnsiTheme="majorHAnsi"/>
          <w:b w:val="0"/>
          <w:bCs w:val="0"/>
          <w:kern w:val="2"/>
        </w:rPr>
        <w:t>对项目的决策、管理、绩效进行的综合评价分析，项目得分为91分，评价结果为</w:t>
      </w:r>
      <w:r>
        <w:rPr>
          <w:rFonts w:hint="eastAsia" w:ascii="仿宋_GB2312" w:eastAsia="仿宋_GB2312" w:hAnsiTheme="majorHAnsi"/>
          <w:b w:val="0"/>
          <w:bCs w:val="0"/>
          <w:kern w:val="2"/>
          <w:lang w:eastAsia="zh-CN"/>
        </w:rPr>
        <w:t>优</w:t>
      </w:r>
      <w:r>
        <w:rPr>
          <w:rFonts w:hint="eastAsia" w:ascii="仿宋_GB2312" w:eastAsia="仿宋_GB2312" w:hAnsiTheme="majorHAnsi"/>
          <w:b w:val="0"/>
          <w:bCs w:val="0"/>
          <w:kern w:val="2"/>
        </w:rPr>
        <w:t>，详见附件</w:t>
      </w:r>
      <w:r>
        <w:rPr>
          <w:rFonts w:hint="eastAsia" w:ascii="仿宋_GB2312" w:eastAsia="仿宋_GB2312" w:hAnsiTheme="majorHAnsi"/>
          <w:b w:val="0"/>
          <w:bCs w:val="0"/>
          <w:kern w:val="2"/>
          <w:lang w:val="en-US" w:eastAsia="zh-CN"/>
        </w:rPr>
        <w:t>6</w:t>
      </w:r>
      <w:r>
        <w:rPr>
          <w:rFonts w:hint="eastAsia" w:ascii="仿宋_GB2312" w:eastAsia="仿宋_GB2312" w:hAnsiTheme="majorHAnsi"/>
          <w:b w:val="0"/>
          <w:bCs w:val="0"/>
          <w:kern w:val="2"/>
        </w:rPr>
        <w:t>。</w:t>
      </w:r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绩效评价指标分析</w:t>
      </w:r>
      <w:bookmarkEnd w:id="7"/>
    </w:p>
    <w:p>
      <w:pPr>
        <w:pStyle w:val="17"/>
        <w:numPr>
          <w:ilvl w:val="0"/>
          <w:numId w:val="5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项目的决策情况</w:t>
      </w:r>
    </w:p>
    <w:p>
      <w:pPr>
        <w:pStyle w:val="26"/>
        <w:ind w:firstLine="640"/>
        <w:rPr>
          <w:rFonts w:ascii="仿宋_GB2312" w:hAnsi="仿宋" w:cs="宋体"/>
          <w:sz w:val="32"/>
          <w:szCs w:val="32"/>
        </w:rPr>
      </w:pPr>
      <w:r>
        <w:rPr>
          <w:rFonts w:hint="eastAsia" w:ascii="仿宋_GB2312" w:hAnsi="仿宋" w:cs="宋体"/>
          <w:sz w:val="32"/>
          <w:szCs w:val="32"/>
        </w:rPr>
        <w:t>本项目的立项符合相关法规政策及部门职责，依据充分；项目按照规定的程序申请设立；审批文件、材料符合相关要求；项目前期已经过必要的可行性研究、绩效评估、集体决策。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根据相关文件要求设置了绩效目标，项目绩效目标基本合理，与实际工作内容相关；项目预期产出效益和效果符合正常的业绩水平；与预算确定的项目投资额或资金量相匹配。将项目绩效目标细化分解为具体的绩效指标；通过清晰、可衡量的指标值予以体现；与项目目标任务数或计划数相对应。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项目在资金投入方面，预算编制经过科学论证、有明确标准，资金额度与年度目标相适应，用以反映和考核项目预算编制的科学性、合理性情况。项目预算资金分配有测算依据，与补助单位或地方实际相适应。</w:t>
      </w:r>
    </w:p>
    <w:p>
      <w:pPr>
        <w:pStyle w:val="17"/>
        <w:numPr>
          <w:ilvl w:val="0"/>
          <w:numId w:val="5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项目的过程情况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在资金管理方面，项目资金到位足额及时，及时支付，资金使用符合国家法规和财务管理制度；资金拨付有完整的审批程序和手续，符合项目预算批复或合同规定的用途；不存在截留、挤占、挪用、虚列支出等情况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在项目组织实施方面，项目单位已制定或具有相应的财务和业务管理制度，财务和业务管理制度合法、合规、完整。项目实施遵守相关法律法规和相关管理规定。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项目调整及支出调整手续完备，项目合同书、验收报告、技术鉴定等资料齐全并及时归档，项目实施的人员条件、场地设备、信息支撑等落实到位。</w:t>
      </w:r>
    </w:p>
    <w:p>
      <w:pPr>
        <w:pStyle w:val="17"/>
        <w:numPr>
          <w:ilvl w:val="0"/>
          <w:numId w:val="5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项目产出情况</w:t>
      </w:r>
    </w:p>
    <w:p>
      <w:pPr>
        <w:spacing w:before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项目产出数量指标</w:t>
      </w:r>
    </w:p>
    <w:p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耕地地力等级评价化验数据数量，预期指标值为8540项次，实际完成值为8540项次，指标</w:t>
      </w:r>
      <w:r>
        <w:rPr>
          <w:rFonts w:hint="eastAsia" w:ascii="仿宋_GB2312" w:eastAsia="仿宋_GB2312"/>
          <w:sz w:val="32"/>
          <w:szCs w:val="32"/>
          <w:lang w:eastAsia="zh-CN"/>
        </w:rPr>
        <w:t>完成率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</w:t>
      </w:r>
      <w:r>
        <w:rPr>
          <w:rFonts w:hint="eastAsia" w:ascii="仿宋_GB2312" w:eastAsia="仿宋_GB2312"/>
          <w:sz w:val="32"/>
          <w:szCs w:val="32"/>
        </w:rPr>
        <w:t>达到预期目标。</w:t>
      </w:r>
    </w:p>
    <w:p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喀什地区休耕区面积，预期指标值为5万亩，实际完成值为5万亩，指标</w:t>
      </w:r>
      <w:r>
        <w:rPr>
          <w:rFonts w:hint="eastAsia" w:ascii="仿宋_GB2312" w:eastAsia="仿宋_GB2312"/>
          <w:sz w:val="32"/>
          <w:szCs w:val="32"/>
          <w:lang w:eastAsia="zh-CN"/>
        </w:rPr>
        <w:t>完成率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</w:t>
      </w:r>
      <w:r>
        <w:rPr>
          <w:rFonts w:hint="eastAsia" w:ascii="仿宋_GB2312" w:eastAsia="仿宋_GB2312"/>
          <w:sz w:val="32"/>
          <w:szCs w:val="32"/>
        </w:rPr>
        <w:t>达到预期目标。</w:t>
      </w:r>
    </w:p>
    <w:p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肥料利用率田间试验数量，预期指标值为2个，实际完成值为2个，指标</w:t>
      </w:r>
      <w:r>
        <w:rPr>
          <w:rFonts w:hint="eastAsia" w:ascii="仿宋_GB2312" w:eastAsia="仿宋_GB2312"/>
          <w:sz w:val="32"/>
          <w:szCs w:val="32"/>
          <w:lang w:eastAsia="zh-CN"/>
        </w:rPr>
        <w:t>完成率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</w:t>
      </w:r>
      <w:r>
        <w:rPr>
          <w:rFonts w:hint="eastAsia" w:ascii="仿宋_GB2312" w:eastAsia="仿宋_GB2312"/>
          <w:sz w:val="32"/>
          <w:szCs w:val="32"/>
        </w:rPr>
        <w:t>达到预期目标。</w:t>
      </w:r>
    </w:p>
    <w:p>
      <w:pPr>
        <w:spacing w:before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项目产出质量指标</w:t>
      </w:r>
    </w:p>
    <w:p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测土配方施肥技术覆盖率，预期指标值为95%，实际完成值为95%，指标</w:t>
      </w:r>
      <w:r>
        <w:rPr>
          <w:rFonts w:hint="eastAsia" w:ascii="仿宋_GB2312" w:eastAsia="仿宋_GB2312"/>
          <w:sz w:val="32"/>
          <w:szCs w:val="32"/>
          <w:lang w:eastAsia="zh-CN"/>
        </w:rPr>
        <w:t>完成率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</w:t>
      </w:r>
      <w:r>
        <w:rPr>
          <w:rFonts w:hint="eastAsia" w:ascii="仿宋_GB2312" w:eastAsia="仿宋_GB2312"/>
          <w:sz w:val="32"/>
          <w:szCs w:val="32"/>
        </w:rPr>
        <w:t>达到预期目标。</w:t>
      </w:r>
    </w:p>
    <w:p>
      <w:pPr>
        <w:spacing w:before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项目产出时效指标</w:t>
      </w:r>
    </w:p>
    <w:p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项目资金使用进度时限，预期指标值为12月，实际完成值为12月，指标</w:t>
      </w:r>
      <w:r>
        <w:rPr>
          <w:rFonts w:hint="eastAsia" w:ascii="仿宋_GB2312" w:eastAsia="仿宋_GB2312"/>
          <w:sz w:val="32"/>
          <w:szCs w:val="32"/>
          <w:lang w:eastAsia="zh-CN"/>
        </w:rPr>
        <w:t>完成率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</w:t>
      </w:r>
      <w:r>
        <w:rPr>
          <w:rFonts w:hint="eastAsia" w:ascii="仿宋_GB2312" w:eastAsia="仿宋_GB2312"/>
          <w:sz w:val="32"/>
          <w:szCs w:val="32"/>
        </w:rPr>
        <w:t>达到预期目标。</w:t>
      </w:r>
    </w:p>
    <w:p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资金使用及时率，预期指标值为90%，实际完成值为100%，指标</w:t>
      </w:r>
      <w:r>
        <w:rPr>
          <w:rFonts w:hint="eastAsia" w:ascii="仿宋_GB2312" w:eastAsia="仿宋_GB2312"/>
          <w:sz w:val="32"/>
          <w:szCs w:val="32"/>
          <w:lang w:eastAsia="zh-CN"/>
        </w:rPr>
        <w:t>完成率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</w:t>
      </w:r>
      <w:r>
        <w:rPr>
          <w:rFonts w:hint="eastAsia" w:ascii="仿宋_GB2312" w:eastAsia="仿宋_GB2312"/>
          <w:sz w:val="32"/>
          <w:szCs w:val="32"/>
        </w:rPr>
        <w:t>达到预期目标。</w:t>
      </w:r>
    </w:p>
    <w:p>
      <w:pPr>
        <w:spacing w:before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项目产出成本指标</w:t>
      </w:r>
    </w:p>
    <w:p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配套实施休耕地力补贴费用，预期指标值为50元/亩，实际完成值为50元/亩，指标</w:t>
      </w:r>
      <w:r>
        <w:rPr>
          <w:rFonts w:hint="eastAsia" w:ascii="仿宋_GB2312" w:eastAsia="仿宋_GB2312"/>
          <w:sz w:val="32"/>
          <w:szCs w:val="32"/>
          <w:lang w:eastAsia="zh-CN"/>
        </w:rPr>
        <w:t>完成率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</w:t>
      </w:r>
      <w:r>
        <w:rPr>
          <w:rFonts w:hint="eastAsia" w:ascii="仿宋_GB2312" w:eastAsia="仿宋_GB2312"/>
          <w:sz w:val="32"/>
          <w:szCs w:val="32"/>
        </w:rPr>
        <w:t>达到预期目标。</w:t>
      </w:r>
    </w:p>
    <w:p>
      <w:pPr>
        <w:spacing w:beforeLines="50" w:line="600" w:lineRule="exact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（四）项目效益情况</w:t>
      </w:r>
    </w:p>
    <w:p>
      <w:pPr>
        <w:spacing w:beforeLines="50" w:line="60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项目实施产生的经济效益指标为休耕区农业产值增加，预期指标值为1000万元，实际完成值为1000万元，指标</w:t>
      </w:r>
      <w:r>
        <w:rPr>
          <w:rFonts w:hint="eastAsia" w:ascii="仿宋_GB2312" w:eastAsia="仿宋_GB2312"/>
          <w:sz w:val="32"/>
          <w:szCs w:val="32"/>
          <w:lang w:eastAsia="zh-CN"/>
        </w:rPr>
        <w:t>完成率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</w:t>
      </w:r>
      <w:r>
        <w:rPr>
          <w:rFonts w:hint="eastAsia" w:ascii="仿宋_GB2312" w:eastAsia="仿宋_GB2312"/>
          <w:sz w:val="32"/>
          <w:szCs w:val="32"/>
        </w:rPr>
        <w:t>达到预期目标。</w:t>
      </w:r>
    </w:p>
    <w:p>
      <w:pPr>
        <w:spacing w:beforeLines="50" w:line="60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项目实施产生的社会效益指标为有效改善农户生活水平，预期指标值为长期，实际完成值为100%，指标</w:t>
      </w:r>
      <w:r>
        <w:rPr>
          <w:rFonts w:hint="eastAsia" w:ascii="仿宋_GB2312" w:eastAsia="仿宋_GB2312"/>
          <w:sz w:val="32"/>
          <w:szCs w:val="32"/>
          <w:lang w:eastAsia="zh-CN"/>
        </w:rPr>
        <w:t>完成率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</w:t>
      </w:r>
      <w:r>
        <w:rPr>
          <w:rFonts w:hint="eastAsia" w:ascii="仿宋_GB2312" w:eastAsia="仿宋_GB2312"/>
          <w:sz w:val="32"/>
          <w:szCs w:val="32"/>
        </w:rPr>
        <w:t>达到预期目标。</w:t>
      </w:r>
    </w:p>
    <w:p>
      <w:pPr>
        <w:spacing w:beforeLines="50" w:line="60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项目实施产生的生态效益指标为改善耕地土壤质量，预期指标值为长期，实际完成值为100%，指标</w:t>
      </w:r>
      <w:r>
        <w:rPr>
          <w:rFonts w:hint="eastAsia" w:ascii="仿宋_GB2312" w:eastAsia="仿宋_GB2312"/>
          <w:sz w:val="32"/>
          <w:szCs w:val="32"/>
          <w:lang w:eastAsia="zh-CN"/>
        </w:rPr>
        <w:t>完成率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</w:t>
      </w:r>
      <w:r>
        <w:rPr>
          <w:rFonts w:hint="eastAsia" w:ascii="仿宋_GB2312" w:eastAsia="仿宋_GB2312"/>
          <w:sz w:val="32"/>
          <w:szCs w:val="32"/>
        </w:rPr>
        <w:t>达到预期目标。</w:t>
      </w:r>
    </w:p>
    <w:p>
      <w:pPr>
        <w:spacing w:beforeLines="50" w:line="600" w:lineRule="exact"/>
        <w:ind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项目的可持续影响指标为耕地资源可持续利用，预期指标值为长期，实际完成值为100%，指标</w:t>
      </w:r>
      <w:r>
        <w:rPr>
          <w:rFonts w:hint="eastAsia" w:ascii="仿宋_GB2312" w:eastAsia="仿宋_GB2312"/>
          <w:sz w:val="32"/>
          <w:szCs w:val="32"/>
          <w:lang w:eastAsia="zh-CN"/>
        </w:rPr>
        <w:t>完成率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</w:t>
      </w:r>
      <w:r>
        <w:rPr>
          <w:rFonts w:hint="eastAsia" w:ascii="仿宋_GB2312" w:eastAsia="仿宋_GB2312"/>
          <w:sz w:val="32"/>
          <w:szCs w:val="32"/>
        </w:rPr>
        <w:t>达到预期目标。</w:t>
      </w:r>
    </w:p>
    <w:p>
      <w:pPr>
        <w:spacing w:beforeLines="50" w:line="600" w:lineRule="exact"/>
        <w:ind w:firstLine="480" w:firstLineChars="150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经问卷调查</w:t>
      </w:r>
      <w:r>
        <w:rPr>
          <w:rFonts w:hint="eastAsia" w:ascii="仿宋_GB2312" w:hAnsi="仿宋" w:eastAsia="仿宋_GB2312" w:cs="宋体"/>
          <w:bCs/>
          <w:color w:val="FF0000"/>
          <w:sz w:val="32"/>
          <w:szCs w:val="32"/>
        </w:rPr>
        <w:t>，</w:t>
      </w:r>
      <w:r>
        <w:rPr>
          <w:rFonts w:hint="eastAsia" w:ascii="仿宋_GB2312" w:hAnsi="仿宋" w:eastAsia="仿宋_GB2312" w:cs="宋体"/>
          <w:bCs/>
          <w:sz w:val="32"/>
          <w:szCs w:val="32"/>
        </w:rPr>
        <w:t>项目收益群众满意度为100%：达到了预期目标。</w:t>
      </w:r>
    </w:p>
    <w:p>
      <w:pPr>
        <w:pStyle w:val="21"/>
        <w:numPr>
          <w:ilvl w:val="0"/>
          <w:numId w:val="6"/>
        </w:numPr>
        <w:ind w:firstLineChars="0"/>
      </w:pPr>
      <w:r>
        <w:rPr>
          <w:rFonts w:hint="eastAsia" w:ascii="黑体" w:hAnsi="黑体"/>
        </w:rPr>
        <w:t>主要经验及做法、存在的问题及原因分析</w:t>
      </w:r>
    </w:p>
    <w:p>
      <w:pPr>
        <w:pStyle w:val="23"/>
        <w:numPr>
          <w:ilvl w:val="0"/>
          <w:numId w:val="7"/>
        </w:numPr>
        <w:ind w:left="0" w:firstLine="643" w:firstLineChars="200"/>
      </w:pPr>
      <w:r>
        <w:rPr>
          <w:rFonts w:hint="eastAsia"/>
        </w:rPr>
        <w:t>主要经验及做法</w:t>
      </w:r>
    </w:p>
    <w:p>
      <w:pPr>
        <w:spacing w:beforeLines="50" w:line="600" w:lineRule="exact"/>
        <w:ind w:firstLine="480" w:firstLine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绩效自评工作首先是要工作准备充分，一是评价小组成员应包含单位领导、项目负责人、财务负责人和行业专家，不同的岗位和职责应用和发挥自身专业和岗位作用；二是在资料收集和档案整理及分析上要全面。其次是评价小组成员要加强绩效基础理论学习，用绩效的理论和知识进行分析评价，客观、公正地分析项目实施情况、资金使用和支付情况、绩效目标的完成情况，对发现的问题要及时总结；再次是要对项目的事前、事中、事后全方位、全过程进行分析、掌握，注重评价过程的记录和档案整理，为下一年度工作提供依据。</w:t>
      </w:r>
    </w:p>
    <w:p>
      <w:pPr>
        <w:pStyle w:val="23"/>
        <w:numPr>
          <w:ilvl w:val="0"/>
          <w:numId w:val="0"/>
        </w:numPr>
        <w:ind w:firstLine="640" w:firstLineChars="200"/>
        <w:rPr>
          <w:rFonts w:ascii="华文仿宋" w:hAnsi="华文仿宋" w:eastAsia="华文仿宋"/>
          <w:b w:val="0"/>
        </w:rPr>
      </w:pPr>
    </w:p>
    <w:p>
      <w:pPr>
        <w:pStyle w:val="23"/>
        <w:numPr>
          <w:ilvl w:val="0"/>
          <w:numId w:val="7"/>
        </w:numPr>
        <w:ind w:left="0" w:firstLine="643" w:firstLineChars="200"/>
      </w:pPr>
      <w:r>
        <w:rPr>
          <w:rFonts w:hint="eastAsia"/>
        </w:rPr>
        <w:t>存在的问题及原因分析</w:t>
      </w:r>
    </w:p>
    <w:p>
      <w:pPr>
        <w:spacing w:beforeLines="50" w:line="600" w:lineRule="exact"/>
        <w:ind w:firstLine="480" w:firstLine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是对各项指标和指标值要进一步优化、完善，主要在细化、量化上改进，二是自评价工作还存在自我审定的局限性，会影响评价质量，容易造成问题的疏漏，在客观性和公正性上说服力不强，三是缺少带着问题去评价的意识，四是现场评价的工作量少，后续效益评价具体措施和方法较少</w:t>
      </w:r>
    </w:p>
    <w:p>
      <w:pPr>
        <w:pStyle w:val="21"/>
        <w:ind w:left="643" w:firstLine="0" w:firstLineChars="0"/>
        <w:rPr>
          <w:rFonts w:ascii="黑体" w:hAnsi="黑体"/>
        </w:rPr>
      </w:pPr>
      <w:r>
        <w:rPr>
          <w:rFonts w:hint="eastAsia" w:ascii="黑体" w:hAnsi="黑体"/>
        </w:rPr>
        <w:t>六、有关建议</w:t>
      </w:r>
    </w:p>
    <w:p>
      <w:pPr>
        <w:pStyle w:val="17"/>
        <w:ind w:left="1063" w:firstLine="0" w:firstLineChars="0"/>
        <w:rPr>
          <w:rFonts w:ascii="华文仿宋" w:hAnsi="华文仿宋" w:eastAsia="华文仿宋"/>
          <w:b/>
          <w:sz w:val="32"/>
          <w:szCs w:val="32"/>
        </w:rPr>
      </w:pPr>
      <w:r>
        <w:rPr>
          <w:rFonts w:hint="eastAsia" w:ascii="华文仿宋" w:hAnsi="华文仿宋" w:eastAsia="华文仿宋"/>
          <w:b/>
          <w:sz w:val="32"/>
          <w:szCs w:val="32"/>
        </w:rPr>
        <w:t>1.项目建设的程序进一步规范</w:t>
      </w:r>
    </w:p>
    <w:p>
      <w:pPr>
        <w:spacing w:beforeLines="50" w:line="600" w:lineRule="exact"/>
        <w:ind w:firstLine="480" w:firstLine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>
      <w:pPr>
        <w:ind w:left="643" w:leftChars="306" w:firstLine="320" w:firstLineChars="100"/>
        <w:rPr>
          <w:rFonts w:ascii="华文仿宋" w:hAnsi="华文仿宋" w:eastAsia="华文仿宋"/>
          <w:b/>
          <w:sz w:val="32"/>
          <w:szCs w:val="32"/>
        </w:rPr>
      </w:pPr>
      <w:r>
        <w:rPr>
          <w:rFonts w:hint="eastAsia" w:ascii="华文仿宋" w:hAnsi="华文仿宋" w:eastAsia="华文仿宋"/>
          <w:b/>
          <w:sz w:val="32"/>
          <w:szCs w:val="32"/>
        </w:rPr>
        <w:t>2.项目评价资料有待进一步完善</w:t>
      </w:r>
    </w:p>
    <w:p>
      <w:pPr>
        <w:spacing w:beforeLines="50" w:line="600" w:lineRule="exact"/>
        <w:ind w:firstLine="480" w:firstLine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项目启动时同步做好档案的归纳与整理，及时整理、收集、汇总，健全档案资料。项目后续管理有待进一步加强</w:t>
      </w:r>
    </w:p>
    <w:p>
      <w:pPr>
        <w:numPr>
          <w:ilvl w:val="0"/>
          <w:numId w:val="0"/>
        </w:numPr>
        <w:ind w:left="568" w:leftChars="0" w:firstLine="320" w:firstLineChars="100"/>
        <w:rPr>
          <w:rFonts w:hint="eastAsia" w:ascii="华文仿宋" w:hAnsi="华文仿宋" w:eastAsia="华文仿宋"/>
        </w:rPr>
      </w:pPr>
      <w:r>
        <w:rPr>
          <w:rFonts w:hint="eastAsia" w:ascii="华文仿宋" w:hAnsi="华文仿宋" w:eastAsia="华文仿宋"/>
          <w:b/>
          <w:sz w:val="32"/>
          <w:szCs w:val="32"/>
          <w:lang w:val="en-US" w:eastAsia="zh-CN"/>
        </w:rPr>
        <w:t>3.</w:t>
      </w:r>
      <w:r>
        <w:rPr>
          <w:rFonts w:hint="eastAsia" w:ascii="华文仿宋" w:hAnsi="华文仿宋" w:eastAsia="华文仿宋"/>
          <w:b/>
          <w:sz w:val="32"/>
          <w:szCs w:val="32"/>
        </w:rPr>
        <w:t>通过绩效管理，发现实施中存在漏洞</w:t>
      </w:r>
      <w:r>
        <w:rPr>
          <w:rFonts w:hint="eastAsia" w:ascii="华文仿宋" w:hAnsi="华文仿宋" w:eastAsia="华文仿宋"/>
        </w:rPr>
        <w:t xml:space="preserve">  </w:t>
      </w:r>
    </w:p>
    <w:p>
      <w:pPr>
        <w:spacing w:beforeLines="50" w:line="600" w:lineRule="exact"/>
        <w:ind w:firstLine="480" w:firstLine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如耕地地力调查取样期间，因该工作需要重劳动力从事土层取样及挖取剖面调查，往往深度需1.5米到2米，因此必须采取购买劳动力方式才能完成取样工作，未能及时掌握市场动向，减少采购成本。以后加强管理，及时掌握与之相关的各类信息，减少成本，使资金效益最大化。</w:t>
      </w:r>
    </w:p>
    <w:p>
      <w:pPr>
        <w:numPr>
          <w:ilvl w:val="0"/>
          <w:numId w:val="8"/>
        </w:numPr>
        <w:ind w:left="643" w:leftChars="306" w:firstLine="160" w:firstLineChars="50"/>
        <w:rPr>
          <w:rFonts w:hint="eastAsia" w:ascii="华文仿宋" w:hAnsi="华文仿宋" w:eastAsia="华文仿宋"/>
          <w:b/>
          <w:sz w:val="32"/>
          <w:szCs w:val="32"/>
        </w:rPr>
      </w:pPr>
      <w:r>
        <w:rPr>
          <w:rFonts w:hint="eastAsia" w:ascii="华文仿宋" w:hAnsi="华文仿宋" w:eastAsia="华文仿宋"/>
          <w:b/>
          <w:sz w:val="32"/>
          <w:szCs w:val="32"/>
        </w:rPr>
        <w:t>评价工作应从项目实施方案源头抓起</w:t>
      </w:r>
    </w:p>
    <w:p>
      <w:pPr>
        <w:spacing w:beforeLines="50" w:line="600" w:lineRule="exact"/>
        <w:ind w:firstLine="480" w:firstLine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评价工作和意识应贯穿项目整个过程。因受人员统筹影响，本单位绩效专职人员在编不在岗，今后我单位加强人员配备及培训，确保绩效工作全程跟踪运行，确保项目有效运行。</w:t>
      </w:r>
    </w:p>
    <w:p>
      <w:pPr>
        <w:pStyle w:val="21"/>
        <w:ind w:firstLine="472" w:firstLineChars="147"/>
        <w:rPr>
          <w:rFonts w:ascii="黑体" w:hAnsi="黑体"/>
        </w:rPr>
      </w:pPr>
      <w:r>
        <w:rPr>
          <w:rFonts w:hint="eastAsia" w:ascii="黑体" w:hAnsi="黑体"/>
        </w:rPr>
        <w:t>七、其他需要说明的问题</w:t>
      </w:r>
    </w:p>
    <w:p>
      <w:pPr>
        <w:spacing w:beforeLines="50" w:line="600" w:lineRule="exact"/>
        <w:ind w:firstLine="480" w:firstLine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加强项目管理，加快地力评价招标工作，同时向上级业务部门申请项目验收。</w:t>
      </w:r>
    </w:p>
    <w:p>
      <w:pPr>
        <w:spacing w:beforeLines="50" w:line="600" w:lineRule="exact"/>
        <w:ind w:firstLine="480" w:firstLineChars="150"/>
        <w:rPr>
          <w:rFonts w:hint="eastAsia" w:ascii="仿宋_GB2312" w:eastAsia="仿宋_GB2312"/>
          <w:sz w:val="32"/>
          <w:szCs w:val="32"/>
        </w:rPr>
      </w:pPr>
    </w:p>
    <w:p>
      <w:pPr>
        <w:pStyle w:val="21"/>
        <w:ind w:firstLine="643"/>
        <w:rPr>
          <w:rFonts w:ascii="仿宋_GB2312" w:hAnsi="仿宋" w:eastAsia="仿宋_GB2312" w:cs="宋体"/>
        </w:rPr>
      </w:pP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</w:p>
    <w:p>
      <w:pPr>
        <w:autoSpaceDE w:val="0"/>
        <w:autoSpaceDN w:val="0"/>
        <w:spacing w:line="54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附件1：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喀什地区农业技术推广中心2018年农业资源及生态保护补助资金预算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项目支出绩效目标申报表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2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：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喀什地区农业技术推广中心2018年农业资源及生态保护补助资金预算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项目支出绩效目标表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附件3：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喀什地区农业技术推广中心2018年农业资源及生态保护补助资金预算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项目支出绩效目标自评表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4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：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喀什地区农业技术推广中心2018年农业资源及生态保护补助资金预算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项目支出绩效评价指标体系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5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：绩效评价依据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6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：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喀什地区农业技术推广中心2018年农业资源及生态保护补助资金预算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项目支出绩效评价评分表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</w:p>
    <w:bookmarkEnd w:id="8"/>
    <w:sectPr>
      <w:footerReference r:id="rId3" w:type="default"/>
      <w:pgSz w:w="11906" w:h="16838"/>
      <w:pgMar w:top="1440" w:right="1797" w:bottom="1440" w:left="1797" w:header="851" w:footer="992" w:gutter="0"/>
      <w:pgNumType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D4D14"/>
    <w:multiLevelType w:val="multilevel"/>
    <w:tmpl w:val="316D4D14"/>
    <w:lvl w:ilvl="0" w:tentative="0">
      <w:start w:val="1"/>
      <w:numFmt w:val="decimal"/>
      <w:lvlText w:val="%1."/>
      <w:lvlJc w:val="left"/>
      <w:pPr>
        <w:ind w:left="988" w:hanging="420"/>
      </w:pPr>
    </w:lvl>
    <w:lvl w:ilvl="1" w:tentative="0">
      <w:start w:val="1"/>
      <w:numFmt w:val="decimal"/>
      <w:lvlText w:val="%2."/>
      <w:lvlJc w:val="left"/>
      <w:pPr>
        <w:ind w:left="1408" w:hanging="420"/>
      </w:pPr>
    </w:lvl>
    <w:lvl w:ilvl="2" w:tentative="0">
      <w:start w:val="1"/>
      <w:numFmt w:val="lowerRoman"/>
      <w:lvlText w:val="%3."/>
      <w:lvlJc w:val="right"/>
      <w:pPr>
        <w:ind w:left="1828" w:hanging="420"/>
      </w:pPr>
    </w:lvl>
    <w:lvl w:ilvl="3" w:tentative="0">
      <w:start w:val="1"/>
      <w:numFmt w:val="decimal"/>
      <w:lvlText w:val="%4."/>
      <w:lvlJc w:val="left"/>
      <w:pPr>
        <w:ind w:left="2248" w:hanging="420"/>
      </w:pPr>
    </w:lvl>
    <w:lvl w:ilvl="4" w:tentative="0">
      <w:start w:val="1"/>
      <w:numFmt w:val="lowerLetter"/>
      <w:lvlText w:val="%5)"/>
      <w:lvlJc w:val="left"/>
      <w:pPr>
        <w:ind w:left="2668" w:hanging="420"/>
      </w:pPr>
    </w:lvl>
    <w:lvl w:ilvl="5" w:tentative="0">
      <w:start w:val="1"/>
      <w:numFmt w:val="lowerRoman"/>
      <w:lvlText w:val="%6."/>
      <w:lvlJc w:val="right"/>
      <w:pPr>
        <w:ind w:left="3088" w:hanging="420"/>
      </w:pPr>
    </w:lvl>
    <w:lvl w:ilvl="6" w:tentative="0">
      <w:start w:val="1"/>
      <w:numFmt w:val="decimal"/>
      <w:lvlText w:val="%7."/>
      <w:lvlJc w:val="left"/>
      <w:pPr>
        <w:ind w:left="3508" w:hanging="420"/>
      </w:pPr>
    </w:lvl>
    <w:lvl w:ilvl="7" w:tentative="0">
      <w:start w:val="1"/>
      <w:numFmt w:val="lowerLetter"/>
      <w:lvlText w:val="%8)"/>
      <w:lvlJc w:val="left"/>
      <w:pPr>
        <w:ind w:left="3928" w:hanging="420"/>
      </w:pPr>
    </w:lvl>
    <w:lvl w:ilvl="8" w:tentative="0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3A7260C0"/>
    <w:multiLevelType w:val="multilevel"/>
    <w:tmpl w:val="3A7260C0"/>
    <w:lvl w:ilvl="0" w:tentative="0">
      <w:start w:val="1"/>
      <w:numFmt w:val="chineseCountingThousand"/>
      <w:pStyle w:val="23"/>
      <w:lvlText w:val="(%1)"/>
      <w:lvlJc w:val="left"/>
      <w:pPr>
        <w:ind w:left="988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37299F"/>
    <w:multiLevelType w:val="multilevel"/>
    <w:tmpl w:val="4F37299F"/>
    <w:lvl w:ilvl="0" w:tentative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B493FDA"/>
    <w:multiLevelType w:val="multilevel"/>
    <w:tmpl w:val="5B493FDA"/>
    <w:lvl w:ilvl="0" w:tentative="0">
      <w:start w:val="1"/>
      <w:numFmt w:val="chineseCountingThousand"/>
      <w:lvlText w:val="(%1)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5F40751E"/>
    <w:multiLevelType w:val="multilevel"/>
    <w:tmpl w:val="5F40751E"/>
    <w:lvl w:ilvl="0" w:tentative="0">
      <w:start w:val="5"/>
      <w:numFmt w:val="japaneseCounting"/>
      <w:lvlText w:val="%1、"/>
      <w:lvlJc w:val="left"/>
      <w:pPr>
        <w:ind w:left="1440" w:hanging="720"/>
      </w:pPr>
      <w:rPr>
        <w:rFonts w:hint="default" w:ascii="黑体" w:hAnsi="黑体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5">
    <w:nsid w:val="655B0DBF"/>
    <w:multiLevelType w:val="singleLevel"/>
    <w:tmpl w:val="655B0DBF"/>
    <w:lvl w:ilvl="0" w:tentative="0">
      <w:start w:val="4"/>
      <w:numFmt w:val="decimal"/>
      <w:suff w:val="nothing"/>
      <w:lvlText w:val="%1、"/>
      <w:lvlJc w:val="left"/>
    </w:lvl>
  </w:abstractNum>
  <w:abstractNum w:abstractNumId="6">
    <w:nsid w:val="6757463D"/>
    <w:multiLevelType w:val="multilevel"/>
    <w:tmpl w:val="6757463D"/>
    <w:lvl w:ilvl="0" w:tentative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  <w:lang w:val="en-US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1"/>
    <w:lvlOverride w:ilvl="0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0"/>
  <w:drawingGridHorizontalSpacing w:val="210"/>
  <w:drawingGridVerticalSpacing w:val="158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5715"/>
    <w:rsid w:val="000158F1"/>
    <w:rsid w:val="00022413"/>
    <w:rsid w:val="00024737"/>
    <w:rsid w:val="00037F93"/>
    <w:rsid w:val="00042126"/>
    <w:rsid w:val="000610C3"/>
    <w:rsid w:val="00076D3F"/>
    <w:rsid w:val="00083C78"/>
    <w:rsid w:val="000E0C7B"/>
    <w:rsid w:val="000E55FC"/>
    <w:rsid w:val="000F2007"/>
    <w:rsid w:val="00100A64"/>
    <w:rsid w:val="00100AA9"/>
    <w:rsid w:val="001143D6"/>
    <w:rsid w:val="00116203"/>
    <w:rsid w:val="0012798F"/>
    <w:rsid w:val="00132553"/>
    <w:rsid w:val="00141E5A"/>
    <w:rsid w:val="00151AF1"/>
    <w:rsid w:val="00172AA8"/>
    <w:rsid w:val="00174F3A"/>
    <w:rsid w:val="0018169D"/>
    <w:rsid w:val="00193649"/>
    <w:rsid w:val="0019720C"/>
    <w:rsid w:val="00197236"/>
    <w:rsid w:val="001A1902"/>
    <w:rsid w:val="001A2645"/>
    <w:rsid w:val="001A4FFA"/>
    <w:rsid w:val="001B5B44"/>
    <w:rsid w:val="001C61B7"/>
    <w:rsid w:val="001C6913"/>
    <w:rsid w:val="001D5FF2"/>
    <w:rsid w:val="001D6F2E"/>
    <w:rsid w:val="001F707B"/>
    <w:rsid w:val="00203FB6"/>
    <w:rsid w:val="00205C9A"/>
    <w:rsid w:val="00233ECE"/>
    <w:rsid w:val="00257AE2"/>
    <w:rsid w:val="0026476F"/>
    <w:rsid w:val="002A1BF4"/>
    <w:rsid w:val="002B3A72"/>
    <w:rsid w:val="002C6231"/>
    <w:rsid w:val="002F203D"/>
    <w:rsid w:val="002F60FC"/>
    <w:rsid w:val="002F7CDC"/>
    <w:rsid w:val="00315F36"/>
    <w:rsid w:val="00324E56"/>
    <w:rsid w:val="00331AF1"/>
    <w:rsid w:val="00340C31"/>
    <w:rsid w:val="003468D7"/>
    <w:rsid w:val="00363E52"/>
    <w:rsid w:val="00382736"/>
    <w:rsid w:val="003A04D1"/>
    <w:rsid w:val="003C327E"/>
    <w:rsid w:val="003C4B3D"/>
    <w:rsid w:val="003C6E7F"/>
    <w:rsid w:val="003E0E95"/>
    <w:rsid w:val="003F1C70"/>
    <w:rsid w:val="003F2E47"/>
    <w:rsid w:val="00403544"/>
    <w:rsid w:val="004115AA"/>
    <w:rsid w:val="00412B4A"/>
    <w:rsid w:val="00434C92"/>
    <w:rsid w:val="00443C47"/>
    <w:rsid w:val="00452560"/>
    <w:rsid w:val="00454B70"/>
    <w:rsid w:val="00467DBB"/>
    <w:rsid w:val="00496D89"/>
    <w:rsid w:val="004A0587"/>
    <w:rsid w:val="004C56AB"/>
    <w:rsid w:val="004D088E"/>
    <w:rsid w:val="004D3BD8"/>
    <w:rsid w:val="004D4F06"/>
    <w:rsid w:val="004D6180"/>
    <w:rsid w:val="005166C2"/>
    <w:rsid w:val="005225F1"/>
    <w:rsid w:val="00531253"/>
    <w:rsid w:val="00534BF2"/>
    <w:rsid w:val="00540B36"/>
    <w:rsid w:val="005572AB"/>
    <w:rsid w:val="00563E06"/>
    <w:rsid w:val="0058554B"/>
    <w:rsid w:val="00596DDF"/>
    <w:rsid w:val="005B6EAB"/>
    <w:rsid w:val="005D7AC7"/>
    <w:rsid w:val="005E677F"/>
    <w:rsid w:val="00630E69"/>
    <w:rsid w:val="006362B2"/>
    <w:rsid w:val="00647AD3"/>
    <w:rsid w:val="0065420A"/>
    <w:rsid w:val="006733C0"/>
    <w:rsid w:val="006869EC"/>
    <w:rsid w:val="0069211B"/>
    <w:rsid w:val="00694A44"/>
    <w:rsid w:val="006D0AA4"/>
    <w:rsid w:val="006F2513"/>
    <w:rsid w:val="006F64CB"/>
    <w:rsid w:val="0071759F"/>
    <w:rsid w:val="007253B3"/>
    <w:rsid w:val="00731D46"/>
    <w:rsid w:val="00734BAD"/>
    <w:rsid w:val="00752C57"/>
    <w:rsid w:val="00781733"/>
    <w:rsid w:val="00785546"/>
    <w:rsid w:val="007C5CF9"/>
    <w:rsid w:val="007D340B"/>
    <w:rsid w:val="007E6392"/>
    <w:rsid w:val="007F3C25"/>
    <w:rsid w:val="00811F2D"/>
    <w:rsid w:val="00815938"/>
    <w:rsid w:val="00816ED1"/>
    <w:rsid w:val="008226BA"/>
    <w:rsid w:val="00827DA6"/>
    <w:rsid w:val="00835103"/>
    <w:rsid w:val="00854416"/>
    <w:rsid w:val="00866F54"/>
    <w:rsid w:val="00883FF2"/>
    <w:rsid w:val="0089293E"/>
    <w:rsid w:val="00893E6C"/>
    <w:rsid w:val="008A61F4"/>
    <w:rsid w:val="008D7BC7"/>
    <w:rsid w:val="0090104C"/>
    <w:rsid w:val="00925B3D"/>
    <w:rsid w:val="0096114F"/>
    <w:rsid w:val="00961C0E"/>
    <w:rsid w:val="00982B10"/>
    <w:rsid w:val="009A5241"/>
    <w:rsid w:val="009B2D42"/>
    <w:rsid w:val="009B51E3"/>
    <w:rsid w:val="009C0267"/>
    <w:rsid w:val="009C6F1E"/>
    <w:rsid w:val="009D330B"/>
    <w:rsid w:val="009E0007"/>
    <w:rsid w:val="009E5354"/>
    <w:rsid w:val="00A053F4"/>
    <w:rsid w:val="00A10F1E"/>
    <w:rsid w:val="00A12A0C"/>
    <w:rsid w:val="00A365D5"/>
    <w:rsid w:val="00A41DB8"/>
    <w:rsid w:val="00A43094"/>
    <w:rsid w:val="00A53361"/>
    <w:rsid w:val="00A5786D"/>
    <w:rsid w:val="00A60191"/>
    <w:rsid w:val="00A77B9D"/>
    <w:rsid w:val="00A81609"/>
    <w:rsid w:val="00A85237"/>
    <w:rsid w:val="00AB07C5"/>
    <w:rsid w:val="00AE1FDF"/>
    <w:rsid w:val="00AE3042"/>
    <w:rsid w:val="00AE3614"/>
    <w:rsid w:val="00AE5B4D"/>
    <w:rsid w:val="00B03B29"/>
    <w:rsid w:val="00B16C8F"/>
    <w:rsid w:val="00B32FA4"/>
    <w:rsid w:val="00B36F46"/>
    <w:rsid w:val="00B47B13"/>
    <w:rsid w:val="00B53BE4"/>
    <w:rsid w:val="00B6063F"/>
    <w:rsid w:val="00B9042A"/>
    <w:rsid w:val="00B93CE2"/>
    <w:rsid w:val="00BA0855"/>
    <w:rsid w:val="00BA65AD"/>
    <w:rsid w:val="00BA6E27"/>
    <w:rsid w:val="00BC7696"/>
    <w:rsid w:val="00C15161"/>
    <w:rsid w:val="00C2671D"/>
    <w:rsid w:val="00C32CA8"/>
    <w:rsid w:val="00C47D7B"/>
    <w:rsid w:val="00C557E2"/>
    <w:rsid w:val="00C563AA"/>
    <w:rsid w:val="00C71FF0"/>
    <w:rsid w:val="00C77259"/>
    <w:rsid w:val="00C97E2D"/>
    <w:rsid w:val="00CA42CF"/>
    <w:rsid w:val="00CE6A28"/>
    <w:rsid w:val="00D043D7"/>
    <w:rsid w:val="00D117FB"/>
    <w:rsid w:val="00D23C2E"/>
    <w:rsid w:val="00D255AE"/>
    <w:rsid w:val="00D61DA4"/>
    <w:rsid w:val="00D61EC8"/>
    <w:rsid w:val="00D77D4C"/>
    <w:rsid w:val="00D93516"/>
    <w:rsid w:val="00D97D05"/>
    <w:rsid w:val="00DA7F4C"/>
    <w:rsid w:val="00DC5F94"/>
    <w:rsid w:val="00DE152F"/>
    <w:rsid w:val="00DE293B"/>
    <w:rsid w:val="00DE32EE"/>
    <w:rsid w:val="00DE4C09"/>
    <w:rsid w:val="00DF08FB"/>
    <w:rsid w:val="00E05626"/>
    <w:rsid w:val="00E25B2F"/>
    <w:rsid w:val="00E3088F"/>
    <w:rsid w:val="00E373A5"/>
    <w:rsid w:val="00E65065"/>
    <w:rsid w:val="00E66A4D"/>
    <w:rsid w:val="00E72B1C"/>
    <w:rsid w:val="00E8124C"/>
    <w:rsid w:val="00E84CC9"/>
    <w:rsid w:val="00E96169"/>
    <w:rsid w:val="00F01EA6"/>
    <w:rsid w:val="00F0780F"/>
    <w:rsid w:val="00F16D54"/>
    <w:rsid w:val="00F479AC"/>
    <w:rsid w:val="00F6015C"/>
    <w:rsid w:val="00F75715"/>
    <w:rsid w:val="00F75CAC"/>
    <w:rsid w:val="00F92A87"/>
    <w:rsid w:val="00FB2E2F"/>
    <w:rsid w:val="00FD300A"/>
    <w:rsid w:val="00FF137F"/>
    <w:rsid w:val="00FF4CED"/>
    <w:rsid w:val="00FF6959"/>
    <w:rsid w:val="00FF6C14"/>
    <w:rsid w:val="01BE6316"/>
    <w:rsid w:val="04627030"/>
    <w:rsid w:val="1F481C15"/>
    <w:rsid w:val="219D2CAB"/>
    <w:rsid w:val="24E73B1F"/>
    <w:rsid w:val="26F03C06"/>
    <w:rsid w:val="2A547683"/>
    <w:rsid w:val="384420B3"/>
    <w:rsid w:val="65785FD7"/>
    <w:rsid w:val="667765BF"/>
    <w:rsid w:val="7775238E"/>
    <w:rsid w:val="7A192FB4"/>
    <w:rsid w:val="7A8638D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2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semiHidden/>
    <w:unhideWhenUsed/>
    <w:qFormat/>
    <w:uiPriority w:val="39"/>
    <w:rPr>
      <w:rFonts w:eastAsia="仿宋_GB2312"/>
      <w:sz w:val="28"/>
    </w:r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eastAsia="仿宋_GB2312"/>
      <w:sz w:val="28"/>
    </w:rPr>
  </w:style>
  <w:style w:type="paragraph" w:styleId="10">
    <w:name w:val="toc 2"/>
    <w:basedOn w:val="1"/>
    <w:next w:val="1"/>
    <w:unhideWhenUsed/>
    <w:qFormat/>
    <w:uiPriority w:val="39"/>
    <w:rPr>
      <w:rFonts w:eastAsia="仿宋_GB2312"/>
      <w:sz w:val="2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3">
    <w:name w:val="Hyperlink"/>
    <w:basedOn w:val="12"/>
    <w:unhideWhenUsed/>
    <w:qFormat/>
    <w:uiPriority w:val="99"/>
    <w:rPr>
      <w:color w:val="0563C1" w:themeColor="hyperlink"/>
      <w:u w:val="single"/>
    </w:rPr>
  </w:style>
  <w:style w:type="table" w:styleId="15">
    <w:name w:val="Table Grid"/>
    <w:basedOn w:val="1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标题 1 Char"/>
    <w:basedOn w:val="12"/>
    <w:link w:val="2"/>
    <w:qFormat/>
    <w:uiPriority w:val="9"/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9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20">
    <w:name w:val="批注框文本 Char"/>
    <w:basedOn w:val="12"/>
    <w:link w:val="6"/>
    <w:semiHidden/>
    <w:qFormat/>
    <w:uiPriority w:val="99"/>
    <w:rPr>
      <w:sz w:val="18"/>
      <w:szCs w:val="18"/>
    </w:rPr>
  </w:style>
  <w:style w:type="paragraph" w:customStyle="1" w:styleId="21">
    <w:name w:val="标题1"/>
    <w:basedOn w:val="2"/>
    <w:qFormat/>
    <w:uiPriority w:val="0"/>
    <w:pPr>
      <w:spacing w:before="120" w:after="120" w:line="500" w:lineRule="exact"/>
      <w:ind w:firstLine="200" w:firstLineChars="200"/>
    </w:pPr>
    <w:rPr>
      <w:rFonts w:cs="Times New Roman"/>
      <w:sz w:val="32"/>
      <w:szCs w:val="32"/>
    </w:rPr>
  </w:style>
  <w:style w:type="character" w:customStyle="1" w:styleId="22">
    <w:name w:val="标题 2 Char"/>
    <w:basedOn w:val="12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3">
    <w:name w:val="标题2"/>
    <w:basedOn w:val="3"/>
    <w:qFormat/>
    <w:uiPriority w:val="0"/>
    <w:pPr>
      <w:numPr>
        <w:ilvl w:val="0"/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24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25">
    <w:name w:val="闻政正文 Char"/>
    <w:link w:val="26"/>
    <w:qFormat/>
    <w:uiPriority w:val="0"/>
    <w:rPr>
      <w:rFonts w:ascii="Times New Roman" w:hAnsi="Times New Roman" w:eastAsia="仿宋_GB2312" w:cs="Times New Roman"/>
      <w:sz w:val="28"/>
      <w:szCs w:val="28"/>
    </w:rPr>
  </w:style>
  <w:style w:type="paragraph" w:customStyle="1" w:styleId="26">
    <w:name w:val="闻政正文"/>
    <w:basedOn w:val="1"/>
    <w:link w:val="25"/>
    <w:qFormat/>
    <w:uiPriority w:val="0"/>
    <w:pPr>
      <w:spacing w:line="500" w:lineRule="exact"/>
      <w:ind w:firstLine="560" w:firstLineChars="200"/>
    </w:pPr>
    <w:rPr>
      <w:rFonts w:ascii="Times New Roman" w:hAnsi="Times New Roman" w:eastAsia="仿宋_GB2312" w:cs="Times New Roman"/>
      <w:sz w:val="28"/>
      <w:szCs w:val="28"/>
    </w:rPr>
  </w:style>
  <w:style w:type="character" w:customStyle="1" w:styleId="27">
    <w:name w:val="闻政表 Char"/>
    <w:link w:val="28"/>
    <w:qFormat/>
    <w:uiPriority w:val="0"/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8">
    <w:name w:val="闻政表"/>
    <w:basedOn w:val="1"/>
    <w:link w:val="27"/>
    <w:qFormat/>
    <w:uiPriority w:val="0"/>
    <w:pPr>
      <w:spacing w:before="60" w:after="60"/>
      <w:jc w:val="center"/>
    </w:pPr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9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2"/>
    </w:rPr>
  </w:style>
  <w:style w:type="character" w:customStyle="1" w:styleId="30">
    <w:name w:val="闻政标题3 Char"/>
    <w:link w:val="31"/>
    <w:qFormat/>
    <w:uiPriority w:val="0"/>
    <w:rPr>
      <w:rFonts w:ascii="黑体" w:hAnsi="黑体" w:eastAsia="黑体" w:cs="Times New Roman"/>
      <w:bCs/>
      <w:sz w:val="32"/>
      <w:szCs w:val="32"/>
    </w:rPr>
  </w:style>
  <w:style w:type="paragraph" w:customStyle="1" w:styleId="31">
    <w:name w:val="闻政标题3"/>
    <w:basedOn w:val="4"/>
    <w:link w:val="30"/>
    <w:qFormat/>
    <w:uiPriority w:val="99"/>
    <w:pPr>
      <w:spacing w:before="120" w:after="60" w:line="500" w:lineRule="exact"/>
      <w:jc w:val="left"/>
      <w:outlineLvl w:val="0"/>
    </w:pPr>
    <w:rPr>
      <w:rFonts w:ascii="黑体" w:hAnsi="黑体" w:eastAsia="黑体" w:cs="Times New Roman"/>
      <w:b w:val="0"/>
    </w:rPr>
  </w:style>
  <w:style w:type="character" w:customStyle="1" w:styleId="32">
    <w:name w:val="标题 3 Char"/>
    <w:basedOn w:val="12"/>
    <w:link w:val="4"/>
    <w:semiHidden/>
    <w:qFormat/>
    <w:uiPriority w:val="9"/>
    <w:rPr>
      <w:b/>
      <w:bCs/>
      <w:sz w:val="32"/>
      <w:szCs w:val="32"/>
    </w:rPr>
  </w:style>
  <w:style w:type="paragraph" w:customStyle="1" w:styleId="33">
    <w:name w:val="Body text|1"/>
    <w:basedOn w:val="1"/>
    <w:link w:val="34"/>
    <w:qFormat/>
    <w:uiPriority w:val="0"/>
    <w:pPr>
      <w:spacing w:after="40" w:line="334" w:lineRule="auto"/>
    </w:pPr>
    <w:rPr>
      <w:rFonts w:ascii="MingLiU" w:hAnsi="MingLiU" w:eastAsia="MingLiU" w:cs="MingLiU"/>
      <w:sz w:val="20"/>
      <w:szCs w:val="20"/>
      <w:lang w:val="zh-TW" w:eastAsia="zh-TW" w:bidi="zh-TW"/>
    </w:rPr>
  </w:style>
  <w:style w:type="character" w:customStyle="1" w:styleId="34">
    <w:name w:val="Body text|1_"/>
    <w:basedOn w:val="12"/>
    <w:link w:val="33"/>
    <w:unhideWhenUsed/>
    <w:qFormat/>
    <w:uiPriority w:val="0"/>
    <w:rPr>
      <w:rFonts w:ascii="MingLiU" w:hAnsi="MingLiU" w:eastAsia="MingLiU" w:cs="MingLiU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F35C22-F4A6-4EBB-8A8F-CE7037AA4E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10</Pages>
  <Words>581</Words>
  <Characters>3318</Characters>
  <Lines>27</Lines>
  <Paragraphs>7</Paragraphs>
  <TotalTime>1</TotalTime>
  <ScaleCrop>false</ScaleCrop>
  <LinksUpToDate>false</LinksUpToDate>
  <CharactersWithSpaces>3892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2019-11-22T05:12:00Z</dcterms:created>
  <dc:creator>ThinkPad</dc:creator>
  <cp:lastModifiedBy>ASUS</cp:lastModifiedBy>
  <dcterms:modified xsi:type="dcterms:W3CDTF">2020-09-05T06:00:28Z</dcterms:modified>
  <dc:title>新疆普天鹏华商务信息咨询有限公司</dc:title>
  <cp:revision>164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