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53A8" w:rsidRDefault="008853A8">
      <w:pPr>
        <w:rPr>
          <w:rFonts w:ascii="黑体" w:eastAsia="黑体" w:hAnsi="黑体"/>
          <w:sz w:val="32"/>
          <w:szCs w:val="32"/>
        </w:rPr>
      </w:pPr>
      <w:r>
        <w:rPr>
          <w:rFonts w:ascii="黑体" w:eastAsia="黑体" w:hAnsi="黑体" w:hint="eastAsia"/>
          <w:sz w:val="32"/>
          <w:szCs w:val="32"/>
        </w:rPr>
        <w:t>附件：</w:t>
      </w:r>
    </w:p>
    <w:p w:rsidR="008853A8" w:rsidRDefault="008853A8">
      <w:pPr>
        <w:jc w:val="center"/>
        <w:rPr>
          <w:rFonts w:ascii="方正小标宋_GBK" w:eastAsia="方正小标宋_GBK" w:hAnsi="宋体"/>
          <w:sz w:val="44"/>
          <w:szCs w:val="44"/>
        </w:rPr>
      </w:pPr>
    </w:p>
    <w:p w:rsidR="008853A8" w:rsidRDefault="008853A8">
      <w:pPr>
        <w:jc w:val="center"/>
        <w:rPr>
          <w:rFonts w:ascii="方正小标宋_GBK" w:eastAsia="方正小标宋_GBK" w:hAnsi="宋体"/>
          <w:sz w:val="44"/>
          <w:szCs w:val="44"/>
        </w:rPr>
      </w:pPr>
    </w:p>
    <w:p w:rsidR="008853A8" w:rsidRDefault="008853A8">
      <w:pPr>
        <w:jc w:val="center"/>
        <w:rPr>
          <w:rFonts w:ascii="方正小标宋_GBK" w:eastAsia="方正小标宋_GBK" w:hAnsi="宋体"/>
          <w:sz w:val="44"/>
          <w:szCs w:val="44"/>
        </w:rPr>
      </w:pPr>
    </w:p>
    <w:p w:rsidR="008853A8" w:rsidRDefault="008853A8">
      <w:pPr>
        <w:jc w:val="center"/>
        <w:rPr>
          <w:rFonts w:ascii="方正小标宋_GBK" w:eastAsia="方正小标宋_GBK" w:hAnsi="宋体"/>
          <w:sz w:val="44"/>
          <w:szCs w:val="44"/>
        </w:rPr>
      </w:pPr>
    </w:p>
    <w:p w:rsidR="008853A8" w:rsidRDefault="00377EC6">
      <w:pPr>
        <w:jc w:val="center"/>
        <w:rPr>
          <w:rFonts w:ascii="方正小标宋_GBK" w:eastAsia="方正小标宋_GBK" w:hAnsi="宋体"/>
          <w:sz w:val="44"/>
          <w:szCs w:val="44"/>
        </w:rPr>
      </w:pPr>
      <w:r>
        <w:rPr>
          <w:rFonts w:ascii="方正小标宋_GBK" w:eastAsia="方正小标宋_GBK" w:hAnsi="方正小标宋_GBK" w:cs="方正小标宋_GBK"/>
          <w:sz w:val="44"/>
        </w:rPr>
        <w:t>新疆农业广播电视学校喀什地区分校2019年度部门决算</w:t>
      </w:r>
    </w:p>
    <w:p w:rsidR="008853A8" w:rsidRDefault="008853A8">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8853A8" w:rsidRDefault="008853A8">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 录</w:t>
      </w:r>
    </w:p>
    <w:p w:rsidR="008853A8" w:rsidRDefault="00404E79">
      <w:pPr>
        <w:pStyle w:val="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sidR="008853A8">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8853A8">
          <w:rPr>
            <w:rFonts w:ascii="仿宋_GB2312" w:eastAsia="仿宋_GB2312" w:hAnsi="仿宋_GB2312" w:cs="仿宋_GB2312" w:hint="eastAsia"/>
            <w:b/>
            <w:bCs/>
            <w:sz w:val="32"/>
            <w:szCs w:val="32"/>
          </w:rPr>
          <w:t>第一部分 部门单位概况</w:t>
        </w:r>
      </w:hyperlink>
    </w:p>
    <w:p w:rsidR="008853A8" w:rsidRDefault="00617770">
      <w:pPr>
        <w:pStyle w:val="2"/>
        <w:tabs>
          <w:tab w:val="right" w:pos="8306"/>
        </w:tabs>
        <w:ind w:leftChars="0" w:left="0"/>
        <w:rPr>
          <w:rFonts w:ascii="仿宋_GB2312" w:eastAsia="仿宋_GB2312" w:hAnsi="仿宋_GB2312" w:cs="仿宋_GB2312"/>
          <w:sz w:val="32"/>
          <w:szCs w:val="32"/>
        </w:rPr>
      </w:pPr>
      <w:hyperlink w:anchor="_Toc30567" w:history="1">
        <w:r w:rsidR="008853A8">
          <w:rPr>
            <w:rFonts w:ascii="仿宋_GB2312" w:eastAsia="仿宋_GB2312" w:hAnsi="仿宋_GB2312" w:cs="仿宋_GB2312" w:hint="eastAsia"/>
            <w:bCs/>
            <w:kern w:val="0"/>
            <w:sz w:val="32"/>
            <w:szCs w:val="32"/>
          </w:rPr>
          <w:t>一、主要职能</w:t>
        </w:r>
      </w:hyperlink>
    </w:p>
    <w:p w:rsidR="008853A8" w:rsidRDefault="00617770">
      <w:pPr>
        <w:pStyle w:val="2"/>
        <w:tabs>
          <w:tab w:val="right" w:pos="8306"/>
        </w:tabs>
        <w:ind w:leftChars="0" w:left="0"/>
        <w:rPr>
          <w:rFonts w:ascii="仿宋_GB2312" w:eastAsia="仿宋_GB2312" w:hAnsi="仿宋_GB2312" w:cs="仿宋_GB2312"/>
          <w:sz w:val="32"/>
          <w:szCs w:val="32"/>
        </w:rPr>
      </w:pPr>
      <w:hyperlink w:anchor="_Toc2151" w:history="1">
        <w:r w:rsidR="008853A8">
          <w:rPr>
            <w:rFonts w:ascii="仿宋_GB2312" w:eastAsia="仿宋_GB2312" w:hAnsi="仿宋_GB2312" w:cs="仿宋_GB2312" w:hint="eastAsia"/>
            <w:bCs/>
            <w:kern w:val="0"/>
            <w:sz w:val="32"/>
            <w:szCs w:val="32"/>
          </w:rPr>
          <w:t>二、机构设置及人员情况</w:t>
        </w:r>
      </w:hyperlink>
    </w:p>
    <w:p w:rsidR="008853A8" w:rsidRDefault="00617770">
      <w:pPr>
        <w:pStyle w:val="1"/>
        <w:tabs>
          <w:tab w:val="right" w:pos="8306"/>
        </w:tabs>
        <w:rPr>
          <w:rFonts w:ascii="仿宋_GB2312" w:eastAsia="仿宋_GB2312" w:hAnsi="仿宋_GB2312" w:cs="仿宋_GB2312"/>
          <w:b/>
          <w:bCs/>
          <w:sz w:val="32"/>
          <w:szCs w:val="32"/>
        </w:rPr>
      </w:pPr>
      <w:hyperlink w:anchor="_Toc29374" w:history="1">
        <w:r w:rsidR="008853A8">
          <w:rPr>
            <w:rFonts w:ascii="仿宋_GB2312" w:eastAsia="仿宋_GB2312" w:hAnsi="仿宋_GB2312" w:cs="仿宋_GB2312" w:hint="eastAsia"/>
            <w:b/>
            <w:bCs/>
            <w:sz w:val="32"/>
            <w:szCs w:val="32"/>
          </w:rPr>
          <w:t>第二部分 部门决算情况说明</w:t>
        </w:r>
      </w:hyperlink>
    </w:p>
    <w:p w:rsidR="008853A8" w:rsidRDefault="00617770">
      <w:pPr>
        <w:pStyle w:val="2"/>
        <w:tabs>
          <w:tab w:val="right" w:pos="8306"/>
        </w:tabs>
        <w:ind w:leftChars="0" w:left="0"/>
        <w:rPr>
          <w:rFonts w:ascii="仿宋_GB2312" w:eastAsia="仿宋_GB2312" w:hAnsi="仿宋_GB2312" w:cs="仿宋_GB2312"/>
          <w:sz w:val="32"/>
          <w:szCs w:val="32"/>
        </w:rPr>
      </w:pPr>
      <w:hyperlink w:anchor="_Toc25314" w:history="1">
        <w:r w:rsidR="008853A8">
          <w:rPr>
            <w:rFonts w:ascii="仿宋_GB2312" w:eastAsia="仿宋_GB2312" w:hAnsi="仿宋_GB2312" w:cs="仿宋_GB2312" w:hint="eastAsia"/>
            <w:bCs/>
            <w:kern w:val="0"/>
            <w:sz w:val="32"/>
            <w:szCs w:val="32"/>
          </w:rPr>
          <w:t>一、收入支出决算总体情况说明</w:t>
        </w:r>
      </w:hyperlink>
    </w:p>
    <w:p w:rsidR="008853A8" w:rsidRDefault="00617770">
      <w:pPr>
        <w:pStyle w:val="2"/>
        <w:tabs>
          <w:tab w:val="right" w:pos="8306"/>
        </w:tabs>
        <w:ind w:leftChars="0" w:left="0"/>
        <w:rPr>
          <w:rFonts w:ascii="仿宋_GB2312" w:eastAsia="仿宋_GB2312" w:hAnsi="仿宋_GB2312" w:cs="仿宋_GB2312"/>
          <w:sz w:val="32"/>
          <w:szCs w:val="32"/>
        </w:rPr>
      </w:pPr>
      <w:hyperlink w:anchor="_Toc12142" w:history="1">
        <w:r w:rsidR="008853A8">
          <w:rPr>
            <w:rFonts w:ascii="仿宋_GB2312" w:eastAsia="仿宋_GB2312" w:hAnsi="仿宋_GB2312" w:cs="仿宋_GB2312" w:hint="eastAsia"/>
            <w:bCs/>
            <w:kern w:val="0"/>
            <w:sz w:val="32"/>
            <w:szCs w:val="32"/>
          </w:rPr>
          <w:t>二、收入决算情况说明</w:t>
        </w:r>
      </w:hyperlink>
    </w:p>
    <w:p w:rsidR="008853A8" w:rsidRDefault="00617770">
      <w:pPr>
        <w:pStyle w:val="2"/>
        <w:tabs>
          <w:tab w:val="right" w:pos="8306"/>
        </w:tabs>
        <w:ind w:leftChars="0" w:left="0"/>
        <w:rPr>
          <w:rFonts w:ascii="仿宋_GB2312" w:eastAsia="仿宋_GB2312" w:hAnsi="仿宋_GB2312" w:cs="仿宋_GB2312"/>
          <w:sz w:val="32"/>
          <w:szCs w:val="32"/>
        </w:rPr>
      </w:pPr>
      <w:hyperlink w:anchor="_Toc13201" w:history="1">
        <w:r w:rsidR="008853A8">
          <w:rPr>
            <w:rFonts w:ascii="仿宋_GB2312" w:eastAsia="仿宋_GB2312" w:hAnsi="仿宋_GB2312" w:cs="仿宋_GB2312" w:hint="eastAsia"/>
            <w:bCs/>
            <w:kern w:val="0"/>
            <w:sz w:val="32"/>
            <w:szCs w:val="32"/>
          </w:rPr>
          <w:t>三、支出决算情况说明</w:t>
        </w:r>
      </w:hyperlink>
    </w:p>
    <w:p w:rsidR="008853A8" w:rsidRDefault="00617770">
      <w:pPr>
        <w:pStyle w:val="2"/>
        <w:tabs>
          <w:tab w:val="right" w:pos="8306"/>
        </w:tabs>
        <w:ind w:leftChars="0" w:left="0"/>
        <w:rPr>
          <w:rFonts w:ascii="仿宋_GB2312" w:eastAsia="仿宋_GB2312" w:hAnsi="仿宋_GB2312" w:cs="仿宋_GB2312"/>
          <w:sz w:val="32"/>
          <w:szCs w:val="32"/>
        </w:rPr>
      </w:pPr>
      <w:hyperlink w:anchor="_Toc26564" w:history="1">
        <w:r w:rsidR="008853A8">
          <w:rPr>
            <w:rFonts w:ascii="仿宋_GB2312" w:eastAsia="仿宋_GB2312" w:hAnsi="仿宋_GB2312" w:cs="仿宋_GB2312" w:hint="eastAsia"/>
            <w:bCs/>
            <w:kern w:val="0"/>
            <w:sz w:val="32"/>
            <w:szCs w:val="32"/>
          </w:rPr>
          <w:t>四、财政拨款收入支出决算总体情况说明</w:t>
        </w:r>
      </w:hyperlink>
    </w:p>
    <w:p w:rsidR="008853A8" w:rsidRDefault="00617770">
      <w:pPr>
        <w:pStyle w:val="2"/>
        <w:tabs>
          <w:tab w:val="right" w:pos="8306"/>
        </w:tabs>
        <w:ind w:leftChars="0" w:left="0"/>
        <w:rPr>
          <w:rFonts w:ascii="仿宋_GB2312" w:eastAsia="仿宋_GB2312" w:hAnsi="仿宋_GB2312" w:cs="仿宋_GB2312"/>
          <w:sz w:val="32"/>
          <w:szCs w:val="32"/>
        </w:rPr>
      </w:pPr>
      <w:hyperlink w:anchor="_Toc20360" w:history="1">
        <w:r w:rsidR="008853A8">
          <w:rPr>
            <w:rFonts w:ascii="仿宋_GB2312" w:eastAsia="仿宋_GB2312" w:hAnsi="仿宋_GB2312" w:cs="仿宋_GB2312" w:hint="eastAsia"/>
            <w:bCs/>
            <w:kern w:val="0"/>
            <w:sz w:val="32"/>
            <w:szCs w:val="32"/>
          </w:rPr>
          <w:t>五、一般公共预算财政拨款支出决算情况说明</w:t>
        </w:r>
      </w:hyperlink>
    </w:p>
    <w:p w:rsidR="008853A8" w:rsidRDefault="00617770">
      <w:pPr>
        <w:pStyle w:val="2"/>
        <w:tabs>
          <w:tab w:val="right" w:pos="8306"/>
        </w:tabs>
        <w:ind w:leftChars="0" w:left="0"/>
        <w:rPr>
          <w:rFonts w:ascii="仿宋_GB2312" w:eastAsia="仿宋_GB2312" w:hAnsi="仿宋_GB2312" w:cs="仿宋_GB2312"/>
          <w:sz w:val="32"/>
          <w:szCs w:val="32"/>
        </w:rPr>
      </w:pPr>
      <w:hyperlink w:anchor="_Toc30870" w:history="1">
        <w:r w:rsidR="008853A8">
          <w:rPr>
            <w:rFonts w:ascii="仿宋_GB2312" w:eastAsia="仿宋_GB2312" w:hAnsi="仿宋_GB2312" w:cs="仿宋_GB2312" w:hint="eastAsia"/>
            <w:bCs/>
            <w:kern w:val="0"/>
            <w:sz w:val="32"/>
            <w:szCs w:val="32"/>
          </w:rPr>
          <w:t>六、一般公共预算财政拨款基本支出决算情况说明</w:t>
        </w:r>
      </w:hyperlink>
    </w:p>
    <w:p w:rsidR="008853A8" w:rsidRDefault="00617770">
      <w:pPr>
        <w:pStyle w:val="2"/>
        <w:tabs>
          <w:tab w:val="right" w:pos="8306"/>
        </w:tabs>
        <w:ind w:leftChars="0" w:left="0"/>
        <w:rPr>
          <w:rFonts w:ascii="仿宋_GB2312" w:eastAsia="仿宋_GB2312" w:hAnsi="仿宋_GB2312" w:cs="仿宋_GB2312"/>
          <w:sz w:val="32"/>
          <w:szCs w:val="32"/>
        </w:rPr>
      </w:pPr>
      <w:hyperlink w:anchor="_Toc21518" w:history="1">
        <w:r w:rsidR="008853A8">
          <w:rPr>
            <w:rFonts w:ascii="仿宋_GB2312" w:eastAsia="仿宋_GB2312" w:hAnsi="仿宋_GB2312" w:cs="仿宋_GB2312" w:hint="eastAsia"/>
            <w:bCs/>
            <w:kern w:val="0"/>
            <w:sz w:val="32"/>
            <w:szCs w:val="32"/>
          </w:rPr>
          <w:t>七、一般公共预算财政拨款“三公”经费支出决算情况说明</w:t>
        </w:r>
      </w:hyperlink>
    </w:p>
    <w:p w:rsidR="008853A8" w:rsidRDefault="00617770">
      <w:pPr>
        <w:pStyle w:val="2"/>
        <w:tabs>
          <w:tab w:val="right" w:pos="8306"/>
        </w:tabs>
        <w:ind w:leftChars="0" w:left="0"/>
        <w:rPr>
          <w:rFonts w:ascii="仿宋_GB2312" w:eastAsia="仿宋_GB2312" w:hAnsi="仿宋_GB2312" w:cs="仿宋_GB2312"/>
          <w:sz w:val="32"/>
          <w:szCs w:val="32"/>
        </w:rPr>
      </w:pPr>
      <w:hyperlink w:anchor="_Toc5810" w:history="1">
        <w:r w:rsidR="008853A8">
          <w:rPr>
            <w:rFonts w:ascii="仿宋_GB2312" w:eastAsia="仿宋_GB2312" w:hAnsi="仿宋_GB2312" w:cs="仿宋_GB2312" w:hint="eastAsia"/>
            <w:bCs/>
            <w:kern w:val="0"/>
            <w:sz w:val="32"/>
            <w:szCs w:val="32"/>
          </w:rPr>
          <w:t>八、政府性基金预算收入支出决算情况说明</w:t>
        </w:r>
      </w:hyperlink>
    </w:p>
    <w:p w:rsidR="008853A8" w:rsidRDefault="00617770">
      <w:pPr>
        <w:pStyle w:val="2"/>
        <w:tabs>
          <w:tab w:val="right" w:pos="8306"/>
        </w:tabs>
        <w:ind w:leftChars="0" w:left="0"/>
        <w:rPr>
          <w:rFonts w:ascii="仿宋_GB2312" w:eastAsia="仿宋_GB2312" w:hAnsi="仿宋_GB2312" w:cs="仿宋_GB2312"/>
          <w:sz w:val="32"/>
          <w:szCs w:val="32"/>
        </w:rPr>
      </w:pPr>
      <w:hyperlink w:anchor="_Toc1235" w:history="1">
        <w:r w:rsidR="008853A8">
          <w:rPr>
            <w:rFonts w:ascii="仿宋_GB2312" w:eastAsia="仿宋_GB2312" w:hAnsi="仿宋_GB2312" w:cs="仿宋_GB2312" w:hint="eastAsia"/>
            <w:bCs/>
            <w:kern w:val="0"/>
            <w:sz w:val="32"/>
            <w:szCs w:val="32"/>
          </w:rPr>
          <w:t>九、其他重要事项的情况说明</w:t>
        </w:r>
      </w:hyperlink>
    </w:p>
    <w:p w:rsidR="008853A8" w:rsidRDefault="00617770">
      <w:pPr>
        <w:pStyle w:val="3"/>
        <w:tabs>
          <w:tab w:val="right" w:pos="8306"/>
        </w:tabs>
        <w:ind w:leftChars="0" w:left="0"/>
        <w:rPr>
          <w:rFonts w:ascii="仿宋_GB2312" w:eastAsia="仿宋_GB2312" w:hAnsi="仿宋_GB2312" w:cs="仿宋_GB2312"/>
          <w:sz w:val="32"/>
          <w:szCs w:val="32"/>
        </w:rPr>
      </w:pPr>
      <w:hyperlink w:anchor="_Toc14519" w:history="1">
        <w:r w:rsidR="008853A8">
          <w:rPr>
            <w:rFonts w:ascii="仿宋_GB2312" w:eastAsia="仿宋_GB2312" w:hAnsi="仿宋_GB2312" w:cs="仿宋_GB2312" w:hint="eastAsia"/>
            <w:sz w:val="32"/>
            <w:szCs w:val="32"/>
          </w:rPr>
          <w:t>（一）机关运行经费支出情况</w:t>
        </w:r>
      </w:hyperlink>
    </w:p>
    <w:p w:rsidR="008853A8" w:rsidRDefault="00617770">
      <w:pPr>
        <w:pStyle w:val="3"/>
        <w:tabs>
          <w:tab w:val="right" w:pos="8306"/>
        </w:tabs>
        <w:ind w:leftChars="0" w:left="0"/>
        <w:rPr>
          <w:rFonts w:ascii="仿宋_GB2312" w:eastAsia="仿宋_GB2312" w:hAnsi="仿宋_GB2312" w:cs="仿宋_GB2312"/>
          <w:sz w:val="32"/>
          <w:szCs w:val="32"/>
        </w:rPr>
      </w:pPr>
      <w:hyperlink w:anchor="_Toc227" w:history="1">
        <w:r w:rsidR="008853A8">
          <w:rPr>
            <w:rFonts w:ascii="仿宋_GB2312" w:eastAsia="仿宋_GB2312" w:hAnsi="仿宋_GB2312" w:cs="仿宋_GB2312" w:hint="eastAsia"/>
            <w:sz w:val="32"/>
            <w:szCs w:val="32"/>
          </w:rPr>
          <w:t>（二）政府采购情况</w:t>
        </w:r>
      </w:hyperlink>
    </w:p>
    <w:p w:rsidR="008853A8" w:rsidRDefault="00617770">
      <w:pPr>
        <w:pStyle w:val="3"/>
        <w:tabs>
          <w:tab w:val="right" w:pos="8306"/>
        </w:tabs>
        <w:ind w:leftChars="0" w:left="0"/>
        <w:rPr>
          <w:rFonts w:ascii="仿宋_GB2312" w:eastAsia="仿宋_GB2312" w:hAnsi="仿宋_GB2312" w:cs="仿宋_GB2312"/>
          <w:sz w:val="32"/>
          <w:szCs w:val="32"/>
        </w:rPr>
      </w:pPr>
      <w:hyperlink w:anchor="_Toc8391" w:history="1">
        <w:r w:rsidR="008853A8">
          <w:rPr>
            <w:rFonts w:ascii="仿宋_GB2312" w:eastAsia="仿宋_GB2312" w:hAnsi="仿宋_GB2312" w:cs="仿宋_GB2312" w:hint="eastAsia"/>
            <w:sz w:val="32"/>
            <w:szCs w:val="32"/>
          </w:rPr>
          <w:t>（三）国有资产占用情况说明</w:t>
        </w:r>
      </w:hyperlink>
    </w:p>
    <w:p w:rsidR="008853A8" w:rsidRDefault="00617770">
      <w:pPr>
        <w:pStyle w:val="2"/>
        <w:tabs>
          <w:tab w:val="right" w:pos="8306"/>
        </w:tabs>
        <w:ind w:leftChars="0" w:left="0"/>
        <w:rPr>
          <w:rFonts w:ascii="仿宋_GB2312" w:eastAsia="仿宋_GB2312" w:hAnsi="仿宋_GB2312" w:cs="仿宋_GB2312"/>
          <w:sz w:val="32"/>
          <w:szCs w:val="32"/>
        </w:rPr>
      </w:pPr>
      <w:hyperlink w:anchor="_Toc11283" w:history="1">
        <w:r w:rsidR="008853A8">
          <w:rPr>
            <w:rFonts w:ascii="仿宋_GB2312" w:eastAsia="仿宋_GB2312" w:hAnsi="仿宋_GB2312" w:cs="仿宋_GB2312" w:hint="eastAsia"/>
            <w:bCs/>
            <w:kern w:val="0"/>
            <w:sz w:val="32"/>
            <w:szCs w:val="32"/>
          </w:rPr>
          <w:t>十、预算绩效的情况说明</w:t>
        </w:r>
      </w:hyperlink>
    </w:p>
    <w:p w:rsidR="008853A8" w:rsidRDefault="00617770">
      <w:pPr>
        <w:pStyle w:val="1"/>
        <w:tabs>
          <w:tab w:val="right" w:pos="8306"/>
        </w:tabs>
        <w:rPr>
          <w:rFonts w:ascii="仿宋_GB2312" w:eastAsia="仿宋_GB2312" w:hAnsi="仿宋_GB2312" w:cs="仿宋_GB2312"/>
          <w:b/>
          <w:bCs/>
          <w:sz w:val="32"/>
          <w:szCs w:val="32"/>
        </w:rPr>
      </w:pPr>
      <w:hyperlink w:anchor="_Toc3250" w:history="1">
        <w:r w:rsidR="008853A8">
          <w:rPr>
            <w:rFonts w:ascii="仿宋_GB2312" w:eastAsia="仿宋_GB2312" w:hAnsi="仿宋_GB2312" w:cs="仿宋_GB2312" w:hint="eastAsia"/>
            <w:b/>
            <w:bCs/>
            <w:sz w:val="32"/>
            <w:szCs w:val="32"/>
          </w:rPr>
          <w:t>第三部分 专业名词解释</w:t>
        </w:r>
      </w:hyperlink>
    </w:p>
    <w:p w:rsidR="008853A8" w:rsidRDefault="00617770">
      <w:pPr>
        <w:pStyle w:val="1"/>
        <w:tabs>
          <w:tab w:val="right" w:pos="8306"/>
        </w:tabs>
        <w:rPr>
          <w:rFonts w:ascii="仿宋_GB2312" w:eastAsia="仿宋_GB2312" w:hAnsi="仿宋_GB2312" w:cs="仿宋_GB2312"/>
          <w:b/>
          <w:bCs/>
          <w:sz w:val="32"/>
          <w:szCs w:val="32"/>
        </w:rPr>
      </w:pPr>
      <w:hyperlink w:anchor="_Toc22784" w:history="1">
        <w:r w:rsidR="008853A8">
          <w:rPr>
            <w:rFonts w:ascii="仿宋_GB2312" w:eastAsia="仿宋_GB2312" w:hAnsi="仿宋_GB2312" w:cs="仿宋_GB2312" w:hint="eastAsia"/>
            <w:b/>
            <w:bCs/>
            <w:sz w:val="32"/>
            <w:szCs w:val="32"/>
          </w:rPr>
          <w:t>第四部分 部门决算报表（见附表）</w:t>
        </w:r>
      </w:hyperlink>
    </w:p>
    <w:p w:rsidR="008853A8" w:rsidRDefault="00617770">
      <w:pPr>
        <w:pStyle w:val="2"/>
        <w:tabs>
          <w:tab w:val="right" w:pos="8306"/>
        </w:tabs>
        <w:ind w:leftChars="0" w:left="0"/>
        <w:rPr>
          <w:rFonts w:ascii="仿宋_GB2312" w:eastAsia="仿宋_GB2312" w:hAnsi="仿宋_GB2312" w:cs="仿宋_GB2312"/>
          <w:sz w:val="32"/>
          <w:szCs w:val="32"/>
        </w:rPr>
      </w:pPr>
      <w:hyperlink w:anchor="_Toc2183" w:history="1">
        <w:r w:rsidR="008853A8">
          <w:rPr>
            <w:rFonts w:ascii="仿宋_GB2312" w:eastAsia="仿宋_GB2312" w:hAnsi="仿宋_GB2312" w:cs="仿宋_GB2312" w:hint="eastAsia"/>
            <w:bCs/>
            <w:kern w:val="0"/>
            <w:sz w:val="32"/>
            <w:szCs w:val="32"/>
          </w:rPr>
          <w:t>一、《收入支出决算总表》</w:t>
        </w:r>
      </w:hyperlink>
    </w:p>
    <w:p w:rsidR="008853A8" w:rsidRDefault="00617770">
      <w:pPr>
        <w:pStyle w:val="2"/>
        <w:tabs>
          <w:tab w:val="right" w:pos="8306"/>
        </w:tabs>
        <w:ind w:leftChars="0" w:left="0"/>
        <w:rPr>
          <w:rFonts w:ascii="仿宋_GB2312" w:eastAsia="仿宋_GB2312" w:hAnsi="仿宋_GB2312" w:cs="仿宋_GB2312"/>
          <w:sz w:val="32"/>
          <w:szCs w:val="32"/>
        </w:rPr>
      </w:pPr>
      <w:hyperlink w:anchor="_Toc24532" w:history="1">
        <w:r w:rsidR="008853A8">
          <w:rPr>
            <w:rFonts w:ascii="仿宋_GB2312" w:eastAsia="仿宋_GB2312" w:hAnsi="仿宋_GB2312" w:cs="仿宋_GB2312" w:hint="eastAsia"/>
            <w:bCs/>
            <w:kern w:val="0"/>
            <w:sz w:val="32"/>
            <w:szCs w:val="32"/>
          </w:rPr>
          <w:t>二、《收入决算表》</w:t>
        </w:r>
      </w:hyperlink>
    </w:p>
    <w:p w:rsidR="008853A8" w:rsidRDefault="00617770">
      <w:pPr>
        <w:pStyle w:val="2"/>
        <w:tabs>
          <w:tab w:val="right" w:pos="8306"/>
        </w:tabs>
        <w:ind w:leftChars="0" w:left="0"/>
        <w:rPr>
          <w:rFonts w:ascii="仿宋_GB2312" w:eastAsia="仿宋_GB2312" w:hAnsi="仿宋_GB2312" w:cs="仿宋_GB2312"/>
          <w:sz w:val="32"/>
          <w:szCs w:val="32"/>
        </w:rPr>
      </w:pPr>
      <w:hyperlink w:anchor="_Toc32434" w:history="1">
        <w:r w:rsidR="008853A8">
          <w:rPr>
            <w:rFonts w:ascii="仿宋_GB2312" w:eastAsia="仿宋_GB2312" w:hAnsi="仿宋_GB2312" w:cs="仿宋_GB2312" w:hint="eastAsia"/>
            <w:bCs/>
            <w:kern w:val="0"/>
            <w:sz w:val="32"/>
            <w:szCs w:val="32"/>
          </w:rPr>
          <w:t>三、《支出决算表》</w:t>
        </w:r>
      </w:hyperlink>
    </w:p>
    <w:p w:rsidR="008853A8" w:rsidRDefault="00617770">
      <w:pPr>
        <w:pStyle w:val="2"/>
        <w:tabs>
          <w:tab w:val="right" w:pos="8306"/>
        </w:tabs>
        <w:ind w:leftChars="0" w:left="0"/>
        <w:rPr>
          <w:rFonts w:ascii="仿宋_GB2312" w:eastAsia="仿宋_GB2312" w:hAnsi="仿宋_GB2312" w:cs="仿宋_GB2312"/>
          <w:sz w:val="32"/>
          <w:szCs w:val="32"/>
        </w:rPr>
      </w:pPr>
      <w:hyperlink w:anchor="_Toc28786" w:history="1">
        <w:r w:rsidR="008853A8">
          <w:rPr>
            <w:rFonts w:ascii="仿宋_GB2312" w:eastAsia="仿宋_GB2312" w:hAnsi="仿宋_GB2312" w:cs="仿宋_GB2312" w:hint="eastAsia"/>
            <w:bCs/>
            <w:kern w:val="0"/>
            <w:sz w:val="32"/>
            <w:szCs w:val="32"/>
          </w:rPr>
          <w:t>四、《财政拨款收入支出决算总表》</w:t>
        </w:r>
      </w:hyperlink>
    </w:p>
    <w:p w:rsidR="008853A8" w:rsidRDefault="00617770">
      <w:pPr>
        <w:pStyle w:val="2"/>
        <w:tabs>
          <w:tab w:val="right" w:pos="8306"/>
        </w:tabs>
        <w:ind w:leftChars="0" w:left="0"/>
        <w:rPr>
          <w:rFonts w:ascii="仿宋_GB2312" w:eastAsia="仿宋_GB2312" w:hAnsi="仿宋_GB2312" w:cs="仿宋_GB2312"/>
          <w:sz w:val="32"/>
          <w:szCs w:val="32"/>
        </w:rPr>
      </w:pPr>
      <w:hyperlink w:anchor="_Toc14869" w:history="1">
        <w:r w:rsidR="008853A8">
          <w:rPr>
            <w:rFonts w:ascii="仿宋_GB2312" w:eastAsia="仿宋_GB2312" w:hAnsi="仿宋_GB2312" w:cs="仿宋_GB2312" w:hint="eastAsia"/>
            <w:bCs/>
            <w:kern w:val="0"/>
            <w:sz w:val="32"/>
            <w:szCs w:val="32"/>
          </w:rPr>
          <w:t>五、《一般公共预算财政拨款支出决算表》</w:t>
        </w:r>
      </w:hyperlink>
    </w:p>
    <w:p w:rsidR="008853A8" w:rsidRDefault="00617770">
      <w:pPr>
        <w:pStyle w:val="2"/>
        <w:tabs>
          <w:tab w:val="right" w:pos="8306"/>
        </w:tabs>
        <w:ind w:leftChars="0" w:left="0"/>
        <w:rPr>
          <w:rFonts w:ascii="仿宋_GB2312" w:eastAsia="仿宋_GB2312" w:hAnsi="仿宋_GB2312" w:cs="仿宋_GB2312"/>
          <w:sz w:val="32"/>
          <w:szCs w:val="32"/>
        </w:rPr>
      </w:pPr>
      <w:hyperlink w:anchor="_Toc8884" w:history="1">
        <w:r w:rsidR="008853A8">
          <w:rPr>
            <w:rFonts w:ascii="仿宋_GB2312" w:eastAsia="仿宋_GB2312" w:hAnsi="仿宋_GB2312" w:cs="仿宋_GB2312" w:hint="eastAsia"/>
            <w:bCs/>
            <w:kern w:val="0"/>
            <w:sz w:val="32"/>
            <w:szCs w:val="32"/>
          </w:rPr>
          <w:t>六、《一般公共预算财政拨款基本支出决算表》</w:t>
        </w:r>
      </w:hyperlink>
    </w:p>
    <w:p w:rsidR="008853A8" w:rsidRDefault="00617770">
      <w:pPr>
        <w:pStyle w:val="2"/>
        <w:tabs>
          <w:tab w:val="right" w:pos="8306"/>
        </w:tabs>
        <w:ind w:leftChars="0" w:left="0"/>
        <w:rPr>
          <w:rFonts w:ascii="仿宋_GB2312" w:eastAsia="仿宋_GB2312" w:hAnsi="仿宋_GB2312" w:cs="仿宋_GB2312"/>
          <w:sz w:val="32"/>
          <w:szCs w:val="32"/>
        </w:rPr>
      </w:pPr>
      <w:hyperlink w:anchor="_Toc29106" w:history="1">
        <w:r w:rsidR="008853A8">
          <w:rPr>
            <w:rFonts w:ascii="仿宋_GB2312" w:eastAsia="仿宋_GB2312" w:hAnsi="仿宋_GB2312" w:cs="仿宋_GB2312" w:hint="eastAsia"/>
            <w:bCs/>
            <w:kern w:val="0"/>
            <w:sz w:val="32"/>
            <w:szCs w:val="32"/>
          </w:rPr>
          <w:t>七、《一般公共预算财政拨款“三公”经费支出决算表》</w:t>
        </w:r>
      </w:hyperlink>
    </w:p>
    <w:p w:rsidR="008853A8" w:rsidRDefault="00617770">
      <w:pPr>
        <w:pStyle w:val="2"/>
        <w:tabs>
          <w:tab w:val="right" w:pos="8306"/>
        </w:tabs>
        <w:ind w:leftChars="0" w:left="0"/>
        <w:rPr>
          <w:rFonts w:ascii="仿宋_GB2312" w:eastAsia="仿宋_GB2312" w:hAnsi="仿宋_GB2312" w:cs="仿宋_GB2312"/>
          <w:sz w:val="32"/>
          <w:szCs w:val="32"/>
        </w:rPr>
      </w:pPr>
      <w:hyperlink w:anchor="_Toc7643" w:history="1">
        <w:r w:rsidR="008853A8">
          <w:rPr>
            <w:rFonts w:ascii="仿宋_GB2312" w:eastAsia="仿宋_GB2312" w:hAnsi="仿宋_GB2312" w:cs="仿宋_GB2312" w:hint="eastAsia"/>
            <w:bCs/>
            <w:kern w:val="0"/>
            <w:sz w:val="32"/>
            <w:szCs w:val="32"/>
          </w:rPr>
          <w:t>八、《政府性基金预算财政拨款收入支出决算表》</w:t>
        </w:r>
      </w:hyperlink>
    </w:p>
    <w:p w:rsidR="008853A8" w:rsidRDefault="00404E79">
      <w:r>
        <w:rPr>
          <w:rFonts w:ascii="仿宋_GB2312" w:eastAsia="仿宋_GB2312" w:hAnsi="仿宋_GB2312" w:cs="仿宋_GB2312" w:hint="eastAsia"/>
          <w:sz w:val="32"/>
          <w:szCs w:val="32"/>
        </w:rPr>
        <w:fldChar w:fldCharType="end"/>
      </w:r>
    </w:p>
    <w:p w:rsidR="008853A8" w:rsidRDefault="008853A8">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24028"/>
      <w:bookmarkStart w:id="1" w:name="_Toc32314"/>
      <w:r>
        <w:rPr>
          <w:rFonts w:ascii="黑体" w:eastAsia="黑体" w:hAnsi="黑体" w:hint="eastAsia"/>
          <w:sz w:val="32"/>
          <w:szCs w:val="32"/>
        </w:rPr>
        <w:lastRenderedPageBreak/>
        <w:t>第一部分 部门单位概况</w:t>
      </w:r>
      <w:bookmarkEnd w:id="0"/>
      <w:bookmarkEnd w:id="1"/>
    </w:p>
    <w:p w:rsidR="008853A8" w:rsidRDefault="008853A8">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rsidR="00471BBD" w:rsidRDefault="00AE6C82" w:rsidP="00725755">
      <w:pPr>
        <w:rPr>
          <w:rFonts w:ascii="仿宋_GB2312" w:eastAsia="仿宋_GB2312"/>
          <w:sz w:val="32"/>
          <w:szCs w:val="32"/>
        </w:rPr>
      </w:pPr>
      <w:r>
        <w:rPr>
          <w:rFonts w:ascii="仿宋_GB2312" w:eastAsia="仿宋_GB2312" w:hAnsi="仿宋_GB2312" w:cs="仿宋_GB2312"/>
          <w:sz w:val="32"/>
        </w:rPr>
        <w:t xml:space="preserve">    新疆农业广播电视学校喀什地区分校加挂喀什地区农民科技教育培训中心，公益新疆农业一类，隶属喀什地区农业农村局管理，规格相当副县级，全额拨款预算管理单位单位主要职能:新疆农业广播电视学校喀什地区分校承担根据我区农村经济和社会发展需要，通过广播、电视、网络等现代化教学媒体举办中专以上层次的学历教育；开展绿色证书培训；承担农村劳动力转移就业职业培训，新型职业农民培训和职业技能鉴定；完成上级交办的其他工作。</w:t>
      </w:r>
    </w:p>
    <w:p w:rsidR="008853A8" w:rsidRDefault="008853A8">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rsidR="001F777A" w:rsidRPr="001F777A" w:rsidRDefault="001F777A" w:rsidP="001F777A">
      <w:pPr>
        <w:ind w:firstLineChars="200" w:firstLine="640"/>
      </w:pPr>
      <w:r>
        <w:rPr>
          <w:rFonts w:ascii="仿宋_GB2312" w:eastAsia="仿宋_GB2312" w:hAnsi="仿宋_GB2312" w:cs="仿宋_GB2312"/>
          <w:sz w:val="32"/>
        </w:rPr>
        <w:t>新疆农业广播电视学校喀什地区分校2019年度，实有人数12人，其中：在职人员8人，离休人员0人，退休人员4人。</w:t>
      </w:r>
    </w:p>
    <w:p w:rsidR="00862395" w:rsidRDefault="00862395" w:rsidP="00862395">
      <w:pPr>
        <w:ind w:firstLineChars="200" w:firstLine="640"/>
        <w:rPr>
          <w:rFonts w:ascii="仿宋_GB2312" w:eastAsia="仿宋_GB2312"/>
          <w:sz w:val="32"/>
          <w:szCs w:val="32"/>
        </w:rPr>
      </w:pPr>
      <w:r>
        <w:rPr>
          <w:rFonts w:ascii="仿宋_GB2312" w:eastAsia="仿宋_GB2312" w:hAnsi="仿宋_GB2312" w:cs="仿宋_GB2312"/>
          <w:sz w:val="32"/>
        </w:rPr>
        <w:t>从部门决算单位构成看，新疆农业广播电视学校喀什地区分校部门决算包括：新疆农业广播电视学校喀什地区分校决算。</w:t>
      </w:r>
    </w:p>
    <w:p w:rsidR="008853A8" w:rsidRDefault="008853A8">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 部门决算情况说明</w:t>
      </w:r>
      <w:bookmarkEnd w:id="6"/>
      <w:bookmarkEnd w:id="7"/>
    </w:p>
    <w:p w:rsidR="008853A8" w:rsidRDefault="008853A8">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rsidR="008853A8" w:rsidRDefault="007E3BFD">
      <w:pPr>
        <w:ind w:firstLineChars="200" w:firstLine="640"/>
        <w:rPr>
          <w:rFonts w:ascii="仿宋_GB2312" w:eastAsia="仿宋_GB2312"/>
          <w:sz w:val="32"/>
          <w:szCs w:val="32"/>
        </w:rPr>
      </w:pPr>
      <w:r>
        <w:rPr>
          <w:rFonts w:ascii="仿宋_GB2312" w:eastAsia="仿宋_GB2312" w:hAnsi="仿宋_GB2312" w:cs="仿宋_GB2312"/>
          <w:sz w:val="32"/>
        </w:rPr>
        <w:t>2019年度本年收入140.09万元，与上年相比，减少26.31万元，下降15.81%，主要原因是：人员变动了。2019年3月1名在职人员退休1人， 10月新入职1名人员。本</w:t>
      </w:r>
      <w:r>
        <w:rPr>
          <w:rFonts w:ascii="仿宋_GB2312" w:eastAsia="仿宋_GB2312" w:hAnsi="仿宋_GB2312" w:cs="仿宋_GB2312"/>
          <w:sz w:val="32"/>
        </w:rPr>
        <w:lastRenderedPageBreak/>
        <w:t>年支出140.09万元，与上年相比，减少26.31万元，下降15.81%，主要原因是：人员发生了变动。2019年3月1名在职高级农艺师退休，相关人员费用减少。</w:t>
      </w:r>
    </w:p>
    <w:p w:rsidR="008853A8" w:rsidRDefault="008853A8">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rsidR="008853A8" w:rsidRDefault="00125A6F">
      <w:pPr>
        <w:ind w:firstLineChars="200" w:firstLine="640"/>
        <w:rPr>
          <w:rFonts w:ascii="仿宋_GB2312" w:eastAsia="仿宋_GB2312"/>
          <w:sz w:val="32"/>
          <w:szCs w:val="32"/>
        </w:rPr>
      </w:pPr>
      <w:r>
        <w:rPr>
          <w:rFonts w:ascii="仿宋_GB2312" w:eastAsia="仿宋_GB2312" w:hAnsi="仿宋_GB2312" w:cs="仿宋_GB2312"/>
          <w:sz w:val="32"/>
        </w:rPr>
        <w:t>2019年度本年收入140.09万元，其中：财政拨款收入140.09万元，占100%；上级补助收入0万元，占0%；事业收入0万元，占0%；经营收入0万元，占0%；附属单位上缴收入0万元，占0%；其他收入0万元，占0%。</w:t>
      </w:r>
    </w:p>
    <w:p w:rsidR="008853A8" w:rsidRDefault="008853A8">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rsidR="008853A8" w:rsidRDefault="00233021">
      <w:pPr>
        <w:ind w:firstLineChars="200" w:firstLine="640"/>
        <w:rPr>
          <w:rFonts w:ascii="仿宋_GB2312" w:eastAsia="仿宋_GB2312"/>
          <w:sz w:val="32"/>
          <w:szCs w:val="32"/>
        </w:rPr>
      </w:pPr>
      <w:r>
        <w:rPr>
          <w:rFonts w:ascii="仿宋_GB2312" w:eastAsia="仿宋_GB2312" w:hAnsi="仿宋_GB2312" w:cs="仿宋_GB2312"/>
          <w:sz w:val="32"/>
        </w:rPr>
        <w:t>2019年度本年支出140.09万元，其中：基本支出140.09万元，占100%；项目支出0万元，占0%；上缴上级支出0万元，占0%；经营支出0万元，占0%；对附属单位补助支出0万元，占0%。</w:t>
      </w:r>
    </w:p>
    <w:p w:rsidR="008853A8" w:rsidRDefault="008853A8">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rsidR="008853A8" w:rsidRPr="001848EE" w:rsidRDefault="001C2D35">
      <w:pPr>
        <w:ind w:firstLineChars="200" w:firstLine="640"/>
        <w:rPr>
          <w:rFonts w:ascii="仿宋_GB2312" w:eastAsia="仿宋_GB2312"/>
          <w:sz w:val="32"/>
          <w:szCs w:val="32"/>
        </w:rPr>
      </w:pPr>
      <w:r>
        <w:rPr>
          <w:rFonts w:ascii="仿宋_GB2312" w:eastAsia="仿宋_GB2312" w:hAnsi="仿宋_GB2312" w:cs="仿宋_GB2312"/>
          <w:sz w:val="32"/>
        </w:rPr>
        <w:t>2019年度财政拨款收入140.09万元，与上年相比，减少26.31万元，下降15.81%，主要原因是：人员发生了变动。2019年3月1名在职高级农艺师退休，相关人员费用减少。财政拨款支出140.09万元，与上年相比，减少26.31万元，下降15.81%，主要原因是：人员发生了变动。2019年3月1名在职高级农艺师退休，相关人员费用减少。</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与年初预算数相比情况：财政拨款收入年初预算数156.09万元，决算数140.09万元，预决算差异率-10.25%，</w:t>
      </w:r>
      <w:r>
        <w:rPr>
          <w:rFonts w:ascii="仿宋_GB2312" w:eastAsia="仿宋_GB2312" w:hAnsi="仿宋_GB2312" w:cs="仿宋_GB2312"/>
          <w:sz w:val="32"/>
        </w:rPr>
        <w:lastRenderedPageBreak/>
        <w:t>主要原因是：人员减少，社会福利支出减少，相关支出减少。财政拨款支出年初预算数156.09万元，决算数140.09万元，预决算差异率-10.25%，主要原因是：1名在职高级农艺师退休，社会福利支出减少，相关支出减少。</w:t>
      </w:r>
    </w:p>
    <w:p w:rsidR="008853A8" w:rsidRDefault="008853A8">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rsidR="008853A8" w:rsidRDefault="005529D0">
      <w:pPr>
        <w:ind w:firstLineChars="200" w:firstLine="640"/>
        <w:rPr>
          <w:rFonts w:ascii="仿宋_GB2312" w:eastAsia="仿宋_GB2312"/>
          <w:sz w:val="32"/>
          <w:szCs w:val="32"/>
        </w:rPr>
      </w:pPr>
      <w:r>
        <w:rPr>
          <w:rFonts w:ascii="仿宋_GB2312" w:eastAsia="仿宋_GB2312" w:hAnsi="仿宋_GB2312" w:cs="仿宋_GB2312"/>
          <w:sz w:val="32"/>
        </w:rPr>
        <w:t>2019年度一般公共预算财政拨款支出140.09万元。按功能分类科目项级科目公开，其中：</w:t>
      </w:r>
    </w:p>
    <w:p w:rsidR="00404E79" w:rsidRDefault="00532E42">
      <w:pPr>
        <w:ind w:firstLine="480"/>
      </w:pPr>
      <w:r>
        <w:rPr>
          <w:rFonts w:ascii="仿宋_GB2312" w:eastAsia="仿宋_GB2312" w:hAnsi="仿宋_GB2312" w:cs="仿宋_GB2312"/>
          <w:sz w:val="32"/>
        </w:rPr>
        <w:t xml:space="preserve">   2210201住房公积金支出8.92万元。</w:t>
      </w:r>
    </w:p>
    <w:p w:rsidR="00404E79" w:rsidRDefault="00532E42">
      <w:pPr>
        <w:ind w:firstLine="480"/>
      </w:pPr>
      <w:r>
        <w:rPr>
          <w:rFonts w:ascii="仿宋_GB2312" w:eastAsia="仿宋_GB2312" w:hAnsi="仿宋_GB2312" w:cs="仿宋_GB2312"/>
          <w:sz w:val="32"/>
        </w:rPr>
        <w:t xml:space="preserve">   2130104事业运行支出112.78万元；</w:t>
      </w:r>
    </w:p>
    <w:p w:rsidR="00404E79" w:rsidRDefault="00532E42">
      <w:pPr>
        <w:ind w:firstLine="480"/>
      </w:pPr>
      <w:r>
        <w:rPr>
          <w:rFonts w:ascii="仿宋_GB2312" w:eastAsia="仿宋_GB2312" w:hAnsi="仿宋_GB2312" w:cs="仿宋_GB2312"/>
          <w:sz w:val="32"/>
        </w:rPr>
        <w:t xml:space="preserve">   2080506机关事业单位职业年金缴费支出5.92万元；</w:t>
      </w:r>
    </w:p>
    <w:p w:rsidR="00404E79" w:rsidRDefault="00532E42">
      <w:pPr>
        <w:ind w:firstLine="480"/>
      </w:pPr>
      <w:r>
        <w:rPr>
          <w:rFonts w:ascii="仿宋_GB2312" w:eastAsia="仿宋_GB2312" w:hAnsi="仿宋_GB2312" w:cs="仿宋_GB2312"/>
          <w:sz w:val="32"/>
        </w:rPr>
        <w:t xml:space="preserve">   2080505机关事业单位基本养老保险缴费支出12.47万元；</w:t>
      </w:r>
    </w:p>
    <w:p w:rsidR="008853A8" w:rsidRDefault="008853A8">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rsidR="008853A8" w:rsidRDefault="005B1DE6">
      <w:pPr>
        <w:ind w:firstLineChars="200" w:firstLine="640"/>
        <w:rPr>
          <w:rFonts w:ascii="仿宋_GB2312" w:eastAsia="仿宋_GB2312"/>
          <w:sz w:val="32"/>
          <w:szCs w:val="32"/>
        </w:rPr>
      </w:pPr>
      <w:r>
        <w:rPr>
          <w:rFonts w:ascii="仿宋_GB2312" w:eastAsia="仿宋_GB2312" w:hAnsi="仿宋_GB2312" w:cs="仿宋_GB2312"/>
          <w:sz w:val="32"/>
        </w:rPr>
        <w:t>2019年度一般公共预算财政拨款基本支出140.09万元，其中：</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人员经费134.25万元，包括：基本工资、津贴补贴、奖金、绩效工资、机关事业单位基本养老保险缴费、职业年金缴费、职工基本医疗保险缴费、其他社会保障缴费、住房公积金、退休费、生活补助、奖励金。</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公用经费5.83万元，包括：办公费、水费、取暖费、差旅费、公务用车运行维护费、其他商品和服务支出。</w:t>
      </w:r>
    </w:p>
    <w:p w:rsidR="008853A8" w:rsidRDefault="008853A8">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w:t>
      </w:r>
      <w:r>
        <w:rPr>
          <w:rFonts w:ascii="黑体" w:eastAsia="黑体" w:hAnsi="黑体" w:cs="宋体" w:hint="eastAsia"/>
          <w:bCs/>
          <w:kern w:val="0"/>
          <w:sz w:val="32"/>
          <w:szCs w:val="32"/>
        </w:rPr>
        <w:lastRenderedPageBreak/>
        <w:t>说明</w:t>
      </w:r>
      <w:bookmarkEnd w:id="20"/>
      <w:bookmarkEnd w:id="21"/>
    </w:p>
    <w:p w:rsidR="008853A8" w:rsidRDefault="00340AE7">
      <w:pPr>
        <w:ind w:firstLineChars="200" w:firstLine="640"/>
        <w:rPr>
          <w:rFonts w:ascii="仿宋_GB2312" w:eastAsia="仿宋_GB2312"/>
          <w:sz w:val="32"/>
          <w:szCs w:val="32"/>
        </w:rPr>
      </w:pPr>
      <w:r>
        <w:rPr>
          <w:rFonts w:ascii="仿宋_GB2312" w:eastAsia="仿宋_GB2312" w:hAnsi="仿宋_GB2312" w:cs="仿宋_GB2312"/>
          <w:sz w:val="32"/>
        </w:rPr>
        <w:t>2019年度一般公共预算“三公”经费支出决算1.30万元，比上年增加0万元，增长0%，主要原因是与上年相比无变动，与上年一致。其中，因公出国（境）费支出0万元，占0%，比上年增加0万元，增长0%，主要原因是与上年相比无变动，与上年一致；公务用车购置及运行维护费支出1.30万元，占100%，比上年增加0万元，增长0%，主要原因是与上年相比无变动，与上年一致；公务接待费支出0万元，占0%，比上年增加0万元，增长0%，主要原因是与上年相比无变动，与上年一致。具体情况如下：</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因公出国（境）费支出0万元，开支内容包括：预算未安排，无此项支出。单位全年安排的因公出国（境）团组0个，因公出国（境）0人次。</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公务用车购置及运行维护费1.30万元，其中，公务用车购置费0万元，公务用车运行维护费1.30万元。公务用车运行维护费开支内容包括车辆保险费、汽车油料、过路费、维修费等等。公务用车购置数0辆，公务用车保有量2辆。</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公务接待费0万元，开支内容包括预算未安排，无此项支出。单位全年安排的国内公务接待0批次，0人次。</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与年初预算数相比情况：一般公共预算“三公”经费支出年初预算数1.30万元，决算数1.30万元，预决算差异率0%，主要原因是：严格按照预算安排执行，无差异。其中：</w:t>
      </w:r>
      <w:r>
        <w:rPr>
          <w:rFonts w:ascii="仿宋_GB2312" w:eastAsia="仿宋_GB2312" w:hAnsi="仿宋_GB2312" w:cs="仿宋_GB2312"/>
          <w:sz w:val="32"/>
        </w:rPr>
        <w:lastRenderedPageBreak/>
        <w:t>因公出国（境）费预算数0万元，决算数0万元，预决算差异率0%，主要原因是：预算未安排，无此项支出；公务用车购置费预算数0万元，决算数0万元，预决算差异率0%，主要原因是：预算未安排，无此项支出；公务用车运行费预算数1.30万元，决算数1.30万元，预决算差异率0%，主要原因是：严格按照预算安排执行，无差异；公务接待费预算数0万元，决算数0万元，预决算差异率0%，主要原因是：预算未安排，无此项支出。</w:t>
      </w:r>
    </w:p>
    <w:p w:rsidR="008853A8" w:rsidRDefault="008853A8">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rsidR="008853A8" w:rsidRPr="008F7D99" w:rsidRDefault="00922FA7">
      <w:pPr>
        <w:ind w:firstLineChars="200" w:firstLine="640"/>
        <w:rPr>
          <w:rFonts w:ascii="仿宋_GB2312" w:eastAsia="仿宋_GB2312"/>
          <w:color w:val="000000" w:themeColor="text1"/>
          <w:sz w:val="32"/>
          <w:szCs w:val="32"/>
        </w:rPr>
      </w:pPr>
      <w:r>
        <w:rPr>
          <w:rFonts w:ascii="仿宋_GB2312" w:eastAsia="仿宋_GB2312" w:hAnsi="仿宋_GB2312" w:cs="仿宋_GB2312"/>
          <w:sz w:val="32"/>
        </w:rPr>
        <w:t>我单位本年度无政府性基金预算财政拨款收入支出，政府性基金预算财政拨款收入支出决算表为空表。</w:t>
      </w:r>
    </w:p>
    <w:p w:rsidR="008853A8" w:rsidRDefault="008853A8">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rsidR="008853A8" w:rsidRDefault="008853A8">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rsidR="00553FB5" w:rsidRDefault="00553FB5">
      <w:pPr>
        <w:ind w:firstLineChars="200" w:firstLine="640"/>
        <w:rPr>
          <w:rFonts w:ascii="仿宋_GB2312" w:eastAsia="仿宋_GB2312"/>
          <w:sz w:val="32"/>
          <w:szCs w:val="32"/>
        </w:rPr>
      </w:pPr>
      <w:r>
        <w:rPr>
          <w:rFonts w:ascii="仿宋_GB2312" w:eastAsia="仿宋_GB2312" w:hAnsi="仿宋_GB2312" w:cs="仿宋_GB2312"/>
          <w:sz w:val="32"/>
        </w:rPr>
        <w:t>新疆农业广播电视学校喀什地区分校日常公用经费5.83万元，比上年增加2.29万元，增长64.69%，主要原因是新购买固定资产条形码设备；民族团结关爱等支出增加。</w:t>
      </w:r>
    </w:p>
    <w:p w:rsidR="008853A8" w:rsidRDefault="008853A8">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rsidR="008853A8" w:rsidRDefault="002122DE">
      <w:pPr>
        <w:ind w:firstLineChars="200" w:firstLine="640"/>
        <w:rPr>
          <w:rFonts w:ascii="仿宋_GB2312" w:eastAsia="仿宋_GB2312"/>
          <w:sz w:val="32"/>
          <w:szCs w:val="32"/>
        </w:rPr>
      </w:pPr>
      <w:r>
        <w:rPr>
          <w:rFonts w:ascii="仿宋_GB2312" w:eastAsia="仿宋_GB2312" w:hAnsi="仿宋_GB2312" w:cs="仿宋_GB2312"/>
          <w:sz w:val="32"/>
        </w:rPr>
        <w:t>2019年度政府采购支出总额1.33万元，其中：政府采购货物支出1万元、政府采购工程支出0万元、政府采购服务支出0.33万元。</w:t>
      </w:r>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授予中小企业合同金额1.33万元，占政府采购支出总额的100%，其中：授予小微企业合同金额1.33万元，占政</w:t>
      </w:r>
      <w:r>
        <w:rPr>
          <w:rFonts w:ascii="仿宋_GB2312" w:eastAsia="仿宋_GB2312" w:hAnsi="仿宋_GB2312" w:cs="仿宋_GB2312"/>
          <w:sz w:val="32"/>
        </w:rPr>
        <w:lastRenderedPageBreak/>
        <w:t>府采购支出总额的100%。</w:t>
      </w:r>
    </w:p>
    <w:p w:rsidR="008853A8" w:rsidRDefault="008853A8">
      <w:pPr>
        <w:ind w:firstLineChars="200" w:firstLine="640"/>
        <w:outlineLvl w:val="2"/>
        <w:rPr>
          <w:rFonts w:ascii="黑体" w:eastAsia="黑体" w:hAnsi="黑体"/>
          <w:sz w:val="32"/>
          <w:szCs w:val="32"/>
        </w:rPr>
      </w:pPr>
      <w:bookmarkStart w:id="30" w:name="_Toc4591"/>
      <w:bookmarkStart w:id="31" w:name="_Toc8391"/>
      <w:r>
        <w:rPr>
          <w:rFonts w:ascii="黑体" w:eastAsia="黑体" w:hAnsi="黑体" w:hint="eastAsia"/>
          <w:sz w:val="32"/>
          <w:szCs w:val="32"/>
        </w:rPr>
        <w:t>（三）国有资产占用情况说明</w:t>
      </w:r>
      <w:bookmarkEnd w:id="30"/>
      <w:bookmarkEnd w:id="31"/>
    </w:p>
    <w:p w:rsidR="008853A8" w:rsidRDefault="008853A8">
      <w:pPr>
        <w:ind w:firstLineChars="200" w:firstLine="640"/>
        <w:rPr>
          <w:rFonts w:ascii="仿宋_GB2312" w:eastAsia="仿宋_GB2312"/>
          <w:sz w:val="32"/>
          <w:szCs w:val="32"/>
        </w:rPr>
      </w:pPr>
      <w:r>
        <w:rPr>
          <w:rFonts w:ascii="仿宋_GB2312" w:eastAsia="仿宋_GB2312" w:hAnsi="仿宋_GB2312" w:cs="仿宋_GB2312"/>
          <w:sz w:val="32"/>
        </w:rPr>
        <w:t>截止2019年12月31日，单位共有房屋0（平方米），价值0万元。车辆2辆，价值32.09万元，其中：副部（省）级及以上领导用车0辆、主要领导干部用车0辆、机要通信用车0辆、应急保障用车0辆、执法执勤用车0辆、特种专业技术用车0辆、离退休干部用车0辆、其他用车2辆，其他用车主要是：一般公务用车；单位价值50万元以上通用设备0台（套）、单位价值100万元以上专用设备0台（套）。</w:t>
      </w:r>
    </w:p>
    <w:p w:rsidR="008853A8" w:rsidRDefault="008853A8">
      <w:pPr>
        <w:ind w:firstLineChars="200" w:firstLine="640"/>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t>十、预算绩效的情况说明</w:t>
      </w:r>
      <w:bookmarkEnd w:id="32"/>
      <w:bookmarkEnd w:id="33"/>
    </w:p>
    <w:p w:rsidR="00BF4D17" w:rsidRDefault="00F311C1" w:rsidP="00BF4D17">
      <w:pPr>
        <w:ind w:firstLineChars="200" w:firstLine="640"/>
        <w:rPr>
          <w:rFonts w:ascii="仿宋_GB2312" w:eastAsia="仿宋_GB2312" w:hAnsi="仿宋_GB2312" w:cs="仿宋_GB2312" w:hint="eastAsia"/>
          <w:sz w:val="32"/>
        </w:rPr>
      </w:pPr>
      <w:r w:rsidRPr="00F311C1">
        <w:rPr>
          <w:rFonts w:ascii="仿宋_GB2312" w:eastAsia="仿宋_GB2312" w:hAnsi="仿宋_GB2312" w:cs="仿宋_GB2312" w:hint="eastAsia"/>
          <w:sz w:val="32"/>
        </w:rPr>
        <w:t>根据预算绩效管理要求，我单位</w:t>
      </w:r>
      <w:r>
        <w:rPr>
          <w:rFonts w:ascii="仿宋_GB2312" w:eastAsia="仿宋_GB2312" w:hAnsi="仿宋_GB2312" w:cs="仿宋_GB2312" w:hint="eastAsia"/>
          <w:sz w:val="32"/>
        </w:rPr>
        <w:t>2019</w:t>
      </w:r>
      <w:r w:rsidRPr="00F311C1">
        <w:rPr>
          <w:rFonts w:ascii="仿宋_GB2312" w:eastAsia="仿宋_GB2312" w:hAnsi="仿宋_GB2312" w:cs="仿宋_GB2312" w:hint="eastAsia"/>
          <w:sz w:val="32"/>
        </w:rPr>
        <w:t>年度开展预算绩效评价项目</w:t>
      </w:r>
      <w:r>
        <w:rPr>
          <w:rFonts w:ascii="仿宋_GB2312" w:eastAsia="仿宋_GB2312" w:hAnsi="仿宋_GB2312" w:cs="仿宋_GB2312" w:hint="eastAsia"/>
          <w:sz w:val="32"/>
        </w:rPr>
        <w:t>0</w:t>
      </w:r>
      <w:r w:rsidRPr="00F311C1">
        <w:rPr>
          <w:rFonts w:ascii="仿宋_GB2312" w:eastAsia="仿宋_GB2312" w:hAnsi="仿宋_GB2312" w:cs="仿宋_GB2312" w:hint="eastAsia"/>
          <w:sz w:val="32"/>
        </w:rPr>
        <w:t>个，共涉及资金</w:t>
      </w:r>
      <w:r>
        <w:rPr>
          <w:rFonts w:ascii="仿宋_GB2312" w:eastAsia="仿宋_GB2312" w:hAnsi="仿宋_GB2312" w:cs="仿宋_GB2312" w:hint="eastAsia"/>
          <w:sz w:val="32"/>
        </w:rPr>
        <w:t>0</w:t>
      </w:r>
      <w:r w:rsidRPr="00F311C1">
        <w:rPr>
          <w:rFonts w:ascii="仿宋_GB2312" w:eastAsia="仿宋_GB2312" w:hAnsi="仿宋_GB2312" w:cs="仿宋_GB2312" w:hint="eastAsia"/>
          <w:sz w:val="32"/>
        </w:rPr>
        <w:t>万元。</w:t>
      </w:r>
      <w:bookmarkStart w:id="34" w:name="_Toc24143"/>
      <w:bookmarkStart w:id="35" w:name="_Toc3250"/>
      <w:r w:rsidR="00BF4D17">
        <w:rPr>
          <w:rFonts w:ascii="仿宋_GB2312" w:eastAsia="仿宋_GB2312" w:hAnsi="仿宋_GB2312" w:cs="仿宋_GB2312" w:hint="eastAsia"/>
          <w:sz w:val="32"/>
        </w:rPr>
        <w:t>预算绩效管理取得的成效：无。发现的问题及原因：无。下一步改进措施：无。本单位无有关预算绩效管理和绩效自评开展情况。</w:t>
      </w:r>
      <w:bookmarkStart w:id="36" w:name="_GoBack"/>
      <w:bookmarkEnd w:id="36"/>
    </w:p>
    <w:p w:rsidR="008853A8" w:rsidRDefault="008853A8" w:rsidP="00BF4D17">
      <w:pPr>
        <w:ind w:firstLineChars="200" w:firstLine="640"/>
        <w:rPr>
          <w:rFonts w:ascii="黑体" w:eastAsia="黑体" w:hAnsi="黑体"/>
          <w:sz w:val="32"/>
          <w:szCs w:val="32"/>
        </w:rPr>
      </w:pPr>
      <w:r>
        <w:rPr>
          <w:rFonts w:ascii="黑体" w:eastAsia="黑体" w:hAnsi="黑体" w:hint="eastAsia"/>
          <w:sz w:val="32"/>
          <w:szCs w:val="32"/>
        </w:rPr>
        <w:t>第三部分 专业名词解释</w:t>
      </w:r>
      <w:bookmarkEnd w:id="34"/>
      <w:bookmarkEnd w:id="35"/>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lastRenderedPageBreak/>
        <w:t>附属单位上缴收入：指事业单位附属的独立核算单位按有关规定上缴的收入。</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lastRenderedPageBreak/>
        <w:t>经营支出：指事业单位在专业业务活动及其辅助活动之外开展非独立核算经营活动发生的支出。</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8853A8" w:rsidRDefault="008853A8">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8853A8" w:rsidRDefault="008853A8">
      <w:pPr>
        <w:ind w:firstLineChars="200" w:firstLine="640"/>
        <w:jc w:val="center"/>
        <w:outlineLvl w:val="0"/>
        <w:rPr>
          <w:rFonts w:ascii="黑体" w:eastAsia="黑体" w:hAnsi="黑体"/>
          <w:sz w:val="32"/>
          <w:szCs w:val="32"/>
        </w:rPr>
      </w:pPr>
      <w:bookmarkStart w:id="37" w:name="_Toc28903"/>
      <w:bookmarkStart w:id="38" w:name="_Toc22784"/>
      <w:r>
        <w:rPr>
          <w:rFonts w:ascii="黑体" w:eastAsia="黑体" w:hAnsi="黑体" w:hint="eastAsia"/>
          <w:sz w:val="32"/>
          <w:szCs w:val="32"/>
        </w:rPr>
        <w:t>第四部分 部门决算报表（见附表）</w:t>
      </w:r>
      <w:bookmarkEnd w:id="37"/>
      <w:bookmarkEnd w:id="38"/>
    </w:p>
    <w:p w:rsidR="008853A8" w:rsidRDefault="008853A8">
      <w:pPr>
        <w:ind w:firstLineChars="200" w:firstLine="640"/>
        <w:outlineLvl w:val="1"/>
        <w:rPr>
          <w:rFonts w:ascii="黑体" w:eastAsia="黑体" w:hAnsi="黑体" w:cs="宋体"/>
          <w:bCs/>
          <w:kern w:val="0"/>
          <w:sz w:val="32"/>
          <w:szCs w:val="32"/>
        </w:rPr>
      </w:pPr>
      <w:bookmarkStart w:id="39" w:name="_Toc6062"/>
      <w:bookmarkStart w:id="40" w:name="_Toc2183"/>
      <w:r>
        <w:rPr>
          <w:rFonts w:ascii="黑体" w:eastAsia="黑体" w:hAnsi="黑体" w:cs="宋体" w:hint="eastAsia"/>
          <w:bCs/>
          <w:kern w:val="0"/>
          <w:sz w:val="32"/>
          <w:szCs w:val="32"/>
        </w:rPr>
        <w:t>一、《收入支出决算总表》</w:t>
      </w:r>
      <w:bookmarkEnd w:id="39"/>
      <w:bookmarkEnd w:id="40"/>
    </w:p>
    <w:p w:rsidR="008853A8" w:rsidRDefault="008853A8">
      <w:pPr>
        <w:ind w:firstLineChars="200" w:firstLine="640"/>
        <w:outlineLvl w:val="1"/>
        <w:rPr>
          <w:rFonts w:ascii="黑体" w:eastAsia="黑体" w:hAnsi="黑体" w:cs="宋体"/>
          <w:bCs/>
          <w:kern w:val="0"/>
          <w:sz w:val="32"/>
          <w:szCs w:val="32"/>
        </w:rPr>
      </w:pPr>
      <w:bookmarkStart w:id="41" w:name="_Toc30364"/>
      <w:bookmarkStart w:id="42" w:name="_Toc24532"/>
      <w:r>
        <w:rPr>
          <w:rFonts w:ascii="黑体" w:eastAsia="黑体" w:hAnsi="黑体" w:cs="宋体" w:hint="eastAsia"/>
          <w:bCs/>
          <w:kern w:val="0"/>
          <w:sz w:val="32"/>
          <w:szCs w:val="32"/>
        </w:rPr>
        <w:t>二、《收入决算表》</w:t>
      </w:r>
      <w:bookmarkEnd w:id="41"/>
      <w:bookmarkEnd w:id="42"/>
    </w:p>
    <w:p w:rsidR="008853A8" w:rsidRDefault="008853A8">
      <w:pPr>
        <w:ind w:firstLineChars="200" w:firstLine="640"/>
        <w:outlineLvl w:val="1"/>
        <w:rPr>
          <w:rFonts w:ascii="黑体" w:eastAsia="黑体" w:hAnsi="黑体" w:cs="宋体"/>
          <w:bCs/>
          <w:kern w:val="0"/>
          <w:sz w:val="32"/>
          <w:szCs w:val="32"/>
        </w:rPr>
      </w:pPr>
      <w:bookmarkStart w:id="43" w:name="_Toc21304"/>
      <w:bookmarkStart w:id="44" w:name="_Toc32434"/>
      <w:r>
        <w:rPr>
          <w:rFonts w:ascii="黑体" w:eastAsia="黑体" w:hAnsi="黑体" w:cs="宋体" w:hint="eastAsia"/>
          <w:bCs/>
          <w:kern w:val="0"/>
          <w:sz w:val="32"/>
          <w:szCs w:val="32"/>
        </w:rPr>
        <w:t>三、《支出决算表》</w:t>
      </w:r>
      <w:bookmarkEnd w:id="43"/>
      <w:bookmarkEnd w:id="44"/>
    </w:p>
    <w:p w:rsidR="008853A8" w:rsidRDefault="008853A8">
      <w:pPr>
        <w:ind w:firstLineChars="200" w:firstLine="640"/>
        <w:outlineLvl w:val="1"/>
        <w:rPr>
          <w:rFonts w:ascii="黑体" w:eastAsia="黑体" w:hAnsi="黑体" w:cs="宋体"/>
          <w:bCs/>
          <w:kern w:val="0"/>
          <w:sz w:val="32"/>
          <w:szCs w:val="32"/>
        </w:rPr>
      </w:pPr>
      <w:bookmarkStart w:id="45" w:name="_Toc14238"/>
      <w:bookmarkStart w:id="46" w:name="_Toc28786"/>
      <w:r>
        <w:rPr>
          <w:rFonts w:ascii="黑体" w:eastAsia="黑体" w:hAnsi="黑体" w:cs="宋体" w:hint="eastAsia"/>
          <w:bCs/>
          <w:kern w:val="0"/>
          <w:sz w:val="32"/>
          <w:szCs w:val="32"/>
        </w:rPr>
        <w:t>四、《财政拨款收入支出决算总表》</w:t>
      </w:r>
      <w:bookmarkEnd w:id="45"/>
      <w:bookmarkEnd w:id="46"/>
    </w:p>
    <w:p w:rsidR="008853A8" w:rsidRDefault="008853A8">
      <w:pPr>
        <w:ind w:firstLineChars="200" w:firstLine="640"/>
        <w:outlineLvl w:val="1"/>
        <w:rPr>
          <w:rFonts w:ascii="黑体" w:eastAsia="黑体" w:hAnsi="黑体" w:cs="宋体"/>
          <w:bCs/>
          <w:kern w:val="0"/>
          <w:sz w:val="32"/>
          <w:szCs w:val="32"/>
        </w:rPr>
      </w:pPr>
      <w:bookmarkStart w:id="47" w:name="_Toc10347"/>
      <w:bookmarkStart w:id="48" w:name="_Toc14869"/>
      <w:r>
        <w:rPr>
          <w:rFonts w:ascii="黑体" w:eastAsia="黑体" w:hAnsi="黑体" w:cs="宋体" w:hint="eastAsia"/>
          <w:bCs/>
          <w:kern w:val="0"/>
          <w:sz w:val="32"/>
          <w:szCs w:val="32"/>
        </w:rPr>
        <w:lastRenderedPageBreak/>
        <w:t>五、《一般公共预算财政拨款支出决算表》</w:t>
      </w:r>
      <w:bookmarkEnd w:id="47"/>
      <w:bookmarkEnd w:id="48"/>
    </w:p>
    <w:p w:rsidR="008853A8" w:rsidRDefault="008853A8">
      <w:pPr>
        <w:ind w:firstLineChars="200" w:firstLine="640"/>
        <w:outlineLvl w:val="1"/>
        <w:rPr>
          <w:rFonts w:ascii="黑体" w:eastAsia="黑体" w:hAnsi="黑体" w:cs="宋体"/>
          <w:bCs/>
          <w:kern w:val="0"/>
          <w:sz w:val="32"/>
          <w:szCs w:val="32"/>
        </w:rPr>
      </w:pPr>
      <w:bookmarkStart w:id="49" w:name="_Toc5626"/>
      <w:bookmarkStart w:id="50" w:name="_Toc8884"/>
      <w:r>
        <w:rPr>
          <w:rFonts w:ascii="黑体" w:eastAsia="黑体" w:hAnsi="黑体" w:cs="宋体" w:hint="eastAsia"/>
          <w:bCs/>
          <w:kern w:val="0"/>
          <w:sz w:val="32"/>
          <w:szCs w:val="32"/>
        </w:rPr>
        <w:t>六、《一般公共预算财政拨款基本支出决算表》</w:t>
      </w:r>
      <w:bookmarkEnd w:id="49"/>
      <w:bookmarkEnd w:id="50"/>
    </w:p>
    <w:p w:rsidR="008853A8" w:rsidRDefault="008853A8">
      <w:pPr>
        <w:ind w:firstLineChars="200" w:firstLine="640"/>
        <w:outlineLvl w:val="1"/>
        <w:rPr>
          <w:rFonts w:ascii="黑体" w:eastAsia="黑体" w:hAnsi="黑体" w:cs="宋体"/>
          <w:bCs/>
          <w:kern w:val="0"/>
          <w:sz w:val="32"/>
          <w:szCs w:val="32"/>
        </w:rPr>
      </w:pPr>
      <w:bookmarkStart w:id="51" w:name="_Toc32663"/>
      <w:bookmarkStart w:id="52" w:name="_Toc29106"/>
      <w:r>
        <w:rPr>
          <w:rFonts w:ascii="黑体" w:eastAsia="黑体" w:hAnsi="黑体" w:cs="宋体" w:hint="eastAsia"/>
          <w:bCs/>
          <w:kern w:val="0"/>
          <w:sz w:val="32"/>
          <w:szCs w:val="32"/>
        </w:rPr>
        <w:t>七、《一般公共预算财政拨款“三公”经费支出决算表》</w:t>
      </w:r>
      <w:bookmarkEnd w:id="51"/>
      <w:bookmarkEnd w:id="52"/>
    </w:p>
    <w:p w:rsidR="008853A8" w:rsidRDefault="008853A8">
      <w:pPr>
        <w:ind w:firstLineChars="200" w:firstLine="640"/>
        <w:outlineLvl w:val="1"/>
        <w:rPr>
          <w:rFonts w:ascii="黑体" w:eastAsia="黑体" w:hAnsi="黑体" w:cs="宋体"/>
          <w:bCs/>
          <w:kern w:val="0"/>
          <w:sz w:val="32"/>
          <w:szCs w:val="32"/>
        </w:rPr>
      </w:pPr>
      <w:bookmarkStart w:id="53" w:name="_Toc5453"/>
      <w:bookmarkStart w:id="54" w:name="_Toc7643"/>
      <w:r>
        <w:rPr>
          <w:rFonts w:ascii="黑体" w:eastAsia="黑体" w:hAnsi="黑体" w:cs="宋体" w:hint="eastAsia"/>
          <w:bCs/>
          <w:kern w:val="0"/>
          <w:sz w:val="32"/>
          <w:szCs w:val="32"/>
        </w:rPr>
        <w:t>八、《政府性基金预算财政拨款收入支出决算表》</w:t>
      </w:r>
      <w:bookmarkEnd w:id="53"/>
      <w:bookmarkEnd w:id="54"/>
    </w:p>
    <w:sectPr w:rsidR="008853A8" w:rsidSect="00404E79">
      <w:footerReference w:type="default" r:id="rId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2E42" w:rsidRDefault="00532E42">
      <w:r>
        <w:separator/>
      </w:r>
    </w:p>
  </w:endnote>
  <w:endnote w:type="continuationSeparator" w:id="0">
    <w:p w:rsidR="00532E42" w:rsidRDefault="00532E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fixed"/>
    <w:sig w:usb0="00000001" w:usb1="080E0000" w:usb2="00000010" w:usb3="00000000" w:csb0="00040000" w:csb1="00000000"/>
  </w:font>
  <w:font w:name="等线 Light">
    <w:altName w:val="Arial Unicode MS"/>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3A8" w:rsidRDefault="00617770">
    <w:pPr>
      <w:pStyle w:val="a4"/>
    </w:pPr>
    <w:r>
      <w:rPr>
        <w:noProof/>
      </w:rPr>
      <w:pict>
        <v:shapetype id="_x0000_t202" coordsize="21600,21600" o:spt="202" path="m,l,21600r21600,l21600,xe">
          <v:stroke joinstyle="miter"/>
          <v:path gradientshapeok="t" o:connecttype="rect"/>
        </v:shapetype>
        <v:shape id="文本框 1" o:spid="_x0000_s4097" type="#_x0000_t202" style="position:absolute;margin-left:0;margin-top:0;width:2in;height:2in;z-index:251657728;visibility:visible;mso-wrap-style:none;mso-position-horizontal:center;mso-position-horizontal-relative:margin" filled="f" stroked="f">
          <v:textbox style="mso-fit-shape-to-text:t" inset="0,0,0,0">
            <w:txbxContent>
              <w:p w:rsidR="008853A8" w:rsidRDefault="00404E79">
                <w:pPr>
                  <w:pStyle w:val="a4"/>
                </w:pPr>
                <w:r>
                  <w:rPr>
                    <w:rFonts w:hint="eastAsia"/>
                  </w:rPr>
                  <w:fldChar w:fldCharType="begin"/>
                </w:r>
                <w:r w:rsidR="008853A8">
                  <w:rPr>
                    <w:rFonts w:hint="eastAsia"/>
                  </w:rPr>
                  <w:instrText xml:space="preserve"> PAGE  \* MERGEFORMAT </w:instrText>
                </w:r>
                <w:r>
                  <w:rPr>
                    <w:rFonts w:hint="eastAsia"/>
                  </w:rPr>
                  <w:fldChar w:fldCharType="separate"/>
                </w:r>
                <w:r w:rsidR="00617770">
                  <w:rPr>
                    <w:noProof/>
                  </w:rPr>
                  <w:t>9</w:t>
                </w:r>
                <w:r>
                  <w:rPr>
                    <w:rFonts w:hint="eastAsia"/>
                  </w:rP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2E42" w:rsidRDefault="00532E42">
      <w:r>
        <w:separator/>
      </w:r>
    </w:p>
  </w:footnote>
  <w:footnote w:type="continuationSeparator" w:id="0">
    <w:p w:rsidR="00532E42" w:rsidRDefault="00532E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cumentProtection w:edit="comments" w:enforcement="1" w:cryptProviderType="rsaFull" w:cryptAlgorithmClass="hash" w:cryptAlgorithmType="typeAny" w:cryptAlgorithmSid="4" w:cryptSpinCount="50000" w:hash="/rQPvK5k5xcNrRVpAurzUntEBh4=" w:salt="ASDGFf/raGfeUBXM1SsxRA=="/>
  <w:defaultTabStop w:val="420"/>
  <w:drawingGridVerticalSpacing w:val="156"/>
  <w:displayHorizontalDrawingGridEvery w:val="0"/>
  <w:displayVerticalDrawingGridEvery w:val="2"/>
  <w:characterSpacingControl w:val="compressPunctuation"/>
  <w:hdrShapeDefaults>
    <o:shapedefaults v:ext="edit" spidmax="4099"/>
    <o:shapelayout v:ext="edit">
      <o:idmap v:ext="edit" data="4"/>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04E79"/>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2E42"/>
    <w:rsid w:val="00534ECA"/>
    <w:rsid w:val="005358C2"/>
    <w:rsid w:val="005474EB"/>
    <w:rsid w:val="005506DD"/>
    <w:rsid w:val="005529D0"/>
    <w:rsid w:val="00553FB5"/>
    <w:rsid w:val="00554A58"/>
    <w:rsid w:val="00560394"/>
    <w:rsid w:val="0056525F"/>
    <w:rsid w:val="005B1DE6"/>
    <w:rsid w:val="005C11EB"/>
    <w:rsid w:val="006032AE"/>
    <w:rsid w:val="00617770"/>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B4B06"/>
    <w:rsid w:val="00AC0B18"/>
    <w:rsid w:val="00AC1D87"/>
    <w:rsid w:val="00AC2605"/>
    <w:rsid w:val="00AE136F"/>
    <w:rsid w:val="00AE6C82"/>
    <w:rsid w:val="00AE7A56"/>
    <w:rsid w:val="00AF0871"/>
    <w:rsid w:val="00AF530E"/>
    <w:rsid w:val="00AF5DFE"/>
    <w:rsid w:val="00B006E5"/>
    <w:rsid w:val="00B03EC4"/>
    <w:rsid w:val="00B24234"/>
    <w:rsid w:val="00B3219F"/>
    <w:rsid w:val="00B42062"/>
    <w:rsid w:val="00B64D13"/>
    <w:rsid w:val="00B76725"/>
    <w:rsid w:val="00BC38D2"/>
    <w:rsid w:val="00BC65E4"/>
    <w:rsid w:val="00BE0A9F"/>
    <w:rsid w:val="00BF4880"/>
    <w:rsid w:val="00BF4D17"/>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43F43"/>
    <w:rsid w:val="00E76594"/>
    <w:rsid w:val="00EB1FF2"/>
    <w:rsid w:val="00EB42AF"/>
    <w:rsid w:val="00EB49C8"/>
    <w:rsid w:val="00EE3598"/>
    <w:rsid w:val="00EE791B"/>
    <w:rsid w:val="00F040C7"/>
    <w:rsid w:val="00F04DC0"/>
    <w:rsid w:val="00F24BA1"/>
    <w:rsid w:val="00F311C1"/>
    <w:rsid w:val="00F45607"/>
    <w:rsid w:val="00F552F7"/>
    <w:rsid w:val="00F57EE2"/>
    <w:rsid w:val="00F67C07"/>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04E7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toc 2"/>
    <w:basedOn w:val="a"/>
    <w:next w:val="a"/>
    <w:rsid w:val="00404E79"/>
    <w:pPr>
      <w:ind w:leftChars="200" w:left="420"/>
    </w:pPr>
  </w:style>
  <w:style w:type="paragraph" w:styleId="1">
    <w:name w:val="toc 1"/>
    <w:basedOn w:val="a"/>
    <w:next w:val="a"/>
    <w:rsid w:val="00404E79"/>
  </w:style>
  <w:style w:type="paragraph" w:styleId="a3">
    <w:name w:val="header"/>
    <w:basedOn w:val="a"/>
    <w:rsid w:val="00404E7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3">
    <w:name w:val="toc 3"/>
    <w:basedOn w:val="a"/>
    <w:next w:val="a"/>
    <w:rsid w:val="00404E79"/>
    <w:pPr>
      <w:ind w:leftChars="400" w:left="840"/>
    </w:pPr>
  </w:style>
  <w:style w:type="paragraph" w:styleId="a4">
    <w:name w:val="footer"/>
    <w:basedOn w:val="a"/>
    <w:rsid w:val="00404E79"/>
    <w:pPr>
      <w:tabs>
        <w:tab w:val="center" w:pos="4153"/>
        <w:tab w:val="right" w:pos="8306"/>
      </w:tabs>
      <w:snapToGrid w:val="0"/>
      <w:jc w:val="left"/>
    </w:pPr>
    <w:rPr>
      <w:sz w:val="18"/>
    </w:rPr>
  </w:style>
  <w:style w:type="paragraph" w:styleId="a5">
    <w:name w:val="annotation text"/>
    <w:basedOn w:val="a"/>
    <w:rsid w:val="00404E79"/>
    <w:pPr>
      <w:jc w:val="left"/>
    </w:pPr>
  </w:style>
  <w:style w:type="paragraph" w:customStyle="1" w:styleId="WPSOffice3">
    <w:name w:val="WPSOffice手动目录 3"/>
    <w:rsid w:val="00404E79"/>
    <w:pPr>
      <w:ind w:leftChars="400" w:left="400"/>
    </w:pPr>
  </w:style>
  <w:style w:type="paragraph" w:customStyle="1" w:styleId="WPSOffice2">
    <w:name w:val="WPSOffice手动目录 2"/>
    <w:rsid w:val="00404E79"/>
    <w:pPr>
      <w:ind w:leftChars="200" w:left="200"/>
    </w:pPr>
  </w:style>
  <w:style w:type="paragraph" w:customStyle="1" w:styleId="WPSOffice1">
    <w:name w:val="WPSOffice手动目录 1"/>
    <w:rsid w:val="00404E7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7381100">
      <w:bodyDiv w:val="1"/>
      <w:marLeft w:val="0"/>
      <w:marRight w:val="0"/>
      <w:marTop w:val="0"/>
      <w:marBottom w:val="0"/>
      <w:divBdr>
        <w:top w:val="none" w:sz="0" w:space="0" w:color="auto"/>
        <w:left w:val="none" w:sz="0" w:space="0" w:color="auto"/>
        <w:bottom w:val="none" w:sz="0" w:space="0" w:color="auto"/>
        <w:right w:val="none" w:sz="0" w:space="0" w:color="auto"/>
      </w:divBdr>
    </w:div>
    <w:div w:id="726150857">
      <w:bodyDiv w:val="1"/>
      <w:marLeft w:val="0"/>
      <w:marRight w:val="0"/>
      <w:marTop w:val="0"/>
      <w:marBottom w:val="0"/>
      <w:divBdr>
        <w:top w:val="none" w:sz="0" w:space="0" w:color="auto"/>
        <w:left w:val="none" w:sz="0" w:space="0" w:color="auto"/>
        <w:bottom w:val="none" w:sz="0" w:space="0" w:color="auto"/>
        <w:right w:val="none" w:sz="0" w:space="0" w:color="auto"/>
      </w:divBdr>
    </w:div>
    <w:div w:id="1085761621">
      <w:bodyDiv w:val="1"/>
      <w:marLeft w:val="0"/>
      <w:marRight w:val="0"/>
      <w:marTop w:val="0"/>
      <w:marBottom w:val="0"/>
      <w:divBdr>
        <w:top w:val="none" w:sz="0" w:space="0" w:color="auto"/>
        <w:left w:val="none" w:sz="0" w:space="0" w:color="auto"/>
        <w:bottom w:val="none" w:sz="0" w:space="0" w:color="auto"/>
        <w:right w:val="none" w:sz="0" w:space="0" w:color="auto"/>
      </w:divBdr>
    </w:div>
    <w:div w:id="1572694809">
      <w:bodyDiv w:val="1"/>
      <w:marLeft w:val="0"/>
      <w:marRight w:val="0"/>
      <w:marTop w:val="0"/>
      <w:marBottom w:val="0"/>
      <w:divBdr>
        <w:top w:val="none" w:sz="0" w:space="0" w:color="auto"/>
        <w:left w:val="none" w:sz="0" w:space="0" w:color="auto"/>
        <w:bottom w:val="none" w:sz="0" w:space="0" w:color="auto"/>
        <w:right w:val="none" w:sz="0" w:space="0" w:color="auto"/>
      </w:divBdr>
    </w:div>
    <w:div w:id="1814247851">
      <w:bodyDiv w:val="1"/>
      <w:marLeft w:val="0"/>
      <w:marRight w:val="0"/>
      <w:marTop w:val="0"/>
      <w:marBottom w:val="0"/>
      <w:divBdr>
        <w:top w:val="none" w:sz="0" w:space="0" w:color="auto"/>
        <w:left w:val="none" w:sz="0" w:space="0" w:color="auto"/>
        <w:bottom w:val="none" w:sz="0" w:space="0" w:color="auto"/>
        <w:right w:val="none" w:sz="0" w:space="0" w:color="auto"/>
      </w:divBdr>
    </w:div>
    <w:div w:id="1847329340">
      <w:bodyDiv w:val="1"/>
      <w:marLeft w:val="0"/>
      <w:marRight w:val="0"/>
      <w:marTop w:val="0"/>
      <w:marBottom w:val="0"/>
      <w:divBdr>
        <w:top w:val="none" w:sz="0" w:space="0" w:color="auto"/>
        <w:left w:val="none" w:sz="0" w:space="0" w:color="auto"/>
        <w:bottom w:val="none" w:sz="0" w:space="0" w:color="auto"/>
        <w:right w:val="none" w:sz="0" w:space="0" w:color="auto"/>
      </w:divBdr>
    </w:div>
    <w:div w:id="1919709360">
      <w:bodyDiv w:val="1"/>
      <w:marLeft w:val="0"/>
      <w:marRight w:val="0"/>
      <w:marTop w:val="0"/>
      <w:marBottom w:val="0"/>
      <w:divBdr>
        <w:top w:val="none" w:sz="0" w:space="0" w:color="auto"/>
        <w:left w:val="none" w:sz="0" w:space="0" w:color="auto"/>
        <w:bottom w:val="none" w:sz="0" w:space="0" w:color="auto"/>
        <w:right w:val="none" w:sz="0" w:space="0" w:color="auto"/>
      </w:divBdr>
    </w:div>
    <w:div w:id="2019891532">
      <w:bodyDiv w:val="1"/>
      <w:marLeft w:val="0"/>
      <w:marRight w:val="0"/>
      <w:marTop w:val="0"/>
      <w:marBottom w:val="0"/>
      <w:divBdr>
        <w:top w:val="none" w:sz="0" w:space="0" w:color="auto"/>
        <w:left w:val="none" w:sz="0" w:space="0" w:color="auto"/>
        <w:bottom w:val="none" w:sz="0" w:space="0" w:color="auto"/>
        <w:right w:val="none" w:sz="0" w:space="0" w:color="auto"/>
      </w:divBdr>
    </w:div>
    <w:div w:id="2102601509">
      <w:bodyDiv w:val="1"/>
      <w:marLeft w:val="0"/>
      <w:marRight w:val="0"/>
      <w:marTop w:val="0"/>
      <w:marBottom w:val="0"/>
      <w:divBdr>
        <w:top w:val="none" w:sz="0" w:space="0" w:color="auto"/>
        <w:left w:val="none" w:sz="0" w:space="0" w:color="auto"/>
        <w:bottom w:val="none" w:sz="0" w:space="0" w:color="auto"/>
        <w:right w:val="none" w:sz="0" w:space="0" w:color="auto"/>
      </w:divBdr>
    </w:div>
    <w:div w:id="210819305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12</Pages>
  <Words>4133</Words>
  <Characters>1238</Characters>
  <Application>Microsoft Office Word</Application>
  <DocSecurity>8</DocSecurity>
  <Lines>10</Lines>
  <Paragraphs>10</Paragraphs>
  <ScaleCrop>false</ScaleCrop>
  <Company/>
  <LinksUpToDate>false</LinksUpToDate>
  <CharactersWithSpaces>5361</CharactersWithSpaces>
  <SharedDoc>false</SharedDoc>
  <HLinks>
    <vt:vector size="162" baseType="variant">
      <vt:variant>
        <vt:i4>1179699</vt:i4>
      </vt:variant>
      <vt:variant>
        <vt:i4>80</vt:i4>
      </vt:variant>
      <vt:variant>
        <vt:i4>0</vt:i4>
      </vt:variant>
      <vt:variant>
        <vt:i4>5</vt:i4>
      </vt:variant>
      <vt:variant>
        <vt:lpwstr/>
      </vt:variant>
      <vt:variant>
        <vt:lpwstr>_Toc7643</vt:lpwstr>
      </vt:variant>
      <vt:variant>
        <vt:i4>1966131</vt:i4>
      </vt:variant>
      <vt:variant>
        <vt:i4>77</vt:i4>
      </vt:variant>
      <vt:variant>
        <vt:i4>0</vt:i4>
      </vt:variant>
      <vt:variant>
        <vt:i4>5</vt:i4>
      </vt:variant>
      <vt:variant>
        <vt:lpwstr/>
      </vt:variant>
      <vt:variant>
        <vt:lpwstr>_Toc29106</vt:lpwstr>
      </vt:variant>
      <vt:variant>
        <vt:i4>1769520</vt:i4>
      </vt:variant>
      <vt:variant>
        <vt:i4>74</vt:i4>
      </vt:variant>
      <vt:variant>
        <vt:i4>0</vt:i4>
      </vt:variant>
      <vt:variant>
        <vt:i4>5</vt:i4>
      </vt:variant>
      <vt:variant>
        <vt:lpwstr/>
      </vt:variant>
      <vt:variant>
        <vt:lpwstr>_Toc8884</vt:lpwstr>
      </vt:variant>
      <vt:variant>
        <vt:i4>1376313</vt:i4>
      </vt:variant>
      <vt:variant>
        <vt:i4>71</vt:i4>
      </vt:variant>
      <vt:variant>
        <vt:i4>0</vt:i4>
      </vt:variant>
      <vt:variant>
        <vt:i4>5</vt:i4>
      </vt:variant>
      <vt:variant>
        <vt:lpwstr/>
      </vt:variant>
      <vt:variant>
        <vt:lpwstr>_Toc14869</vt:lpwstr>
      </vt:variant>
      <vt:variant>
        <vt:i4>1507381</vt:i4>
      </vt:variant>
      <vt:variant>
        <vt:i4>68</vt:i4>
      </vt:variant>
      <vt:variant>
        <vt:i4>0</vt:i4>
      </vt:variant>
      <vt:variant>
        <vt:i4>5</vt:i4>
      </vt:variant>
      <vt:variant>
        <vt:lpwstr/>
      </vt:variant>
      <vt:variant>
        <vt:lpwstr>_Toc28786</vt:lpwstr>
      </vt:variant>
      <vt:variant>
        <vt:i4>1441847</vt:i4>
      </vt:variant>
      <vt:variant>
        <vt:i4>65</vt:i4>
      </vt:variant>
      <vt:variant>
        <vt:i4>0</vt:i4>
      </vt:variant>
      <vt:variant>
        <vt:i4>5</vt:i4>
      </vt:variant>
      <vt:variant>
        <vt:lpwstr/>
      </vt:variant>
      <vt:variant>
        <vt:lpwstr>_Toc32434</vt:lpwstr>
      </vt:variant>
      <vt:variant>
        <vt:i4>1048631</vt:i4>
      </vt:variant>
      <vt:variant>
        <vt:i4>62</vt:i4>
      </vt:variant>
      <vt:variant>
        <vt:i4>0</vt:i4>
      </vt:variant>
      <vt:variant>
        <vt:i4>5</vt:i4>
      </vt:variant>
      <vt:variant>
        <vt:lpwstr/>
      </vt:variant>
      <vt:variant>
        <vt:lpwstr>_Toc24532</vt:lpwstr>
      </vt:variant>
      <vt:variant>
        <vt:i4>1376314</vt:i4>
      </vt:variant>
      <vt:variant>
        <vt:i4>59</vt:i4>
      </vt:variant>
      <vt:variant>
        <vt:i4>0</vt:i4>
      </vt:variant>
      <vt:variant>
        <vt:i4>5</vt:i4>
      </vt:variant>
      <vt:variant>
        <vt:lpwstr/>
      </vt:variant>
      <vt:variant>
        <vt:lpwstr>_Toc2183</vt:lpwstr>
      </vt:variant>
      <vt:variant>
        <vt:i4>1900597</vt:i4>
      </vt:variant>
      <vt:variant>
        <vt:i4>56</vt:i4>
      </vt:variant>
      <vt:variant>
        <vt:i4>0</vt:i4>
      </vt:variant>
      <vt:variant>
        <vt:i4>5</vt:i4>
      </vt:variant>
      <vt:variant>
        <vt:lpwstr/>
      </vt:variant>
      <vt:variant>
        <vt:lpwstr>_Toc22784</vt:lpwstr>
      </vt:variant>
      <vt:variant>
        <vt:i4>1376310</vt:i4>
      </vt:variant>
      <vt:variant>
        <vt:i4>53</vt:i4>
      </vt:variant>
      <vt:variant>
        <vt:i4>0</vt:i4>
      </vt:variant>
      <vt:variant>
        <vt:i4>5</vt:i4>
      </vt:variant>
      <vt:variant>
        <vt:lpwstr/>
      </vt:variant>
      <vt:variant>
        <vt:lpwstr>_Toc3250</vt:lpwstr>
      </vt:variant>
      <vt:variant>
        <vt:i4>1966131</vt:i4>
      </vt:variant>
      <vt:variant>
        <vt:i4>50</vt:i4>
      </vt:variant>
      <vt:variant>
        <vt:i4>0</vt:i4>
      </vt:variant>
      <vt:variant>
        <vt:i4>5</vt:i4>
      </vt:variant>
      <vt:variant>
        <vt:lpwstr/>
      </vt:variant>
      <vt:variant>
        <vt:lpwstr>_Toc11283</vt:lpwstr>
      </vt:variant>
      <vt:variant>
        <vt:i4>1376305</vt:i4>
      </vt:variant>
      <vt:variant>
        <vt:i4>47</vt:i4>
      </vt:variant>
      <vt:variant>
        <vt:i4>0</vt:i4>
      </vt:variant>
      <vt:variant>
        <vt:i4>5</vt:i4>
      </vt:variant>
      <vt:variant>
        <vt:lpwstr/>
      </vt:variant>
      <vt:variant>
        <vt:lpwstr>_Toc8391</vt:lpwstr>
      </vt:variant>
      <vt:variant>
        <vt:i4>2424834</vt:i4>
      </vt:variant>
      <vt:variant>
        <vt:i4>44</vt:i4>
      </vt:variant>
      <vt:variant>
        <vt:i4>0</vt:i4>
      </vt:variant>
      <vt:variant>
        <vt:i4>5</vt:i4>
      </vt:variant>
      <vt:variant>
        <vt:lpwstr/>
      </vt:variant>
      <vt:variant>
        <vt:lpwstr>_Toc227</vt:lpwstr>
      </vt:variant>
      <vt:variant>
        <vt:i4>1179700</vt:i4>
      </vt:variant>
      <vt:variant>
        <vt:i4>41</vt:i4>
      </vt:variant>
      <vt:variant>
        <vt:i4>0</vt:i4>
      </vt:variant>
      <vt:variant>
        <vt:i4>5</vt:i4>
      </vt:variant>
      <vt:variant>
        <vt:lpwstr/>
      </vt:variant>
      <vt:variant>
        <vt:lpwstr>_Toc14519</vt:lpwstr>
      </vt:variant>
      <vt:variant>
        <vt:i4>1048626</vt:i4>
      </vt:variant>
      <vt:variant>
        <vt:i4>38</vt:i4>
      </vt:variant>
      <vt:variant>
        <vt:i4>0</vt:i4>
      </vt:variant>
      <vt:variant>
        <vt:i4>5</vt:i4>
      </vt:variant>
      <vt:variant>
        <vt:lpwstr/>
      </vt:variant>
      <vt:variant>
        <vt:lpwstr>_Toc1235</vt:lpwstr>
      </vt:variant>
      <vt:variant>
        <vt:i4>2031668</vt:i4>
      </vt:variant>
      <vt:variant>
        <vt:i4>35</vt:i4>
      </vt:variant>
      <vt:variant>
        <vt:i4>0</vt:i4>
      </vt:variant>
      <vt:variant>
        <vt:i4>5</vt:i4>
      </vt:variant>
      <vt:variant>
        <vt:lpwstr/>
      </vt:variant>
      <vt:variant>
        <vt:lpwstr>_Toc5810</vt:lpwstr>
      </vt:variant>
      <vt:variant>
        <vt:i4>1507383</vt:i4>
      </vt:variant>
      <vt:variant>
        <vt:i4>32</vt:i4>
      </vt:variant>
      <vt:variant>
        <vt:i4>0</vt:i4>
      </vt:variant>
      <vt:variant>
        <vt:i4>5</vt:i4>
      </vt:variant>
      <vt:variant>
        <vt:lpwstr/>
      </vt:variant>
      <vt:variant>
        <vt:lpwstr>_Toc21518</vt:lpwstr>
      </vt:variant>
      <vt:variant>
        <vt:i4>1048635</vt:i4>
      </vt:variant>
      <vt:variant>
        <vt:i4>29</vt:i4>
      </vt:variant>
      <vt:variant>
        <vt:i4>0</vt:i4>
      </vt:variant>
      <vt:variant>
        <vt:i4>5</vt:i4>
      </vt:variant>
      <vt:variant>
        <vt:lpwstr/>
      </vt:variant>
      <vt:variant>
        <vt:lpwstr>_Toc30870</vt:lpwstr>
      </vt:variant>
      <vt:variant>
        <vt:i4>1114161</vt:i4>
      </vt:variant>
      <vt:variant>
        <vt:i4>26</vt:i4>
      </vt:variant>
      <vt:variant>
        <vt:i4>0</vt:i4>
      </vt:variant>
      <vt:variant>
        <vt:i4>5</vt:i4>
      </vt:variant>
      <vt:variant>
        <vt:lpwstr/>
      </vt:variant>
      <vt:variant>
        <vt:lpwstr>_Toc20360</vt:lpwstr>
      </vt:variant>
      <vt:variant>
        <vt:i4>1507383</vt:i4>
      </vt:variant>
      <vt:variant>
        <vt:i4>23</vt:i4>
      </vt:variant>
      <vt:variant>
        <vt:i4>0</vt:i4>
      </vt:variant>
      <vt:variant>
        <vt:i4>5</vt:i4>
      </vt:variant>
      <vt:variant>
        <vt:lpwstr/>
      </vt:variant>
      <vt:variant>
        <vt:lpwstr>_Toc26564</vt:lpwstr>
      </vt:variant>
      <vt:variant>
        <vt:i4>1310771</vt:i4>
      </vt:variant>
      <vt:variant>
        <vt:i4>20</vt:i4>
      </vt:variant>
      <vt:variant>
        <vt:i4>0</vt:i4>
      </vt:variant>
      <vt:variant>
        <vt:i4>5</vt:i4>
      </vt:variant>
      <vt:variant>
        <vt:lpwstr/>
      </vt:variant>
      <vt:variant>
        <vt:lpwstr>_Toc13201</vt:lpwstr>
      </vt:variant>
      <vt:variant>
        <vt:i4>1114160</vt:i4>
      </vt:variant>
      <vt:variant>
        <vt:i4>17</vt:i4>
      </vt:variant>
      <vt:variant>
        <vt:i4>0</vt:i4>
      </vt:variant>
      <vt:variant>
        <vt:i4>5</vt:i4>
      </vt:variant>
      <vt:variant>
        <vt:lpwstr/>
      </vt:variant>
      <vt:variant>
        <vt:lpwstr>_Toc12142</vt:lpwstr>
      </vt:variant>
      <vt:variant>
        <vt:i4>1245233</vt:i4>
      </vt:variant>
      <vt:variant>
        <vt:i4>14</vt:i4>
      </vt:variant>
      <vt:variant>
        <vt:i4>0</vt:i4>
      </vt:variant>
      <vt:variant>
        <vt:i4>5</vt:i4>
      </vt:variant>
      <vt:variant>
        <vt:lpwstr/>
      </vt:variant>
      <vt:variant>
        <vt:lpwstr>_Toc25314</vt:lpwstr>
      </vt:variant>
      <vt:variant>
        <vt:i4>1638449</vt:i4>
      </vt:variant>
      <vt:variant>
        <vt:i4>11</vt:i4>
      </vt:variant>
      <vt:variant>
        <vt:i4>0</vt:i4>
      </vt:variant>
      <vt:variant>
        <vt:i4>5</vt:i4>
      </vt:variant>
      <vt:variant>
        <vt:lpwstr/>
      </vt:variant>
      <vt:variant>
        <vt:lpwstr>_Toc29374</vt:lpwstr>
      </vt:variant>
      <vt:variant>
        <vt:i4>1507383</vt:i4>
      </vt:variant>
      <vt:variant>
        <vt:i4>8</vt:i4>
      </vt:variant>
      <vt:variant>
        <vt:i4>0</vt:i4>
      </vt:variant>
      <vt:variant>
        <vt:i4>5</vt:i4>
      </vt:variant>
      <vt:variant>
        <vt:lpwstr/>
      </vt:variant>
      <vt:variant>
        <vt:lpwstr>_Toc2151</vt:lpwstr>
      </vt:variant>
      <vt:variant>
        <vt:i4>1114166</vt:i4>
      </vt:variant>
      <vt:variant>
        <vt:i4>5</vt:i4>
      </vt:variant>
      <vt:variant>
        <vt:i4>0</vt:i4>
      </vt:variant>
      <vt:variant>
        <vt:i4>5</vt:i4>
      </vt:variant>
      <vt:variant>
        <vt:lpwstr/>
      </vt:variant>
      <vt:variant>
        <vt:lpwstr>_Toc30567</vt:lpwstr>
      </vt:variant>
      <vt:variant>
        <vt:i4>1310768</vt:i4>
      </vt:variant>
      <vt:variant>
        <vt:i4>2</vt:i4>
      </vt:variant>
      <vt:variant>
        <vt:i4>0</vt:i4>
      </vt:variant>
      <vt:variant>
        <vt:i4>5</vt:i4>
      </vt:variant>
      <vt:variant>
        <vt:lpwstr/>
      </vt:variant>
      <vt:variant>
        <vt:lpwstr>_Toc32314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喀地财库-任雯</cp:lastModifiedBy>
  <cp:revision>17</cp:revision>
  <dcterms:created xsi:type="dcterms:W3CDTF">2020-09-08T14:04:00Z</dcterms:created>
  <dcterms:modified xsi:type="dcterms:W3CDTF">2020-10-29T09:13:00Z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