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853A8" w:rsidRDefault="008853A8">
      <w:pPr>
        <w:rPr>
          <w:rFonts w:ascii="黑体" w:eastAsia="黑体" w:hAnsi="黑体"/>
          <w:sz w:val="32"/>
          <w:szCs w:val="32"/>
        </w:rPr>
      </w:pPr>
      <w:r>
        <w:rPr>
          <w:rFonts w:ascii="黑体" w:eastAsia="黑体" w:hAnsi="黑体" w:hint="eastAsia"/>
          <w:sz w:val="32"/>
          <w:szCs w:val="32"/>
        </w:rPr>
        <w:t>附件：</w:t>
      </w:r>
    </w:p>
    <w:p w:rsidR="008853A8" w:rsidRDefault="008853A8">
      <w:pPr>
        <w:jc w:val="center"/>
        <w:rPr>
          <w:rFonts w:ascii="方正小标宋_GBK" w:eastAsia="方正小标宋_GBK" w:hAnsi="宋体"/>
          <w:sz w:val="44"/>
          <w:szCs w:val="44"/>
        </w:rPr>
      </w:pPr>
    </w:p>
    <w:p w:rsidR="008853A8" w:rsidRDefault="008853A8">
      <w:pPr>
        <w:jc w:val="center"/>
        <w:rPr>
          <w:rFonts w:ascii="方正小标宋_GBK" w:eastAsia="方正小标宋_GBK" w:hAnsi="宋体"/>
          <w:sz w:val="44"/>
          <w:szCs w:val="44"/>
        </w:rPr>
      </w:pPr>
    </w:p>
    <w:p w:rsidR="008853A8" w:rsidRDefault="008853A8">
      <w:pPr>
        <w:jc w:val="center"/>
        <w:rPr>
          <w:rFonts w:ascii="方正小标宋_GBK" w:eastAsia="方正小标宋_GBK" w:hAnsi="宋体"/>
          <w:sz w:val="44"/>
          <w:szCs w:val="44"/>
        </w:rPr>
      </w:pPr>
    </w:p>
    <w:p w:rsidR="008853A8" w:rsidRDefault="008853A8">
      <w:pPr>
        <w:jc w:val="center"/>
        <w:rPr>
          <w:rFonts w:ascii="方正小标宋_GBK" w:eastAsia="方正小标宋_GBK" w:hAnsi="宋体"/>
          <w:sz w:val="44"/>
          <w:szCs w:val="44"/>
        </w:rPr>
      </w:pPr>
    </w:p>
    <w:p w:rsidR="008853A8" w:rsidRDefault="00377EC6">
      <w:pPr>
        <w:jc w:val="center"/>
        <w:rPr>
          <w:rFonts w:ascii="方正小标宋_GBK" w:eastAsia="方正小标宋_GBK" w:hAnsi="宋体"/>
          <w:sz w:val="44"/>
          <w:szCs w:val="44"/>
        </w:rPr>
      </w:pPr>
      <w:r>
        <w:rPr>
          <w:rFonts w:ascii="方正小标宋_GBK" w:eastAsia="方正小标宋_GBK" w:hAnsi="方正小标宋_GBK" w:cs="方正小标宋_GBK"/>
          <w:sz w:val="44"/>
        </w:rPr>
        <w:t>新疆喀什地区草原站2019年度部门决算</w:t>
      </w:r>
    </w:p>
    <w:p w:rsidR="008853A8" w:rsidRDefault="008853A8">
      <w:pPr>
        <w:jc w:val="center"/>
        <w:rPr>
          <w:rFonts w:ascii="方正小标宋_GBK" w:eastAsia="方正小标宋_GBK" w:hAnsi="宋体"/>
          <w:sz w:val="44"/>
          <w:szCs w:val="44"/>
        </w:rPr>
      </w:pPr>
      <w:r>
        <w:rPr>
          <w:rFonts w:ascii="方正小标宋_GBK" w:eastAsia="方正小标宋_GBK" w:hAnsi="宋体" w:hint="eastAsia"/>
          <w:sz w:val="44"/>
          <w:szCs w:val="44"/>
        </w:rPr>
        <w:t>公开说明</w:t>
      </w:r>
    </w:p>
    <w:p w:rsidR="008853A8" w:rsidRDefault="008853A8">
      <w:pPr>
        <w:jc w:val="center"/>
        <w:rPr>
          <w:rFonts w:ascii="仿宋_GB2312" w:eastAsia="仿宋_GB2312" w:hAnsi="仿宋_GB2312" w:cs="仿宋_GB2312"/>
          <w:bCs/>
          <w:kern w:val="0"/>
          <w:sz w:val="32"/>
          <w:szCs w:val="32"/>
        </w:rPr>
      </w:pPr>
      <w:r>
        <w:rPr>
          <w:rFonts w:ascii="方正小标宋_GBK" w:eastAsia="方正小标宋_GBK" w:hAnsi="宋体" w:hint="eastAsia"/>
          <w:sz w:val="44"/>
          <w:szCs w:val="44"/>
        </w:rPr>
        <w:br w:type="page"/>
      </w:r>
      <w:r>
        <w:rPr>
          <w:rFonts w:ascii="仿宋_GB2312" w:eastAsia="仿宋_GB2312" w:hAnsi="仿宋_GB2312" w:cs="仿宋_GB2312" w:hint="eastAsia"/>
          <w:b/>
          <w:kern w:val="0"/>
          <w:sz w:val="36"/>
          <w:szCs w:val="36"/>
        </w:rPr>
        <w:lastRenderedPageBreak/>
        <w:t>目 录</w:t>
      </w:r>
    </w:p>
    <w:p w:rsidR="008853A8" w:rsidRDefault="005016D7">
      <w:pPr>
        <w:pStyle w:val="1"/>
        <w:tabs>
          <w:tab w:val="right" w:pos="8306"/>
        </w:tabs>
        <w:rPr>
          <w:rFonts w:ascii="仿宋_GB2312" w:eastAsia="仿宋_GB2312" w:hAnsi="仿宋_GB2312" w:cs="仿宋_GB2312"/>
          <w:b/>
          <w:bCs/>
          <w:sz w:val="32"/>
          <w:szCs w:val="32"/>
        </w:rPr>
      </w:pPr>
      <w:r>
        <w:rPr>
          <w:rFonts w:ascii="仿宋_GB2312" w:eastAsia="仿宋_GB2312" w:hAnsi="仿宋_GB2312" w:cs="仿宋_GB2312" w:hint="eastAsia"/>
          <w:sz w:val="32"/>
          <w:szCs w:val="32"/>
        </w:rPr>
        <w:fldChar w:fldCharType="begin"/>
      </w:r>
      <w:r w:rsidR="008853A8">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sidR="008853A8">
          <w:rPr>
            <w:rFonts w:ascii="仿宋_GB2312" w:eastAsia="仿宋_GB2312" w:hAnsi="仿宋_GB2312" w:cs="仿宋_GB2312" w:hint="eastAsia"/>
            <w:b/>
            <w:bCs/>
            <w:sz w:val="32"/>
            <w:szCs w:val="32"/>
          </w:rPr>
          <w:t>第一部分 部门单位概况</w:t>
        </w:r>
      </w:hyperlink>
    </w:p>
    <w:p w:rsidR="008853A8" w:rsidRDefault="005016D7">
      <w:pPr>
        <w:pStyle w:val="2"/>
        <w:tabs>
          <w:tab w:val="right" w:pos="8306"/>
        </w:tabs>
        <w:ind w:leftChars="0" w:left="0"/>
        <w:rPr>
          <w:rFonts w:ascii="仿宋_GB2312" w:eastAsia="仿宋_GB2312" w:hAnsi="仿宋_GB2312" w:cs="仿宋_GB2312"/>
          <w:sz w:val="32"/>
          <w:szCs w:val="32"/>
        </w:rPr>
      </w:pPr>
      <w:hyperlink w:anchor="_Toc30567" w:history="1">
        <w:r w:rsidR="008853A8">
          <w:rPr>
            <w:rFonts w:ascii="仿宋_GB2312" w:eastAsia="仿宋_GB2312" w:hAnsi="仿宋_GB2312" w:cs="仿宋_GB2312" w:hint="eastAsia"/>
            <w:bCs/>
            <w:kern w:val="0"/>
            <w:sz w:val="32"/>
            <w:szCs w:val="32"/>
          </w:rPr>
          <w:t>一、主要职能</w:t>
        </w:r>
      </w:hyperlink>
    </w:p>
    <w:p w:rsidR="008853A8" w:rsidRDefault="005016D7">
      <w:pPr>
        <w:pStyle w:val="2"/>
        <w:tabs>
          <w:tab w:val="right" w:pos="8306"/>
        </w:tabs>
        <w:ind w:leftChars="0" w:left="0"/>
        <w:rPr>
          <w:rFonts w:ascii="仿宋_GB2312" w:eastAsia="仿宋_GB2312" w:hAnsi="仿宋_GB2312" w:cs="仿宋_GB2312"/>
          <w:sz w:val="32"/>
          <w:szCs w:val="32"/>
        </w:rPr>
      </w:pPr>
      <w:hyperlink w:anchor="_Toc2151" w:history="1">
        <w:r w:rsidR="008853A8">
          <w:rPr>
            <w:rFonts w:ascii="仿宋_GB2312" w:eastAsia="仿宋_GB2312" w:hAnsi="仿宋_GB2312" w:cs="仿宋_GB2312" w:hint="eastAsia"/>
            <w:bCs/>
            <w:kern w:val="0"/>
            <w:sz w:val="32"/>
            <w:szCs w:val="32"/>
          </w:rPr>
          <w:t>二、机构设置及人员情况</w:t>
        </w:r>
      </w:hyperlink>
    </w:p>
    <w:p w:rsidR="008853A8" w:rsidRDefault="005016D7">
      <w:pPr>
        <w:pStyle w:val="1"/>
        <w:tabs>
          <w:tab w:val="right" w:pos="8306"/>
        </w:tabs>
        <w:rPr>
          <w:rFonts w:ascii="仿宋_GB2312" w:eastAsia="仿宋_GB2312" w:hAnsi="仿宋_GB2312" w:cs="仿宋_GB2312"/>
          <w:b/>
          <w:bCs/>
          <w:sz w:val="32"/>
          <w:szCs w:val="32"/>
        </w:rPr>
      </w:pPr>
      <w:hyperlink w:anchor="_Toc29374" w:history="1">
        <w:r w:rsidR="008853A8">
          <w:rPr>
            <w:rFonts w:ascii="仿宋_GB2312" w:eastAsia="仿宋_GB2312" w:hAnsi="仿宋_GB2312" w:cs="仿宋_GB2312" w:hint="eastAsia"/>
            <w:b/>
            <w:bCs/>
            <w:sz w:val="32"/>
            <w:szCs w:val="32"/>
          </w:rPr>
          <w:t>第二部分 部门决算情况说明</w:t>
        </w:r>
      </w:hyperlink>
    </w:p>
    <w:p w:rsidR="008853A8" w:rsidRDefault="005016D7">
      <w:pPr>
        <w:pStyle w:val="2"/>
        <w:tabs>
          <w:tab w:val="right" w:pos="8306"/>
        </w:tabs>
        <w:ind w:leftChars="0" w:left="0"/>
        <w:rPr>
          <w:rFonts w:ascii="仿宋_GB2312" w:eastAsia="仿宋_GB2312" w:hAnsi="仿宋_GB2312" w:cs="仿宋_GB2312"/>
          <w:sz w:val="32"/>
          <w:szCs w:val="32"/>
        </w:rPr>
      </w:pPr>
      <w:hyperlink w:anchor="_Toc25314" w:history="1">
        <w:r w:rsidR="008853A8">
          <w:rPr>
            <w:rFonts w:ascii="仿宋_GB2312" w:eastAsia="仿宋_GB2312" w:hAnsi="仿宋_GB2312" w:cs="仿宋_GB2312" w:hint="eastAsia"/>
            <w:bCs/>
            <w:kern w:val="0"/>
            <w:sz w:val="32"/>
            <w:szCs w:val="32"/>
          </w:rPr>
          <w:t>一、收入支出决算总体情况说明</w:t>
        </w:r>
      </w:hyperlink>
    </w:p>
    <w:p w:rsidR="008853A8" w:rsidRDefault="005016D7">
      <w:pPr>
        <w:pStyle w:val="2"/>
        <w:tabs>
          <w:tab w:val="right" w:pos="8306"/>
        </w:tabs>
        <w:ind w:leftChars="0" w:left="0"/>
        <w:rPr>
          <w:rFonts w:ascii="仿宋_GB2312" w:eastAsia="仿宋_GB2312" w:hAnsi="仿宋_GB2312" w:cs="仿宋_GB2312"/>
          <w:sz w:val="32"/>
          <w:szCs w:val="32"/>
        </w:rPr>
      </w:pPr>
      <w:hyperlink w:anchor="_Toc12142" w:history="1">
        <w:r w:rsidR="008853A8">
          <w:rPr>
            <w:rFonts w:ascii="仿宋_GB2312" w:eastAsia="仿宋_GB2312" w:hAnsi="仿宋_GB2312" w:cs="仿宋_GB2312" w:hint="eastAsia"/>
            <w:bCs/>
            <w:kern w:val="0"/>
            <w:sz w:val="32"/>
            <w:szCs w:val="32"/>
          </w:rPr>
          <w:t>二、收入决算情况说明</w:t>
        </w:r>
      </w:hyperlink>
    </w:p>
    <w:p w:rsidR="008853A8" w:rsidRDefault="005016D7">
      <w:pPr>
        <w:pStyle w:val="2"/>
        <w:tabs>
          <w:tab w:val="right" w:pos="8306"/>
        </w:tabs>
        <w:ind w:leftChars="0" w:left="0"/>
        <w:rPr>
          <w:rFonts w:ascii="仿宋_GB2312" w:eastAsia="仿宋_GB2312" w:hAnsi="仿宋_GB2312" w:cs="仿宋_GB2312"/>
          <w:sz w:val="32"/>
          <w:szCs w:val="32"/>
        </w:rPr>
      </w:pPr>
      <w:hyperlink w:anchor="_Toc13201" w:history="1">
        <w:r w:rsidR="008853A8">
          <w:rPr>
            <w:rFonts w:ascii="仿宋_GB2312" w:eastAsia="仿宋_GB2312" w:hAnsi="仿宋_GB2312" w:cs="仿宋_GB2312" w:hint="eastAsia"/>
            <w:bCs/>
            <w:kern w:val="0"/>
            <w:sz w:val="32"/>
            <w:szCs w:val="32"/>
          </w:rPr>
          <w:t>三、支出决算情况说明</w:t>
        </w:r>
      </w:hyperlink>
    </w:p>
    <w:p w:rsidR="008853A8" w:rsidRDefault="005016D7">
      <w:pPr>
        <w:pStyle w:val="2"/>
        <w:tabs>
          <w:tab w:val="right" w:pos="8306"/>
        </w:tabs>
        <w:ind w:leftChars="0" w:left="0"/>
        <w:rPr>
          <w:rFonts w:ascii="仿宋_GB2312" w:eastAsia="仿宋_GB2312" w:hAnsi="仿宋_GB2312" w:cs="仿宋_GB2312"/>
          <w:sz w:val="32"/>
          <w:szCs w:val="32"/>
        </w:rPr>
      </w:pPr>
      <w:hyperlink w:anchor="_Toc26564" w:history="1">
        <w:r w:rsidR="008853A8">
          <w:rPr>
            <w:rFonts w:ascii="仿宋_GB2312" w:eastAsia="仿宋_GB2312" w:hAnsi="仿宋_GB2312" w:cs="仿宋_GB2312" w:hint="eastAsia"/>
            <w:bCs/>
            <w:kern w:val="0"/>
            <w:sz w:val="32"/>
            <w:szCs w:val="32"/>
          </w:rPr>
          <w:t>四、财政拨款收入支出决算总体情况说明</w:t>
        </w:r>
      </w:hyperlink>
    </w:p>
    <w:p w:rsidR="008853A8" w:rsidRDefault="005016D7">
      <w:pPr>
        <w:pStyle w:val="2"/>
        <w:tabs>
          <w:tab w:val="right" w:pos="8306"/>
        </w:tabs>
        <w:ind w:leftChars="0" w:left="0"/>
        <w:rPr>
          <w:rFonts w:ascii="仿宋_GB2312" w:eastAsia="仿宋_GB2312" w:hAnsi="仿宋_GB2312" w:cs="仿宋_GB2312"/>
          <w:sz w:val="32"/>
          <w:szCs w:val="32"/>
        </w:rPr>
      </w:pPr>
      <w:hyperlink w:anchor="_Toc20360" w:history="1">
        <w:r w:rsidR="008853A8">
          <w:rPr>
            <w:rFonts w:ascii="仿宋_GB2312" w:eastAsia="仿宋_GB2312" w:hAnsi="仿宋_GB2312" w:cs="仿宋_GB2312" w:hint="eastAsia"/>
            <w:bCs/>
            <w:kern w:val="0"/>
            <w:sz w:val="32"/>
            <w:szCs w:val="32"/>
          </w:rPr>
          <w:t>五、一般公共预算财政拨款支出决算情况说明</w:t>
        </w:r>
      </w:hyperlink>
    </w:p>
    <w:p w:rsidR="008853A8" w:rsidRDefault="005016D7">
      <w:pPr>
        <w:pStyle w:val="2"/>
        <w:tabs>
          <w:tab w:val="right" w:pos="8306"/>
        </w:tabs>
        <w:ind w:leftChars="0" w:left="0"/>
        <w:rPr>
          <w:rFonts w:ascii="仿宋_GB2312" w:eastAsia="仿宋_GB2312" w:hAnsi="仿宋_GB2312" w:cs="仿宋_GB2312"/>
          <w:sz w:val="32"/>
          <w:szCs w:val="32"/>
        </w:rPr>
      </w:pPr>
      <w:hyperlink w:anchor="_Toc30870" w:history="1">
        <w:r w:rsidR="008853A8">
          <w:rPr>
            <w:rFonts w:ascii="仿宋_GB2312" w:eastAsia="仿宋_GB2312" w:hAnsi="仿宋_GB2312" w:cs="仿宋_GB2312" w:hint="eastAsia"/>
            <w:bCs/>
            <w:kern w:val="0"/>
            <w:sz w:val="32"/>
            <w:szCs w:val="32"/>
          </w:rPr>
          <w:t>六、一般公共预算财政拨款基本支出决算情况说明</w:t>
        </w:r>
      </w:hyperlink>
    </w:p>
    <w:p w:rsidR="008853A8" w:rsidRDefault="005016D7">
      <w:pPr>
        <w:pStyle w:val="2"/>
        <w:tabs>
          <w:tab w:val="right" w:pos="8306"/>
        </w:tabs>
        <w:ind w:leftChars="0" w:left="0"/>
        <w:rPr>
          <w:rFonts w:ascii="仿宋_GB2312" w:eastAsia="仿宋_GB2312" w:hAnsi="仿宋_GB2312" w:cs="仿宋_GB2312"/>
          <w:sz w:val="32"/>
          <w:szCs w:val="32"/>
        </w:rPr>
      </w:pPr>
      <w:hyperlink w:anchor="_Toc21518" w:history="1">
        <w:r w:rsidR="008853A8">
          <w:rPr>
            <w:rFonts w:ascii="仿宋_GB2312" w:eastAsia="仿宋_GB2312" w:hAnsi="仿宋_GB2312" w:cs="仿宋_GB2312" w:hint="eastAsia"/>
            <w:bCs/>
            <w:kern w:val="0"/>
            <w:sz w:val="32"/>
            <w:szCs w:val="32"/>
          </w:rPr>
          <w:t>七、一般公共预算财政拨款“三公”经费支出决算情况说明</w:t>
        </w:r>
      </w:hyperlink>
    </w:p>
    <w:p w:rsidR="008853A8" w:rsidRDefault="005016D7">
      <w:pPr>
        <w:pStyle w:val="2"/>
        <w:tabs>
          <w:tab w:val="right" w:pos="8306"/>
        </w:tabs>
        <w:ind w:leftChars="0" w:left="0"/>
        <w:rPr>
          <w:rFonts w:ascii="仿宋_GB2312" w:eastAsia="仿宋_GB2312" w:hAnsi="仿宋_GB2312" w:cs="仿宋_GB2312"/>
          <w:sz w:val="32"/>
          <w:szCs w:val="32"/>
        </w:rPr>
      </w:pPr>
      <w:hyperlink w:anchor="_Toc5810" w:history="1">
        <w:r w:rsidR="008853A8">
          <w:rPr>
            <w:rFonts w:ascii="仿宋_GB2312" w:eastAsia="仿宋_GB2312" w:hAnsi="仿宋_GB2312" w:cs="仿宋_GB2312" w:hint="eastAsia"/>
            <w:bCs/>
            <w:kern w:val="0"/>
            <w:sz w:val="32"/>
            <w:szCs w:val="32"/>
          </w:rPr>
          <w:t>八、政府性基金预算收入支出决算情况说明</w:t>
        </w:r>
      </w:hyperlink>
    </w:p>
    <w:p w:rsidR="008853A8" w:rsidRDefault="005016D7">
      <w:pPr>
        <w:pStyle w:val="2"/>
        <w:tabs>
          <w:tab w:val="right" w:pos="8306"/>
        </w:tabs>
        <w:ind w:leftChars="0" w:left="0"/>
        <w:rPr>
          <w:rFonts w:ascii="仿宋_GB2312" w:eastAsia="仿宋_GB2312" w:hAnsi="仿宋_GB2312" w:cs="仿宋_GB2312"/>
          <w:sz w:val="32"/>
          <w:szCs w:val="32"/>
        </w:rPr>
      </w:pPr>
      <w:hyperlink w:anchor="_Toc1235" w:history="1">
        <w:r w:rsidR="008853A8">
          <w:rPr>
            <w:rFonts w:ascii="仿宋_GB2312" w:eastAsia="仿宋_GB2312" w:hAnsi="仿宋_GB2312" w:cs="仿宋_GB2312" w:hint="eastAsia"/>
            <w:bCs/>
            <w:kern w:val="0"/>
            <w:sz w:val="32"/>
            <w:szCs w:val="32"/>
          </w:rPr>
          <w:t>九、其他重要事项的情况说明</w:t>
        </w:r>
      </w:hyperlink>
    </w:p>
    <w:p w:rsidR="008853A8" w:rsidRDefault="005016D7">
      <w:pPr>
        <w:pStyle w:val="3"/>
        <w:tabs>
          <w:tab w:val="right" w:pos="8306"/>
        </w:tabs>
        <w:ind w:leftChars="0" w:left="0"/>
        <w:rPr>
          <w:rFonts w:ascii="仿宋_GB2312" w:eastAsia="仿宋_GB2312" w:hAnsi="仿宋_GB2312" w:cs="仿宋_GB2312"/>
          <w:sz w:val="32"/>
          <w:szCs w:val="32"/>
        </w:rPr>
      </w:pPr>
      <w:hyperlink w:anchor="_Toc14519" w:history="1">
        <w:r w:rsidR="008853A8">
          <w:rPr>
            <w:rFonts w:ascii="仿宋_GB2312" w:eastAsia="仿宋_GB2312" w:hAnsi="仿宋_GB2312" w:cs="仿宋_GB2312" w:hint="eastAsia"/>
            <w:sz w:val="32"/>
            <w:szCs w:val="32"/>
          </w:rPr>
          <w:t>（一）机关运行经费支出情况</w:t>
        </w:r>
      </w:hyperlink>
    </w:p>
    <w:p w:rsidR="008853A8" w:rsidRDefault="005016D7">
      <w:pPr>
        <w:pStyle w:val="3"/>
        <w:tabs>
          <w:tab w:val="right" w:pos="8306"/>
        </w:tabs>
        <w:ind w:leftChars="0" w:left="0"/>
        <w:rPr>
          <w:rFonts w:ascii="仿宋_GB2312" w:eastAsia="仿宋_GB2312" w:hAnsi="仿宋_GB2312" w:cs="仿宋_GB2312"/>
          <w:sz w:val="32"/>
          <w:szCs w:val="32"/>
        </w:rPr>
      </w:pPr>
      <w:hyperlink w:anchor="_Toc227" w:history="1">
        <w:r w:rsidR="008853A8">
          <w:rPr>
            <w:rFonts w:ascii="仿宋_GB2312" w:eastAsia="仿宋_GB2312" w:hAnsi="仿宋_GB2312" w:cs="仿宋_GB2312" w:hint="eastAsia"/>
            <w:sz w:val="32"/>
            <w:szCs w:val="32"/>
          </w:rPr>
          <w:t>（二）政府采购情况</w:t>
        </w:r>
      </w:hyperlink>
    </w:p>
    <w:p w:rsidR="008853A8" w:rsidRDefault="005016D7">
      <w:pPr>
        <w:pStyle w:val="3"/>
        <w:tabs>
          <w:tab w:val="right" w:pos="8306"/>
        </w:tabs>
        <w:ind w:leftChars="0" w:left="0"/>
        <w:rPr>
          <w:rFonts w:ascii="仿宋_GB2312" w:eastAsia="仿宋_GB2312" w:hAnsi="仿宋_GB2312" w:cs="仿宋_GB2312"/>
          <w:sz w:val="32"/>
          <w:szCs w:val="32"/>
        </w:rPr>
      </w:pPr>
      <w:hyperlink w:anchor="_Toc8391" w:history="1">
        <w:r w:rsidR="008853A8">
          <w:rPr>
            <w:rFonts w:ascii="仿宋_GB2312" w:eastAsia="仿宋_GB2312" w:hAnsi="仿宋_GB2312" w:cs="仿宋_GB2312" w:hint="eastAsia"/>
            <w:sz w:val="32"/>
            <w:szCs w:val="32"/>
          </w:rPr>
          <w:t>（三）国有资产占用情况说明</w:t>
        </w:r>
      </w:hyperlink>
    </w:p>
    <w:p w:rsidR="008853A8" w:rsidRDefault="005016D7">
      <w:pPr>
        <w:pStyle w:val="2"/>
        <w:tabs>
          <w:tab w:val="right" w:pos="8306"/>
        </w:tabs>
        <w:ind w:leftChars="0" w:left="0"/>
        <w:rPr>
          <w:rFonts w:ascii="仿宋_GB2312" w:eastAsia="仿宋_GB2312" w:hAnsi="仿宋_GB2312" w:cs="仿宋_GB2312"/>
          <w:sz w:val="32"/>
          <w:szCs w:val="32"/>
        </w:rPr>
      </w:pPr>
      <w:hyperlink w:anchor="_Toc11283" w:history="1">
        <w:r w:rsidR="008853A8">
          <w:rPr>
            <w:rFonts w:ascii="仿宋_GB2312" w:eastAsia="仿宋_GB2312" w:hAnsi="仿宋_GB2312" w:cs="仿宋_GB2312" w:hint="eastAsia"/>
            <w:bCs/>
            <w:kern w:val="0"/>
            <w:sz w:val="32"/>
            <w:szCs w:val="32"/>
          </w:rPr>
          <w:t>十、预算绩效的情况说明</w:t>
        </w:r>
      </w:hyperlink>
    </w:p>
    <w:p w:rsidR="008853A8" w:rsidRDefault="005016D7">
      <w:pPr>
        <w:pStyle w:val="1"/>
        <w:tabs>
          <w:tab w:val="right" w:pos="8306"/>
        </w:tabs>
        <w:rPr>
          <w:rFonts w:ascii="仿宋_GB2312" w:eastAsia="仿宋_GB2312" w:hAnsi="仿宋_GB2312" w:cs="仿宋_GB2312"/>
          <w:b/>
          <w:bCs/>
          <w:sz w:val="32"/>
          <w:szCs w:val="32"/>
        </w:rPr>
      </w:pPr>
      <w:hyperlink w:anchor="_Toc3250" w:history="1">
        <w:r w:rsidR="008853A8">
          <w:rPr>
            <w:rFonts w:ascii="仿宋_GB2312" w:eastAsia="仿宋_GB2312" w:hAnsi="仿宋_GB2312" w:cs="仿宋_GB2312" w:hint="eastAsia"/>
            <w:b/>
            <w:bCs/>
            <w:sz w:val="32"/>
            <w:szCs w:val="32"/>
          </w:rPr>
          <w:t>第三部分 专业名词解释</w:t>
        </w:r>
      </w:hyperlink>
    </w:p>
    <w:p w:rsidR="008853A8" w:rsidRDefault="005016D7">
      <w:pPr>
        <w:pStyle w:val="1"/>
        <w:tabs>
          <w:tab w:val="right" w:pos="8306"/>
        </w:tabs>
        <w:rPr>
          <w:rFonts w:ascii="仿宋_GB2312" w:eastAsia="仿宋_GB2312" w:hAnsi="仿宋_GB2312" w:cs="仿宋_GB2312"/>
          <w:b/>
          <w:bCs/>
          <w:sz w:val="32"/>
          <w:szCs w:val="32"/>
        </w:rPr>
      </w:pPr>
      <w:hyperlink w:anchor="_Toc22784" w:history="1">
        <w:r w:rsidR="008853A8">
          <w:rPr>
            <w:rFonts w:ascii="仿宋_GB2312" w:eastAsia="仿宋_GB2312" w:hAnsi="仿宋_GB2312" w:cs="仿宋_GB2312" w:hint="eastAsia"/>
            <w:b/>
            <w:bCs/>
            <w:sz w:val="32"/>
            <w:szCs w:val="32"/>
          </w:rPr>
          <w:t>第四部分 部门决算报表（见附表）</w:t>
        </w:r>
      </w:hyperlink>
    </w:p>
    <w:p w:rsidR="008853A8" w:rsidRDefault="005016D7">
      <w:pPr>
        <w:pStyle w:val="2"/>
        <w:tabs>
          <w:tab w:val="right" w:pos="8306"/>
        </w:tabs>
        <w:ind w:leftChars="0" w:left="0"/>
        <w:rPr>
          <w:rFonts w:ascii="仿宋_GB2312" w:eastAsia="仿宋_GB2312" w:hAnsi="仿宋_GB2312" w:cs="仿宋_GB2312"/>
          <w:sz w:val="32"/>
          <w:szCs w:val="32"/>
        </w:rPr>
      </w:pPr>
      <w:hyperlink w:anchor="_Toc2183" w:history="1">
        <w:r w:rsidR="008853A8">
          <w:rPr>
            <w:rFonts w:ascii="仿宋_GB2312" w:eastAsia="仿宋_GB2312" w:hAnsi="仿宋_GB2312" w:cs="仿宋_GB2312" w:hint="eastAsia"/>
            <w:bCs/>
            <w:kern w:val="0"/>
            <w:sz w:val="32"/>
            <w:szCs w:val="32"/>
          </w:rPr>
          <w:t>一、《收入支出决算总表》</w:t>
        </w:r>
      </w:hyperlink>
    </w:p>
    <w:p w:rsidR="008853A8" w:rsidRDefault="005016D7">
      <w:pPr>
        <w:pStyle w:val="2"/>
        <w:tabs>
          <w:tab w:val="right" w:pos="8306"/>
        </w:tabs>
        <w:ind w:leftChars="0" w:left="0"/>
        <w:rPr>
          <w:rFonts w:ascii="仿宋_GB2312" w:eastAsia="仿宋_GB2312" w:hAnsi="仿宋_GB2312" w:cs="仿宋_GB2312"/>
          <w:sz w:val="32"/>
          <w:szCs w:val="32"/>
        </w:rPr>
      </w:pPr>
      <w:hyperlink w:anchor="_Toc24532" w:history="1">
        <w:r w:rsidR="008853A8">
          <w:rPr>
            <w:rFonts w:ascii="仿宋_GB2312" w:eastAsia="仿宋_GB2312" w:hAnsi="仿宋_GB2312" w:cs="仿宋_GB2312" w:hint="eastAsia"/>
            <w:bCs/>
            <w:kern w:val="0"/>
            <w:sz w:val="32"/>
            <w:szCs w:val="32"/>
          </w:rPr>
          <w:t>二、《收入决算表》</w:t>
        </w:r>
      </w:hyperlink>
    </w:p>
    <w:p w:rsidR="008853A8" w:rsidRDefault="005016D7">
      <w:pPr>
        <w:pStyle w:val="2"/>
        <w:tabs>
          <w:tab w:val="right" w:pos="8306"/>
        </w:tabs>
        <w:ind w:leftChars="0" w:left="0"/>
        <w:rPr>
          <w:rFonts w:ascii="仿宋_GB2312" w:eastAsia="仿宋_GB2312" w:hAnsi="仿宋_GB2312" w:cs="仿宋_GB2312"/>
          <w:sz w:val="32"/>
          <w:szCs w:val="32"/>
        </w:rPr>
      </w:pPr>
      <w:hyperlink w:anchor="_Toc32434" w:history="1">
        <w:r w:rsidR="008853A8">
          <w:rPr>
            <w:rFonts w:ascii="仿宋_GB2312" w:eastAsia="仿宋_GB2312" w:hAnsi="仿宋_GB2312" w:cs="仿宋_GB2312" w:hint="eastAsia"/>
            <w:bCs/>
            <w:kern w:val="0"/>
            <w:sz w:val="32"/>
            <w:szCs w:val="32"/>
          </w:rPr>
          <w:t>三、《支出决算表》</w:t>
        </w:r>
      </w:hyperlink>
    </w:p>
    <w:p w:rsidR="008853A8" w:rsidRDefault="005016D7">
      <w:pPr>
        <w:pStyle w:val="2"/>
        <w:tabs>
          <w:tab w:val="right" w:pos="8306"/>
        </w:tabs>
        <w:ind w:leftChars="0" w:left="0"/>
        <w:rPr>
          <w:rFonts w:ascii="仿宋_GB2312" w:eastAsia="仿宋_GB2312" w:hAnsi="仿宋_GB2312" w:cs="仿宋_GB2312"/>
          <w:sz w:val="32"/>
          <w:szCs w:val="32"/>
        </w:rPr>
      </w:pPr>
      <w:hyperlink w:anchor="_Toc28786" w:history="1">
        <w:r w:rsidR="008853A8">
          <w:rPr>
            <w:rFonts w:ascii="仿宋_GB2312" w:eastAsia="仿宋_GB2312" w:hAnsi="仿宋_GB2312" w:cs="仿宋_GB2312" w:hint="eastAsia"/>
            <w:bCs/>
            <w:kern w:val="0"/>
            <w:sz w:val="32"/>
            <w:szCs w:val="32"/>
          </w:rPr>
          <w:t>四、《财政拨款收入支出决算总表》</w:t>
        </w:r>
      </w:hyperlink>
    </w:p>
    <w:p w:rsidR="008853A8" w:rsidRDefault="005016D7">
      <w:pPr>
        <w:pStyle w:val="2"/>
        <w:tabs>
          <w:tab w:val="right" w:pos="8306"/>
        </w:tabs>
        <w:ind w:leftChars="0" w:left="0"/>
        <w:rPr>
          <w:rFonts w:ascii="仿宋_GB2312" w:eastAsia="仿宋_GB2312" w:hAnsi="仿宋_GB2312" w:cs="仿宋_GB2312"/>
          <w:sz w:val="32"/>
          <w:szCs w:val="32"/>
        </w:rPr>
      </w:pPr>
      <w:hyperlink w:anchor="_Toc14869" w:history="1">
        <w:r w:rsidR="008853A8">
          <w:rPr>
            <w:rFonts w:ascii="仿宋_GB2312" w:eastAsia="仿宋_GB2312" w:hAnsi="仿宋_GB2312" w:cs="仿宋_GB2312" w:hint="eastAsia"/>
            <w:bCs/>
            <w:kern w:val="0"/>
            <w:sz w:val="32"/>
            <w:szCs w:val="32"/>
          </w:rPr>
          <w:t>五、《一般公共预算财政拨款支出决算表》</w:t>
        </w:r>
      </w:hyperlink>
    </w:p>
    <w:p w:rsidR="008853A8" w:rsidRDefault="005016D7">
      <w:pPr>
        <w:pStyle w:val="2"/>
        <w:tabs>
          <w:tab w:val="right" w:pos="8306"/>
        </w:tabs>
        <w:ind w:leftChars="0" w:left="0"/>
        <w:rPr>
          <w:rFonts w:ascii="仿宋_GB2312" w:eastAsia="仿宋_GB2312" w:hAnsi="仿宋_GB2312" w:cs="仿宋_GB2312"/>
          <w:sz w:val="32"/>
          <w:szCs w:val="32"/>
        </w:rPr>
      </w:pPr>
      <w:hyperlink w:anchor="_Toc8884" w:history="1">
        <w:r w:rsidR="008853A8">
          <w:rPr>
            <w:rFonts w:ascii="仿宋_GB2312" w:eastAsia="仿宋_GB2312" w:hAnsi="仿宋_GB2312" w:cs="仿宋_GB2312" w:hint="eastAsia"/>
            <w:bCs/>
            <w:kern w:val="0"/>
            <w:sz w:val="32"/>
            <w:szCs w:val="32"/>
          </w:rPr>
          <w:t>六、《一般公共预算财政拨款基本支出决算表》</w:t>
        </w:r>
      </w:hyperlink>
    </w:p>
    <w:p w:rsidR="008853A8" w:rsidRDefault="005016D7">
      <w:pPr>
        <w:pStyle w:val="2"/>
        <w:tabs>
          <w:tab w:val="right" w:pos="8306"/>
        </w:tabs>
        <w:ind w:leftChars="0" w:left="0"/>
        <w:rPr>
          <w:rFonts w:ascii="仿宋_GB2312" w:eastAsia="仿宋_GB2312" w:hAnsi="仿宋_GB2312" w:cs="仿宋_GB2312"/>
          <w:sz w:val="32"/>
          <w:szCs w:val="32"/>
        </w:rPr>
      </w:pPr>
      <w:hyperlink w:anchor="_Toc29106" w:history="1">
        <w:r w:rsidR="008853A8">
          <w:rPr>
            <w:rFonts w:ascii="仿宋_GB2312" w:eastAsia="仿宋_GB2312" w:hAnsi="仿宋_GB2312" w:cs="仿宋_GB2312" w:hint="eastAsia"/>
            <w:bCs/>
            <w:kern w:val="0"/>
            <w:sz w:val="32"/>
            <w:szCs w:val="32"/>
          </w:rPr>
          <w:t>七、《一般公共预算财政拨款“三公”经费支出决算表》</w:t>
        </w:r>
      </w:hyperlink>
    </w:p>
    <w:p w:rsidR="008853A8" w:rsidRDefault="005016D7">
      <w:pPr>
        <w:pStyle w:val="2"/>
        <w:tabs>
          <w:tab w:val="right" w:pos="8306"/>
        </w:tabs>
        <w:ind w:leftChars="0" w:left="0"/>
        <w:rPr>
          <w:rFonts w:ascii="仿宋_GB2312" w:eastAsia="仿宋_GB2312" w:hAnsi="仿宋_GB2312" w:cs="仿宋_GB2312"/>
          <w:sz w:val="32"/>
          <w:szCs w:val="32"/>
        </w:rPr>
      </w:pPr>
      <w:hyperlink w:anchor="_Toc7643" w:history="1">
        <w:r w:rsidR="008853A8">
          <w:rPr>
            <w:rFonts w:ascii="仿宋_GB2312" w:eastAsia="仿宋_GB2312" w:hAnsi="仿宋_GB2312" w:cs="仿宋_GB2312" w:hint="eastAsia"/>
            <w:bCs/>
            <w:kern w:val="0"/>
            <w:sz w:val="32"/>
            <w:szCs w:val="32"/>
          </w:rPr>
          <w:t>八、《政府性基金预算财政拨款收入支出决算表》</w:t>
        </w:r>
      </w:hyperlink>
    </w:p>
    <w:p w:rsidR="008853A8" w:rsidRDefault="005016D7">
      <w:r>
        <w:rPr>
          <w:rFonts w:ascii="仿宋_GB2312" w:eastAsia="仿宋_GB2312" w:hAnsi="仿宋_GB2312" w:cs="仿宋_GB2312" w:hint="eastAsia"/>
          <w:sz w:val="32"/>
          <w:szCs w:val="32"/>
        </w:rPr>
        <w:fldChar w:fldCharType="end"/>
      </w:r>
    </w:p>
    <w:p w:rsidR="008853A8" w:rsidRDefault="008853A8">
      <w:pPr>
        <w:ind w:firstLineChars="200" w:firstLine="640"/>
        <w:jc w:val="center"/>
        <w:outlineLvl w:val="0"/>
        <w:rPr>
          <w:rFonts w:ascii="黑体" w:eastAsia="黑体" w:hAnsi="黑体"/>
          <w:sz w:val="32"/>
          <w:szCs w:val="32"/>
        </w:rPr>
      </w:pPr>
      <w:r>
        <w:rPr>
          <w:rFonts w:ascii="仿宋_GB2312" w:eastAsia="仿宋_GB2312" w:hint="eastAsia"/>
          <w:sz w:val="32"/>
          <w:szCs w:val="32"/>
        </w:rPr>
        <w:br w:type="page"/>
      </w:r>
      <w:bookmarkStart w:id="0" w:name="_Toc24028"/>
      <w:bookmarkStart w:id="1" w:name="_Toc32314"/>
      <w:r>
        <w:rPr>
          <w:rFonts w:ascii="黑体" w:eastAsia="黑体" w:hAnsi="黑体" w:hint="eastAsia"/>
          <w:sz w:val="32"/>
          <w:szCs w:val="32"/>
        </w:rPr>
        <w:lastRenderedPageBreak/>
        <w:t>第一部分 部门单位概况</w:t>
      </w:r>
      <w:bookmarkEnd w:id="0"/>
      <w:bookmarkEnd w:id="1"/>
    </w:p>
    <w:p w:rsidR="008853A8" w:rsidRDefault="008853A8">
      <w:pPr>
        <w:ind w:firstLineChars="200" w:firstLine="640"/>
        <w:outlineLvl w:val="1"/>
        <w:rPr>
          <w:rFonts w:ascii="黑体" w:eastAsia="黑体" w:hAnsi="黑体" w:cs="宋体"/>
          <w:bCs/>
          <w:kern w:val="0"/>
          <w:sz w:val="32"/>
          <w:szCs w:val="32"/>
        </w:rPr>
      </w:pPr>
      <w:bookmarkStart w:id="2" w:name="_Toc30738"/>
      <w:bookmarkStart w:id="3" w:name="_Toc30567"/>
      <w:r>
        <w:rPr>
          <w:rFonts w:ascii="黑体" w:eastAsia="黑体" w:hAnsi="黑体" w:cs="宋体" w:hint="eastAsia"/>
          <w:bCs/>
          <w:kern w:val="0"/>
          <w:sz w:val="32"/>
          <w:szCs w:val="32"/>
        </w:rPr>
        <w:t>一、主要职能</w:t>
      </w:r>
      <w:bookmarkEnd w:id="2"/>
      <w:bookmarkEnd w:id="3"/>
    </w:p>
    <w:p w:rsidR="00803D27" w:rsidRDefault="00AE6C82" w:rsidP="00803D27">
      <w:pPr>
        <w:ind w:firstLine="630"/>
        <w:rPr>
          <w:rFonts w:ascii="仿宋_GB2312" w:eastAsia="仿宋_GB2312" w:hAnsi="仿宋_GB2312" w:cs="仿宋_GB2312"/>
          <w:sz w:val="32"/>
        </w:rPr>
      </w:pPr>
      <w:r>
        <w:rPr>
          <w:rFonts w:ascii="仿宋_GB2312" w:eastAsia="仿宋_GB2312" w:hAnsi="仿宋_GB2312" w:cs="仿宋_GB2312"/>
          <w:sz w:val="32"/>
        </w:rPr>
        <w:t>（一）承担全地区草原资源与生态保</w:t>
      </w:r>
      <w:r w:rsidR="00803D27">
        <w:rPr>
          <w:rFonts w:ascii="仿宋_GB2312" w:eastAsia="仿宋_GB2312" w:hAnsi="仿宋_GB2312" w:cs="仿宋_GB2312"/>
          <w:sz w:val="32"/>
        </w:rPr>
        <w:t>护、建设、草原生态修复治理、草原资源与生态监测、调查等服务工作</w:t>
      </w:r>
      <w:r w:rsidR="00803D27">
        <w:rPr>
          <w:rFonts w:ascii="仿宋_GB2312" w:eastAsia="仿宋_GB2312" w:hAnsi="仿宋_GB2312" w:cs="仿宋_GB2312" w:hint="eastAsia"/>
          <w:sz w:val="32"/>
        </w:rPr>
        <w:t>。</w:t>
      </w:r>
    </w:p>
    <w:p w:rsidR="00803D27" w:rsidRDefault="00803D27" w:rsidP="00803D27">
      <w:pPr>
        <w:ind w:firstLine="630"/>
        <w:rPr>
          <w:rFonts w:ascii="仿宋_GB2312" w:eastAsia="仿宋_GB2312" w:hAnsi="仿宋_GB2312" w:cs="仿宋_GB2312"/>
          <w:sz w:val="32"/>
        </w:rPr>
      </w:pPr>
      <w:r>
        <w:rPr>
          <w:rFonts w:ascii="仿宋_GB2312" w:eastAsia="仿宋_GB2312" w:hAnsi="仿宋_GB2312" w:cs="仿宋_GB2312"/>
          <w:sz w:val="32"/>
        </w:rPr>
        <w:t>（二）承担地区草原虫鼠害预测预报与防治工作</w:t>
      </w:r>
      <w:r>
        <w:rPr>
          <w:rFonts w:ascii="仿宋_GB2312" w:eastAsia="仿宋_GB2312" w:hAnsi="仿宋_GB2312" w:cs="仿宋_GB2312" w:hint="eastAsia"/>
          <w:sz w:val="32"/>
        </w:rPr>
        <w:t>。</w:t>
      </w:r>
    </w:p>
    <w:p w:rsidR="00803D27" w:rsidRDefault="00803D27" w:rsidP="00803D27">
      <w:pPr>
        <w:ind w:firstLine="630"/>
        <w:rPr>
          <w:rFonts w:ascii="仿宋_GB2312" w:eastAsia="仿宋_GB2312" w:hAnsi="仿宋_GB2312" w:cs="仿宋_GB2312"/>
          <w:sz w:val="32"/>
        </w:rPr>
      </w:pPr>
      <w:r>
        <w:rPr>
          <w:rFonts w:ascii="仿宋_GB2312" w:eastAsia="仿宋_GB2312" w:hAnsi="仿宋_GB2312" w:cs="仿宋_GB2312"/>
          <w:sz w:val="32"/>
        </w:rPr>
        <w:t>（三）负责地区草原新技术与新品种试验、示范、推广等技术服务工作</w:t>
      </w:r>
      <w:r>
        <w:rPr>
          <w:rFonts w:ascii="仿宋_GB2312" w:eastAsia="仿宋_GB2312" w:hAnsi="仿宋_GB2312" w:cs="仿宋_GB2312" w:hint="eastAsia"/>
          <w:sz w:val="32"/>
        </w:rPr>
        <w:t>。</w:t>
      </w:r>
    </w:p>
    <w:p w:rsidR="00471BBD" w:rsidRDefault="00AE6C82" w:rsidP="00803D27">
      <w:pPr>
        <w:ind w:firstLine="630"/>
        <w:rPr>
          <w:rFonts w:ascii="仿宋_GB2312" w:eastAsia="仿宋_GB2312"/>
          <w:sz w:val="32"/>
          <w:szCs w:val="32"/>
        </w:rPr>
      </w:pPr>
      <w:r>
        <w:rPr>
          <w:rFonts w:ascii="仿宋_GB2312" w:eastAsia="仿宋_GB2312" w:hAnsi="仿宋_GB2312" w:cs="仿宋_GB2312"/>
          <w:sz w:val="32"/>
        </w:rPr>
        <w:t>（四）完成地区林业和草原局交办的其他任务。</w:t>
      </w:r>
    </w:p>
    <w:p w:rsidR="008853A8" w:rsidRDefault="008853A8">
      <w:pPr>
        <w:ind w:firstLineChars="200" w:firstLine="640"/>
        <w:outlineLvl w:val="1"/>
        <w:rPr>
          <w:rFonts w:ascii="黑体" w:eastAsia="黑体" w:hAnsi="黑体" w:cs="宋体"/>
          <w:bCs/>
          <w:kern w:val="0"/>
          <w:sz w:val="32"/>
          <w:szCs w:val="32"/>
        </w:rPr>
      </w:pPr>
      <w:bookmarkStart w:id="4" w:name="_Toc31238"/>
      <w:bookmarkStart w:id="5" w:name="_Toc2151"/>
      <w:r>
        <w:rPr>
          <w:rFonts w:ascii="黑体" w:eastAsia="黑体" w:hAnsi="黑体" w:cs="宋体" w:hint="eastAsia"/>
          <w:bCs/>
          <w:kern w:val="0"/>
          <w:sz w:val="32"/>
          <w:szCs w:val="32"/>
        </w:rPr>
        <w:t>二、机构设置及</w:t>
      </w:r>
      <w:bookmarkEnd w:id="4"/>
      <w:r>
        <w:rPr>
          <w:rFonts w:ascii="黑体" w:eastAsia="黑体" w:hAnsi="黑体" w:cs="宋体" w:hint="eastAsia"/>
          <w:bCs/>
          <w:kern w:val="0"/>
          <w:sz w:val="32"/>
          <w:szCs w:val="32"/>
        </w:rPr>
        <w:t>人员情况</w:t>
      </w:r>
      <w:bookmarkEnd w:id="5"/>
    </w:p>
    <w:p w:rsidR="001F777A" w:rsidRPr="001F777A" w:rsidRDefault="001F777A" w:rsidP="001F777A">
      <w:pPr>
        <w:ind w:firstLineChars="200" w:firstLine="640"/>
      </w:pPr>
      <w:r>
        <w:rPr>
          <w:rFonts w:ascii="仿宋_GB2312" w:eastAsia="仿宋_GB2312" w:hAnsi="仿宋_GB2312" w:cs="仿宋_GB2312"/>
          <w:sz w:val="32"/>
        </w:rPr>
        <w:t>新疆喀什地区草原站2019年度，实有人数30人，其中：在职人员24人，离休人员0人，退休人员6人。</w:t>
      </w:r>
    </w:p>
    <w:p w:rsidR="00862395" w:rsidRDefault="00862395" w:rsidP="00862395">
      <w:pPr>
        <w:ind w:firstLineChars="200" w:firstLine="640"/>
        <w:rPr>
          <w:rFonts w:ascii="仿宋_GB2312" w:eastAsia="仿宋_GB2312"/>
          <w:sz w:val="32"/>
          <w:szCs w:val="32"/>
        </w:rPr>
      </w:pPr>
      <w:r>
        <w:rPr>
          <w:rFonts w:ascii="仿宋_GB2312" w:eastAsia="仿宋_GB2312" w:hAnsi="仿宋_GB2312" w:cs="仿宋_GB2312"/>
          <w:sz w:val="32"/>
        </w:rPr>
        <w:t>从部门决算单位构成看，新疆喀什地区草原站部门决算包括：新疆喀什地区草原站决算。</w:t>
      </w:r>
    </w:p>
    <w:p w:rsidR="008853A8" w:rsidRDefault="008853A8">
      <w:pPr>
        <w:ind w:firstLineChars="200" w:firstLine="640"/>
        <w:jc w:val="center"/>
        <w:outlineLvl w:val="0"/>
        <w:rPr>
          <w:rFonts w:ascii="黑体" w:eastAsia="黑体" w:hAnsi="黑体"/>
          <w:sz w:val="32"/>
          <w:szCs w:val="32"/>
        </w:rPr>
      </w:pPr>
      <w:bookmarkStart w:id="6" w:name="_Toc3092"/>
      <w:bookmarkStart w:id="7" w:name="_Toc29374"/>
      <w:r>
        <w:rPr>
          <w:rFonts w:ascii="黑体" w:eastAsia="黑体" w:hAnsi="黑体" w:hint="eastAsia"/>
          <w:sz w:val="32"/>
          <w:szCs w:val="32"/>
        </w:rPr>
        <w:t>第二部分 部门决算情况说明</w:t>
      </w:r>
      <w:bookmarkEnd w:id="6"/>
      <w:bookmarkEnd w:id="7"/>
    </w:p>
    <w:p w:rsidR="008853A8" w:rsidRDefault="008853A8">
      <w:pPr>
        <w:ind w:firstLineChars="200" w:firstLine="640"/>
        <w:outlineLvl w:val="1"/>
        <w:rPr>
          <w:rFonts w:ascii="黑体" w:eastAsia="黑体" w:hAnsi="黑体" w:cs="宋体"/>
          <w:bCs/>
          <w:kern w:val="0"/>
          <w:sz w:val="32"/>
          <w:szCs w:val="32"/>
        </w:rPr>
      </w:pPr>
      <w:bookmarkStart w:id="8" w:name="_Toc12566"/>
      <w:bookmarkStart w:id="9" w:name="_Toc25314"/>
      <w:r>
        <w:rPr>
          <w:rFonts w:ascii="黑体" w:eastAsia="黑体" w:hAnsi="黑体" w:cs="宋体" w:hint="eastAsia"/>
          <w:bCs/>
          <w:kern w:val="0"/>
          <w:sz w:val="32"/>
          <w:szCs w:val="32"/>
        </w:rPr>
        <w:t>一、收入支出决算总体情况说明</w:t>
      </w:r>
      <w:bookmarkEnd w:id="8"/>
      <w:bookmarkEnd w:id="9"/>
    </w:p>
    <w:p w:rsidR="008853A8" w:rsidRDefault="007E3BFD">
      <w:pPr>
        <w:ind w:firstLineChars="200" w:firstLine="640"/>
        <w:rPr>
          <w:rFonts w:ascii="仿宋_GB2312" w:eastAsia="仿宋_GB2312"/>
          <w:sz w:val="32"/>
          <w:szCs w:val="32"/>
        </w:rPr>
      </w:pPr>
      <w:r>
        <w:rPr>
          <w:rFonts w:ascii="仿宋_GB2312" w:eastAsia="仿宋_GB2312" w:hAnsi="仿宋_GB2312" w:cs="仿宋_GB2312"/>
          <w:sz w:val="32"/>
        </w:rPr>
        <w:t>2019年度本年收入443.40万元，与上年相比，增加49.80万元，增长12.65%，主要原因是：对单位职工进行正常晋升调资，人员岗位变动等原因工资福利支出增加。本年支出443.40万元，与上年相比，增加49.80万元，增长12.65%，主要原因是：对单位职工进行正常晋升调资，人员岗位变动等原因工资福利支出增加。</w:t>
      </w:r>
    </w:p>
    <w:p w:rsidR="008853A8" w:rsidRDefault="008853A8">
      <w:pPr>
        <w:ind w:firstLineChars="200" w:firstLine="640"/>
        <w:outlineLvl w:val="1"/>
        <w:rPr>
          <w:rFonts w:ascii="黑体" w:eastAsia="黑体" w:hAnsi="黑体" w:cs="宋体"/>
          <w:bCs/>
          <w:kern w:val="0"/>
          <w:sz w:val="32"/>
          <w:szCs w:val="32"/>
        </w:rPr>
      </w:pPr>
      <w:bookmarkStart w:id="10" w:name="_Toc1979"/>
      <w:bookmarkStart w:id="11" w:name="_Toc12142"/>
      <w:r>
        <w:rPr>
          <w:rFonts w:ascii="黑体" w:eastAsia="黑体" w:hAnsi="黑体" w:cs="宋体" w:hint="eastAsia"/>
          <w:bCs/>
          <w:kern w:val="0"/>
          <w:sz w:val="32"/>
          <w:szCs w:val="32"/>
        </w:rPr>
        <w:t>二、收入决算情况说明</w:t>
      </w:r>
      <w:bookmarkEnd w:id="10"/>
      <w:bookmarkEnd w:id="11"/>
    </w:p>
    <w:p w:rsidR="008853A8" w:rsidRDefault="00125A6F">
      <w:pPr>
        <w:ind w:firstLineChars="200" w:firstLine="640"/>
        <w:rPr>
          <w:rFonts w:ascii="仿宋_GB2312" w:eastAsia="仿宋_GB2312"/>
          <w:sz w:val="32"/>
          <w:szCs w:val="32"/>
        </w:rPr>
      </w:pPr>
      <w:r>
        <w:rPr>
          <w:rFonts w:ascii="仿宋_GB2312" w:eastAsia="仿宋_GB2312" w:hAnsi="仿宋_GB2312" w:cs="仿宋_GB2312"/>
          <w:sz w:val="32"/>
        </w:rPr>
        <w:lastRenderedPageBreak/>
        <w:t>2019年度本年收入443.40万元，其中：财政拨款收入443.40万元，占100%；上级补助收入0万元，占0%；事业收入0万元，占0%；经营收入0万元，占0%；附属单位上缴收入0万元，占0%；其他收入0万元，占0%。</w:t>
      </w:r>
    </w:p>
    <w:p w:rsidR="008853A8" w:rsidRDefault="008853A8">
      <w:pPr>
        <w:ind w:firstLineChars="200" w:firstLine="640"/>
        <w:outlineLvl w:val="1"/>
        <w:rPr>
          <w:rFonts w:ascii="黑体" w:eastAsia="黑体" w:hAnsi="黑体" w:cs="宋体"/>
          <w:bCs/>
          <w:kern w:val="0"/>
          <w:sz w:val="32"/>
          <w:szCs w:val="32"/>
        </w:rPr>
      </w:pPr>
      <w:bookmarkStart w:id="12" w:name="_Toc27961"/>
      <w:bookmarkStart w:id="13" w:name="_Toc13201"/>
      <w:r>
        <w:rPr>
          <w:rFonts w:ascii="黑体" w:eastAsia="黑体" w:hAnsi="黑体" w:cs="宋体" w:hint="eastAsia"/>
          <w:bCs/>
          <w:kern w:val="0"/>
          <w:sz w:val="32"/>
          <w:szCs w:val="32"/>
        </w:rPr>
        <w:t>三、支出决算情况说明</w:t>
      </w:r>
      <w:bookmarkEnd w:id="12"/>
      <w:bookmarkEnd w:id="13"/>
    </w:p>
    <w:p w:rsidR="008853A8" w:rsidRDefault="00233021">
      <w:pPr>
        <w:ind w:firstLineChars="200" w:firstLine="640"/>
        <w:rPr>
          <w:rFonts w:ascii="仿宋_GB2312" w:eastAsia="仿宋_GB2312"/>
          <w:sz w:val="32"/>
          <w:szCs w:val="32"/>
        </w:rPr>
      </w:pPr>
      <w:r>
        <w:rPr>
          <w:rFonts w:ascii="仿宋_GB2312" w:eastAsia="仿宋_GB2312" w:hAnsi="仿宋_GB2312" w:cs="仿宋_GB2312"/>
          <w:sz w:val="32"/>
        </w:rPr>
        <w:t>2019年度本年支出443.40万元，其中：基本支出371.36万元，占83.75%；项目支出72.03万元，占16.24%；上缴上级支出0万元，占0%；经营支出0万元，占0%；对附属单位补助支出0万元，占0%。</w:t>
      </w:r>
    </w:p>
    <w:p w:rsidR="008853A8" w:rsidRDefault="008853A8">
      <w:pPr>
        <w:ind w:firstLineChars="200" w:firstLine="640"/>
        <w:outlineLvl w:val="1"/>
        <w:rPr>
          <w:rFonts w:ascii="黑体" w:eastAsia="黑体" w:hAnsi="黑体" w:cs="宋体"/>
          <w:bCs/>
          <w:kern w:val="0"/>
          <w:sz w:val="32"/>
          <w:szCs w:val="32"/>
        </w:rPr>
      </w:pPr>
      <w:bookmarkStart w:id="14" w:name="_Toc4393"/>
      <w:bookmarkStart w:id="15" w:name="_Toc26564"/>
      <w:r>
        <w:rPr>
          <w:rFonts w:ascii="黑体" w:eastAsia="黑体" w:hAnsi="黑体" w:cs="宋体" w:hint="eastAsia"/>
          <w:bCs/>
          <w:kern w:val="0"/>
          <w:sz w:val="32"/>
          <w:szCs w:val="32"/>
        </w:rPr>
        <w:t>四、财政拨款收入支出决算总体情况说明</w:t>
      </w:r>
      <w:bookmarkEnd w:id="14"/>
      <w:bookmarkEnd w:id="15"/>
    </w:p>
    <w:p w:rsidR="008853A8" w:rsidRPr="001848EE" w:rsidRDefault="001C2D35">
      <w:pPr>
        <w:ind w:firstLineChars="200" w:firstLine="640"/>
        <w:rPr>
          <w:rFonts w:ascii="仿宋_GB2312" w:eastAsia="仿宋_GB2312"/>
          <w:sz w:val="32"/>
          <w:szCs w:val="32"/>
        </w:rPr>
      </w:pPr>
      <w:r>
        <w:rPr>
          <w:rFonts w:ascii="仿宋_GB2312" w:eastAsia="仿宋_GB2312" w:hAnsi="仿宋_GB2312" w:cs="仿宋_GB2312"/>
          <w:sz w:val="32"/>
        </w:rPr>
        <w:t>2019年度财政拨款收入443.40万元，与上年相比，增加49.80万元，增长12.65%，主要原因是：对单位职工进行正常晋升调资，人员岗位变动等原因工资福利支出增加。财政拨款支出443.40万元，与上年相比，增加49.80万元，增长12.65%，主要原因是：对单位职工进行正常晋升调资，人员岗位变动等原因工资福利支出增加。</w:t>
      </w:r>
    </w:p>
    <w:p w:rsidR="008853A8" w:rsidRDefault="008853A8">
      <w:pPr>
        <w:ind w:firstLineChars="200" w:firstLine="640"/>
        <w:rPr>
          <w:rFonts w:ascii="仿宋_GB2312" w:eastAsia="仿宋_GB2312"/>
          <w:sz w:val="32"/>
          <w:szCs w:val="32"/>
        </w:rPr>
      </w:pPr>
      <w:r>
        <w:rPr>
          <w:rFonts w:ascii="仿宋_GB2312" w:eastAsia="仿宋_GB2312" w:hAnsi="仿宋_GB2312" w:cs="仿宋_GB2312"/>
          <w:sz w:val="32"/>
        </w:rPr>
        <w:t>与年初预算数相比情况：财政拨款收入年初预算数393.55万元，决算数443.40万元，预决算差异率12.67%，主要原因是：对单位职工进行正常晋升调资，人员岗位变动等原因工资福利支出增加。财政拨款支出年初预算数453.55万元，决算数443.40万元，预决算差异率-2.24%，主要原因是：机关事业单位基本养老保险缴费比例降低了。</w:t>
      </w:r>
    </w:p>
    <w:p w:rsidR="008853A8" w:rsidRDefault="008853A8">
      <w:pPr>
        <w:ind w:firstLineChars="200" w:firstLine="640"/>
        <w:outlineLvl w:val="1"/>
        <w:rPr>
          <w:rFonts w:ascii="黑体" w:eastAsia="黑体" w:hAnsi="黑体" w:cs="宋体"/>
          <w:bCs/>
          <w:kern w:val="0"/>
          <w:sz w:val="32"/>
          <w:szCs w:val="32"/>
        </w:rPr>
      </w:pPr>
      <w:bookmarkStart w:id="16" w:name="_Toc13833"/>
      <w:bookmarkStart w:id="17" w:name="_Toc20360"/>
      <w:r>
        <w:rPr>
          <w:rFonts w:ascii="黑体" w:eastAsia="黑体" w:hAnsi="黑体" w:cs="宋体" w:hint="eastAsia"/>
          <w:bCs/>
          <w:kern w:val="0"/>
          <w:sz w:val="32"/>
          <w:szCs w:val="32"/>
        </w:rPr>
        <w:lastRenderedPageBreak/>
        <w:t>五、一般公共预算财政拨款支出决算情况说明</w:t>
      </w:r>
      <w:bookmarkEnd w:id="16"/>
      <w:bookmarkEnd w:id="17"/>
    </w:p>
    <w:p w:rsidR="008853A8" w:rsidRDefault="005529D0">
      <w:pPr>
        <w:ind w:firstLineChars="200" w:firstLine="640"/>
        <w:rPr>
          <w:rFonts w:ascii="仿宋_GB2312" w:eastAsia="仿宋_GB2312"/>
          <w:sz w:val="32"/>
          <w:szCs w:val="32"/>
        </w:rPr>
      </w:pPr>
      <w:r>
        <w:rPr>
          <w:rFonts w:ascii="仿宋_GB2312" w:eastAsia="仿宋_GB2312" w:hAnsi="仿宋_GB2312" w:cs="仿宋_GB2312"/>
          <w:sz w:val="32"/>
        </w:rPr>
        <w:t>2019年度一般公共预算财政拨款支出443.40万元。按功能分类科目项级科目公开，其中：</w:t>
      </w:r>
    </w:p>
    <w:p w:rsidR="00EB4FD9" w:rsidRDefault="00E7571E">
      <w:pPr>
        <w:ind w:firstLine="480"/>
      </w:pPr>
      <w:r>
        <w:rPr>
          <w:rFonts w:ascii="仿宋_GB2312" w:eastAsia="仿宋_GB2312" w:hAnsi="仿宋_GB2312" w:cs="仿宋_GB2312"/>
          <w:sz w:val="32"/>
        </w:rPr>
        <w:t xml:space="preserve">   2299901其他支出14万元。</w:t>
      </w:r>
    </w:p>
    <w:p w:rsidR="00EB4FD9" w:rsidRDefault="00E7571E">
      <w:pPr>
        <w:ind w:firstLine="480"/>
      </w:pPr>
      <w:r>
        <w:rPr>
          <w:rFonts w:ascii="仿宋_GB2312" w:eastAsia="仿宋_GB2312" w:hAnsi="仿宋_GB2312" w:cs="仿宋_GB2312"/>
          <w:sz w:val="32"/>
        </w:rPr>
        <w:t xml:space="preserve">   2210201住房公积金支出25.10万元；</w:t>
      </w:r>
    </w:p>
    <w:p w:rsidR="00EB4FD9" w:rsidRDefault="00E7571E">
      <w:pPr>
        <w:ind w:firstLine="480"/>
      </w:pPr>
      <w:r>
        <w:rPr>
          <w:rFonts w:ascii="仿宋_GB2312" w:eastAsia="仿宋_GB2312" w:hAnsi="仿宋_GB2312" w:cs="仿宋_GB2312"/>
          <w:sz w:val="32"/>
        </w:rPr>
        <w:t xml:space="preserve">   2130106科技转化与推广服务支出50.96万元；</w:t>
      </w:r>
    </w:p>
    <w:p w:rsidR="00EB4FD9" w:rsidRDefault="00E7571E">
      <w:pPr>
        <w:ind w:firstLine="480"/>
      </w:pPr>
      <w:r>
        <w:rPr>
          <w:rFonts w:ascii="仿宋_GB2312" w:eastAsia="仿宋_GB2312" w:hAnsi="仿宋_GB2312" w:cs="仿宋_GB2312"/>
          <w:sz w:val="32"/>
        </w:rPr>
        <w:t xml:space="preserve">   2130104事业运行支出306.42万元；</w:t>
      </w:r>
    </w:p>
    <w:p w:rsidR="00EB4FD9" w:rsidRDefault="00E7571E">
      <w:pPr>
        <w:ind w:firstLine="480"/>
      </w:pPr>
      <w:r>
        <w:rPr>
          <w:rFonts w:ascii="仿宋_GB2312" w:eastAsia="仿宋_GB2312" w:hAnsi="仿宋_GB2312" w:cs="仿宋_GB2312"/>
          <w:sz w:val="32"/>
        </w:rPr>
        <w:t xml:space="preserve">   2110499其他自然生态保护支出7.08万元；</w:t>
      </w:r>
    </w:p>
    <w:p w:rsidR="00EB4FD9" w:rsidRDefault="00E7571E">
      <w:pPr>
        <w:ind w:firstLine="480"/>
      </w:pPr>
      <w:r>
        <w:rPr>
          <w:rFonts w:ascii="仿宋_GB2312" w:eastAsia="仿宋_GB2312" w:hAnsi="仿宋_GB2312" w:cs="仿宋_GB2312"/>
          <w:sz w:val="32"/>
        </w:rPr>
        <w:t xml:space="preserve">   2080506机关事业单位职业年金缴费支出5.87万元；</w:t>
      </w:r>
    </w:p>
    <w:p w:rsidR="00EB4FD9" w:rsidRDefault="00E7571E">
      <w:pPr>
        <w:ind w:firstLine="480"/>
      </w:pPr>
      <w:r>
        <w:rPr>
          <w:rFonts w:ascii="仿宋_GB2312" w:eastAsia="仿宋_GB2312" w:hAnsi="仿宋_GB2312" w:cs="仿宋_GB2312"/>
          <w:sz w:val="32"/>
        </w:rPr>
        <w:t xml:space="preserve">   2080505机关事业单位基本养老保险缴费支出33.97万元；</w:t>
      </w:r>
    </w:p>
    <w:p w:rsidR="008853A8" w:rsidRDefault="008853A8">
      <w:pPr>
        <w:ind w:firstLineChars="200" w:firstLine="640"/>
        <w:outlineLvl w:val="1"/>
        <w:rPr>
          <w:rFonts w:ascii="黑体" w:eastAsia="黑体" w:hAnsi="黑体" w:cs="宋体"/>
          <w:bCs/>
          <w:kern w:val="0"/>
          <w:sz w:val="32"/>
          <w:szCs w:val="32"/>
        </w:rPr>
      </w:pPr>
      <w:bookmarkStart w:id="18" w:name="_Toc11146"/>
      <w:bookmarkStart w:id="19" w:name="_Toc30870"/>
      <w:r>
        <w:rPr>
          <w:rFonts w:ascii="黑体" w:eastAsia="黑体" w:hAnsi="黑体" w:cs="宋体" w:hint="eastAsia"/>
          <w:bCs/>
          <w:kern w:val="0"/>
          <w:sz w:val="32"/>
          <w:szCs w:val="32"/>
        </w:rPr>
        <w:t>六、一般公共预算财政拨款基本支出决算情况说明</w:t>
      </w:r>
      <w:bookmarkEnd w:id="18"/>
      <w:bookmarkEnd w:id="19"/>
    </w:p>
    <w:p w:rsidR="008853A8" w:rsidRDefault="005B1DE6">
      <w:pPr>
        <w:ind w:firstLineChars="200" w:firstLine="640"/>
        <w:rPr>
          <w:rFonts w:ascii="仿宋_GB2312" w:eastAsia="仿宋_GB2312"/>
          <w:sz w:val="32"/>
          <w:szCs w:val="32"/>
        </w:rPr>
      </w:pPr>
      <w:r>
        <w:rPr>
          <w:rFonts w:ascii="仿宋_GB2312" w:eastAsia="仿宋_GB2312" w:hAnsi="仿宋_GB2312" w:cs="仿宋_GB2312"/>
          <w:sz w:val="32"/>
        </w:rPr>
        <w:t>2019年度一般公共预算财政拨款基本支出371.36万元，其中：</w:t>
      </w:r>
    </w:p>
    <w:p w:rsidR="008853A8" w:rsidRDefault="008853A8">
      <w:pPr>
        <w:ind w:firstLineChars="200" w:firstLine="640"/>
        <w:rPr>
          <w:rFonts w:ascii="仿宋_GB2312" w:eastAsia="仿宋_GB2312"/>
          <w:sz w:val="32"/>
          <w:szCs w:val="32"/>
        </w:rPr>
      </w:pPr>
      <w:r>
        <w:rPr>
          <w:rFonts w:ascii="仿宋_GB2312" w:eastAsia="仿宋_GB2312" w:hAnsi="仿宋_GB2312" w:cs="仿宋_GB2312"/>
          <w:sz w:val="32"/>
        </w:rPr>
        <w:t>人员经费363.49万元，包括：基本工资、津贴补贴、奖金、绩效工资、机关事业单位基本养老保险缴费、职业年金缴费、职工基本医疗保险缴费、公务员医疗补助缴费、其他社会保障缴费、住房公积金、退休费、生活补助、奖励金。</w:t>
      </w:r>
    </w:p>
    <w:p w:rsidR="008853A8" w:rsidRDefault="008853A8">
      <w:pPr>
        <w:ind w:firstLineChars="200" w:firstLine="640"/>
        <w:rPr>
          <w:rFonts w:ascii="仿宋_GB2312" w:eastAsia="仿宋_GB2312"/>
          <w:sz w:val="32"/>
          <w:szCs w:val="32"/>
        </w:rPr>
      </w:pPr>
      <w:r>
        <w:rPr>
          <w:rFonts w:ascii="仿宋_GB2312" w:eastAsia="仿宋_GB2312" w:hAnsi="仿宋_GB2312" w:cs="仿宋_GB2312"/>
          <w:sz w:val="32"/>
        </w:rPr>
        <w:t>公用经费7.87万元，包括：办公费、手续费、邮电费、物业管理费、差旅费、专用材料费、公务用车运行维护费、其他交通费用、其他商品和服务支出</w:t>
      </w:r>
      <w:r w:rsidR="00AE1DC0">
        <w:rPr>
          <w:rFonts w:ascii="仿宋_GB2312" w:eastAsia="仿宋_GB2312" w:hAnsi="仿宋_GB2312" w:cs="仿宋_GB2312" w:hint="eastAsia"/>
          <w:sz w:val="32"/>
        </w:rPr>
        <w:t>、办公设备购置</w:t>
      </w:r>
      <w:r>
        <w:rPr>
          <w:rFonts w:ascii="仿宋_GB2312" w:eastAsia="仿宋_GB2312" w:hAnsi="仿宋_GB2312" w:cs="仿宋_GB2312"/>
          <w:sz w:val="32"/>
        </w:rPr>
        <w:t>。</w:t>
      </w:r>
    </w:p>
    <w:p w:rsidR="008853A8" w:rsidRDefault="008853A8">
      <w:pPr>
        <w:ind w:firstLineChars="200" w:firstLine="640"/>
        <w:outlineLvl w:val="1"/>
        <w:rPr>
          <w:rFonts w:ascii="黑体" w:eastAsia="黑体" w:hAnsi="黑体" w:cs="宋体"/>
          <w:bCs/>
          <w:kern w:val="0"/>
          <w:sz w:val="32"/>
          <w:szCs w:val="32"/>
        </w:rPr>
      </w:pPr>
      <w:bookmarkStart w:id="20" w:name="_Toc7190"/>
      <w:bookmarkStart w:id="21" w:name="_Toc21518"/>
      <w:r>
        <w:rPr>
          <w:rFonts w:ascii="黑体" w:eastAsia="黑体" w:hAnsi="黑体" w:cs="宋体" w:hint="eastAsia"/>
          <w:bCs/>
          <w:kern w:val="0"/>
          <w:sz w:val="32"/>
          <w:szCs w:val="32"/>
        </w:rPr>
        <w:t>七、一般公共预算财政拨款“三公”经费支出决算情况</w:t>
      </w:r>
      <w:r>
        <w:rPr>
          <w:rFonts w:ascii="黑体" w:eastAsia="黑体" w:hAnsi="黑体" w:cs="宋体" w:hint="eastAsia"/>
          <w:bCs/>
          <w:kern w:val="0"/>
          <w:sz w:val="32"/>
          <w:szCs w:val="32"/>
        </w:rPr>
        <w:lastRenderedPageBreak/>
        <w:t>说明</w:t>
      </w:r>
      <w:bookmarkEnd w:id="20"/>
      <w:bookmarkEnd w:id="21"/>
    </w:p>
    <w:p w:rsidR="008853A8" w:rsidRDefault="00340AE7">
      <w:pPr>
        <w:ind w:firstLineChars="200" w:firstLine="640"/>
        <w:rPr>
          <w:rFonts w:ascii="仿宋_GB2312" w:eastAsia="仿宋_GB2312"/>
          <w:sz w:val="32"/>
          <w:szCs w:val="32"/>
        </w:rPr>
      </w:pPr>
      <w:r>
        <w:rPr>
          <w:rFonts w:ascii="仿宋_GB2312" w:eastAsia="仿宋_GB2312" w:hAnsi="仿宋_GB2312" w:cs="仿宋_GB2312"/>
          <w:sz w:val="32"/>
        </w:rPr>
        <w:t>2019年度一般公共预算“三公”经费支出决算1.20万元，比上年增加0万元，增长0%，主要原因是与上年相比无变化，与上年一致。其中，因公出国（境）费支出0万元，占0%，比上年增加0万元，增长0%，主要原因是与上年相比无变化，与上年一致；公务用车购置及运行维护费支出1.20万元，占100%，比上年增加0万元，增长0%，主要原因是与上年相比无变化，与上年一致；公务接待费支出0万元，占0%，比上年增加0万元，增长0%，主要原因是与上年相比无变化，与上年一致。具体情况如下：</w:t>
      </w:r>
    </w:p>
    <w:p w:rsidR="008853A8" w:rsidRDefault="008853A8">
      <w:pPr>
        <w:ind w:firstLineChars="200" w:firstLine="640"/>
        <w:rPr>
          <w:rFonts w:ascii="仿宋_GB2312" w:eastAsia="仿宋_GB2312"/>
          <w:sz w:val="32"/>
          <w:szCs w:val="32"/>
        </w:rPr>
      </w:pPr>
      <w:r>
        <w:rPr>
          <w:rFonts w:ascii="仿宋_GB2312" w:eastAsia="仿宋_GB2312" w:hAnsi="仿宋_GB2312" w:cs="仿宋_GB2312"/>
          <w:sz w:val="32"/>
        </w:rPr>
        <w:t>因公出国（境）费支出0万元，开支内容包括：预算未安排，无此项支出。单位全年安排的因公出国（境）团组0个，因公出国（境）0人次。</w:t>
      </w:r>
    </w:p>
    <w:p w:rsidR="008853A8" w:rsidRDefault="008853A8">
      <w:pPr>
        <w:ind w:firstLineChars="200" w:firstLine="640"/>
        <w:rPr>
          <w:rFonts w:ascii="仿宋_GB2312" w:eastAsia="仿宋_GB2312"/>
          <w:sz w:val="32"/>
          <w:szCs w:val="32"/>
        </w:rPr>
      </w:pPr>
      <w:r>
        <w:rPr>
          <w:rFonts w:ascii="仿宋_GB2312" w:eastAsia="仿宋_GB2312" w:hAnsi="仿宋_GB2312" w:cs="仿宋_GB2312"/>
          <w:sz w:val="32"/>
        </w:rPr>
        <w:t>公务用车购置及运行维护费1.20万元，其中，公务用车购置费0万元，公务用车运行维护费1.20万元。公务用车运行维护费开支内容包括公务用车运行维护费主要用汽车由料、维护费、过路费。公务用车购置数0辆，公务用车保有量1辆。</w:t>
      </w:r>
    </w:p>
    <w:p w:rsidR="008853A8" w:rsidRDefault="008853A8">
      <w:pPr>
        <w:ind w:firstLineChars="200" w:firstLine="640"/>
        <w:rPr>
          <w:rFonts w:ascii="仿宋_GB2312" w:eastAsia="仿宋_GB2312"/>
          <w:sz w:val="32"/>
          <w:szCs w:val="32"/>
        </w:rPr>
      </w:pPr>
      <w:r>
        <w:rPr>
          <w:rFonts w:ascii="仿宋_GB2312" w:eastAsia="仿宋_GB2312" w:hAnsi="仿宋_GB2312" w:cs="仿宋_GB2312"/>
          <w:sz w:val="32"/>
        </w:rPr>
        <w:t>公务接待费0万元，开支内容包括预算未安排，无此项支出。单位全年安排的国内公务接待0批次，0人次。</w:t>
      </w:r>
    </w:p>
    <w:p w:rsidR="008853A8" w:rsidRDefault="008853A8">
      <w:pPr>
        <w:ind w:firstLineChars="200" w:firstLine="640"/>
        <w:rPr>
          <w:rFonts w:ascii="仿宋_GB2312" w:eastAsia="仿宋_GB2312"/>
          <w:sz w:val="32"/>
          <w:szCs w:val="32"/>
        </w:rPr>
      </w:pPr>
      <w:r>
        <w:rPr>
          <w:rFonts w:ascii="仿宋_GB2312" w:eastAsia="仿宋_GB2312" w:hAnsi="仿宋_GB2312" w:cs="仿宋_GB2312"/>
          <w:sz w:val="32"/>
        </w:rPr>
        <w:t>与年初预算数相比情况：一般公共预算“三公”经费支出年初预算数1.20万元，决算数1.20万元，预决算差异率</w:t>
      </w:r>
      <w:r>
        <w:rPr>
          <w:rFonts w:ascii="仿宋_GB2312" w:eastAsia="仿宋_GB2312" w:hAnsi="仿宋_GB2312" w:cs="仿宋_GB2312"/>
          <w:sz w:val="32"/>
        </w:rPr>
        <w:lastRenderedPageBreak/>
        <w:t>0%，主要原因是：严格按照预算安排执行，无差异。其中：因公出国（境）费预算数0万元，决算数0万元，预决算差异率0%，主要原因是：预算未安排，无此项支出；公务用车购置费预算数0万元，决算数0万元，预决算差异率0%，主要原因是：预算未安排，无此项支出；公务用车运行费预算数1.20万元，决算数1.20万元，预决算差异率0%，主要原因是：严格按照预算安排执行，无差异；公务接待费预算数0万元，决算数0万元，预决算差异率0%，主要原因是：预算未安排，无此项支出。</w:t>
      </w:r>
    </w:p>
    <w:p w:rsidR="008853A8" w:rsidRDefault="008853A8">
      <w:pPr>
        <w:ind w:firstLineChars="200" w:firstLine="640"/>
        <w:outlineLvl w:val="1"/>
        <w:rPr>
          <w:rFonts w:ascii="黑体" w:eastAsia="黑体" w:hAnsi="黑体" w:cs="宋体"/>
          <w:bCs/>
          <w:kern w:val="0"/>
          <w:sz w:val="32"/>
          <w:szCs w:val="32"/>
        </w:rPr>
      </w:pPr>
      <w:bookmarkStart w:id="22" w:name="_Toc7927"/>
      <w:bookmarkStart w:id="23" w:name="_Toc5810"/>
      <w:r>
        <w:rPr>
          <w:rFonts w:ascii="黑体" w:eastAsia="黑体" w:hAnsi="黑体" w:cs="宋体" w:hint="eastAsia"/>
          <w:bCs/>
          <w:kern w:val="0"/>
          <w:sz w:val="32"/>
          <w:szCs w:val="32"/>
        </w:rPr>
        <w:t>八、政府性基金预算收入支出决算情况说明</w:t>
      </w:r>
      <w:bookmarkEnd w:id="22"/>
      <w:bookmarkEnd w:id="23"/>
    </w:p>
    <w:p w:rsidR="008853A8" w:rsidRPr="008F7D99" w:rsidRDefault="00922FA7">
      <w:pPr>
        <w:ind w:firstLineChars="200" w:firstLine="640"/>
        <w:rPr>
          <w:rFonts w:ascii="仿宋_GB2312" w:eastAsia="仿宋_GB2312"/>
          <w:color w:val="000000" w:themeColor="text1"/>
          <w:sz w:val="32"/>
          <w:szCs w:val="32"/>
        </w:rPr>
      </w:pPr>
      <w:r>
        <w:rPr>
          <w:rFonts w:ascii="仿宋_GB2312" w:eastAsia="仿宋_GB2312" w:hAnsi="仿宋_GB2312" w:cs="仿宋_GB2312"/>
          <w:sz w:val="32"/>
        </w:rPr>
        <w:t>我单位本年度无政府性基金预算财政拨款收入支出，政府性基金预算财政拨款收入支出决算表为空表。</w:t>
      </w:r>
    </w:p>
    <w:p w:rsidR="008853A8" w:rsidRDefault="008853A8">
      <w:pPr>
        <w:ind w:firstLineChars="200" w:firstLine="640"/>
        <w:outlineLvl w:val="1"/>
        <w:rPr>
          <w:rFonts w:ascii="黑体" w:eastAsia="黑体" w:hAnsi="黑体" w:cs="宋体"/>
          <w:bCs/>
          <w:kern w:val="0"/>
          <w:sz w:val="32"/>
          <w:szCs w:val="32"/>
        </w:rPr>
      </w:pPr>
      <w:bookmarkStart w:id="24" w:name="_Toc7314"/>
      <w:bookmarkStart w:id="25" w:name="_Toc1235"/>
      <w:r>
        <w:rPr>
          <w:rFonts w:ascii="黑体" w:eastAsia="黑体" w:hAnsi="黑体" w:cs="宋体" w:hint="eastAsia"/>
          <w:bCs/>
          <w:kern w:val="0"/>
          <w:sz w:val="32"/>
          <w:szCs w:val="32"/>
        </w:rPr>
        <w:t>九、其他重要事项的情况说明</w:t>
      </w:r>
      <w:bookmarkEnd w:id="24"/>
      <w:bookmarkEnd w:id="25"/>
    </w:p>
    <w:p w:rsidR="008853A8" w:rsidRDefault="008853A8">
      <w:pPr>
        <w:ind w:firstLineChars="200" w:firstLine="640"/>
        <w:outlineLvl w:val="2"/>
        <w:rPr>
          <w:rFonts w:ascii="黑体" w:eastAsia="黑体" w:hAnsi="黑体"/>
          <w:sz w:val="32"/>
          <w:szCs w:val="32"/>
        </w:rPr>
      </w:pPr>
      <w:bookmarkStart w:id="26" w:name="_Toc13105"/>
      <w:bookmarkStart w:id="27" w:name="_Toc14519"/>
      <w:r>
        <w:rPr>
          <w:rFonts w:ascii="黑体" w:eastAsia="黑体" w:hAnsi="黑体" w:hint="eastAsia"/>
          <w:sz w:val="32"/>
          <w:szCs w:val="32"/>
        </w:rPr>
        <w:t>（一）机关运行经费支出情况</w:t>
      </w:r>
      <w:bookmarkEnd w:id="26"/>
      <w:bookmarkEnd w:id="27"/>
    </w:p>
    <w:p w:rsidR="00553FB5" w:rsidRDefault="00553FB5">
      <w:pPr>
        <w:ind w:firstLineChars="200" w:firstLine="640"/>
        <w:rPr>
          <w:rFonts w:ascii="仿宋_GB2312" w:eastAsia="仿宋_GB2312"/>
          <w:sz w:val="32"/>
          <w:szCs w:val="32"/>
        </w:rPr>
      </w:pPr>
      <w:r>
        <w:rPr>
          <w:rFonts w:ascii="仿宋_GB2312" w:eastAsia="仿宋_GB2312" w:hAnsi="仿宋_GB2312" w:cs="仿宋_GB2312"/>
          <w:sz w:val="32"/>
        </w:rPr>
        <w:t>新疆喀什地区草原站日常公用经费7.87万元，比上年增加2.36万元，增长42.83%，主要原因是增加4_5月工作经费及采购条码打印机款。</w:t>
      </w:r>
    </w:p>
    <w:p w:rsidR="008853A8" w:rsidRDefault="008853A8">
      <w:pPr>
        <w:ind w:firstLineChars="200" w:firstLine="640"/>
        <w:outlineLvl w:val="2"/>
        <w:rPr>
          <w:rFonts w:ascii="黑体" w:eastAsia="黑体" w:hAnsi="黑体"/>
          <w:sz w:val="32"/>
          <w:szCs w:val="32"/>
        </w:rPr>
      </w:pPr>
      <w:bookmarkStart w:id="28" w:name="_Toc26704"/>
      <w:bookmarkStart w:id="29" w:name="_Toc227"/>
      <w:r>
        <w:rPr>
          <w:rFonts w:ascii="黑体" w:eastAsia="黑体" w:hAnsi="黑体" w:hint="eastAsia"/>
          <w:sz w:val="32"/>
          <w:szCs w:val="32"/>
        </w:rPr>
        <w:t>（二）政府采购情况</w:t>
      </w:r>
      <w:bookmarkEnd w:id="28"/>
      <w:bookmarkEnd w:id="29"/>
    </w:p>
    <w:p w:rsidR="008853A8" w:rsidRDefault="002122DE">
      <w:pPr>
        <w:ind w:firstLineChars="200" w:firstLine="640"/>
        <w:rPr>
          <w:rFonts w:ascii="仿宋_GB2312" w:eastAsia="仿宋_GB2312"/>
          <w:sz w:val="32"/>
          <w:szCs w:val="32"/>
        </w:rPr>
      </w:pPr>
      <w:r>
        <w:rPr>
          <w:rFonts w:ascii="仿宋_GB2312" w:eastAsia="仿宋_GB2312" w:hAnsi="仿宋_GB2312" w:cs="仿宋_GB2312"/>
          <w:sz w:val="32"/>
        </w:rPr>
        <w:t>2019年度政府采购支出总额28.80万元，其中：政府采购货物支出28.46万元、政府采购工程支出0万元、政府采购服务支出0.34万元。</w:t>
      </w:r>
    </w:p>
    <w:p w:rsidR="008853A8" w:rsidRDefault="008853A8">
      <w:pPr>
        <w:ind w:firstLineChars="200" w:firstLine="640"/>
        <w:rPr>
          <w:rFonts w:ascii="仿宋_GB2312" w:eastAsia="仿宋_GB2312"/>
          <w:sz w:val="32"/>
          <w:szCs w:val="32"/>
        </w:rPr>
      </w:pPr>
      <w:r>
        <w:rPr>
          <w:rFonts w:ascii="仿宋_GB2312" w:eastAsia="仿宋_GB2312" w:hAnsi="仿宋_GB2312" w:cs="仿宋_GB2312"/>
          <w:sz w:val="32"/>
        </w:rPr>
        <w:t>授予中小企业合同金额28.80万元，占政府采购支出总</w:t>
      </w:r>
      <w:r>
        <w:rPr>
          <w:rFonts w:ascii="仿宋_GB2312" w:eastAsia="仿宋_GB2312" w:hAnsi="仿宋_GB2312" w:cs="仿宋_GB2312"/>
          <w:sz w:val="32"/>
        </w:rPr>
        <w:lastRenderedPageBreak/>
        <w:t>额的100%，其中：授予小微企业合同金额0万元，占政府采购支出总额的0%。</w:t>
      </w:r>
    </w:p>
    <w:p w:rsidR="008853A8" w:rsidRDefault="008853A8">
      <w:pPr>
        <w:ind w:firstLineChars="200" w:firstLine="640"/>
        <w:outlineLvl w:val="2"/>
        <w:rPr>
          <w:rFonts w:ascii="黑体" w:eastAsia="黑体" w:hAnsi="黑体"/>
          <w:sz w:val="32"/>
          <w:szCs w:val="32"/>
        </w:rPr>
      </w:pPr>
      <w:bookmarkStart w:id="30" w:name="_Toc4591"/>
      <w:bookmarkStart w:id="31" w:name="_Toc8391"/>
      <w:r>
        <w:rPr>
          <w:rFonts w:ascii="黑体" w:eastAsia="黑体" w:hAnsi="黑体" w:hint="eastAsia"/>
          <w:sz w:val="32"/>
          <w:szCs w:val="32"/>
        </w:rPr>
        <w:t>（三）国有资产占用情况说明</w:t>
      </w:r>
      <w:bookmarkEnd w:id="30"/>
      <w:bookmarkEnd w:id="31"/>
    </w:p>
    <w:p w:rsidR="008853A8" w:rsidRDefault="008853A8">
      <w:pPr>
        <w:ind w:firstLineChars="200" w:firstLine="640"/>
        <w:rPr>
          <w:rFonts w:ascii="仿宋_GB2312" w:eastAsia="仿宋_GB2312"/>
          <w:sz w:val="32"/>
          <w:szCs w:val="32"/>
        </w:rPr>
      </w:pPr>
      <w:r>
        <w:rPr>
          <w:rFonts w:ascii="仿宋_GB2312" w:eastAsia="仿宋_GB2312" w:hAnsi="仿宋_GB2312" w:cs="仿宋_GB2312"/>
          <w:sz w:val="32"/>
        </w:rPr>
        <w:t>截止2019年12月31日，单位共有房屋44（平方米），价值0.70万元。车辆1辆，价值19.70万元，其中：副部（省）级及以上领导用车0辆、主要领导干部用车0辆、机要通信用车0辆、应急保障用车0辆、执法执勤用车0辆、特种专业技术用车0辆、离退休干部用车0辆、其他用车1辆，其他用车主要是：一般公务用车；单位价值50万元以上通用设备0台（套）、单位价值100万元以上专用设备0台（套）。</w:t>
      </w:r>
    </w:p>
    <w:p w:rsidR="008853A8" w:rsidRDefault="008853A8">
      <w:pPr>
        <w:ind w:firstLineChars="200" w:firstLine="640"/>
        <w:outlineLvl w:val="1"/>
        <w:rPr>
          <w:rFonts w:ascii="黑体" w:eastAsia="黑体" w:hAnsi="黑体" w:cs="宋体"/>
          <w:bCs/>
          <w:kern w:val="0"/>
          <w:sz w:val="32"/>
          <w:szCs w:val="32"/>
        </w:rPr>
      </w:pPr>
      <w:bookmarkStart w:id="32" w:name="_Toc435"/>
      <w:bookmarkStart w:id="33" w:name="_Toc11283"/>
      <w:r>
        <w:rPr>
          <w:rFonts w:ascii="黑体" w:eastAsia="黑体" w:hAnsi="黑体" w:cs="宋体" w:hint="eastAsia"/>
          <w:bCs/>
          <w:kern w:val="0"/>
          <w:sz w:val="32"/>
          <w:szCs w:val="32"/>
        </w:rPr>
        <w:t>十、预算绩效的情况说明</w:t>
      </w:r>
      <w:bookmarkEnd w:id="32"/>
      <w:bookmarkEnd w:id="33"/>
    </w:p>
    <w:p w:rsidR="008853A8" w:rsidRDefault="0095219B">
      <w:pPr>
        <w:ind w:firstLineChars="200" w:firstLine="640"/>
        <w:rPr>
          <w:rFonts w:ascii="仿宋_GB2312" w:eastAsia="仿宋_GB2312"/>
          <w:sz w:val="32"/>
          <w:szCs w:val="32"/>
        </w:rPr>
      </w:pPr>
      <w:r>
        <w:rPr>
          <w:rFonts w:ascii="仿宋_GB2312" w:eastAsia="仿宋_GB2312" w:hAnsi="仿宋_GB2312" w:cs="仿宋_GB2312"/>
          <w:sz w:val="32"/>
        </w:rPr>
        <w:t>根据预算绩效管理要求，我单位2019年度开展预算绩效评价项目6个，共涉及资金72.03万元。预算绩效管理取得的成效：一是经济性评价：地区草原站年度任务在预算资金额度内完成，并通过规范的招投标及严格的资金管理及项目管理及其他创新的管理措施实现了资金的节约。三公经费在预算范围内开支，开支范围较上年无增减变化。二是效率性评价：地区草原站各项工作计划按预期计划按时完成，效益按预期时间产生。三是效益性评价：预期的经济效益、社会效益、可持续的影响产生，相关人员的满意度达到满意度目标值。发现的问题及原因：一是通过预算绩效管理，发现</w:t>
      </w:r>
      <w:r>
        <w:rPr>
          <w:rFonts w:ascii="仿宋_GB2312" w:eastAsia="仿宋_GB2312" w:hAnsi="仿宋_GB2312" w:cs="仿宋_GB2312"/>
          <w:sz w:val="32"/>
        </w:rPr>
        <w:lastRenderedPageBreak/>
        <w:t>了工作中存在的不足，如项目管理不够，档案管理还不够规范，影响了项目绩效评价。下一步改进措施：一是年初做好资金计划及项目实施方案，根据单位实际人员和情况合理安排项目实施进度，按照项目进度及时拨付资金，使资金使用效益最大化，减少不必要的浪费，节约成本。具体项目自评情况附项目支出绩效自评表。</w:t>
      </w:r>
    </w:p>
    <w:p w:rsidR="008853A8" w:rsidRDefault="008853A8">
      <w:pPr>
        <w:ind w:firstLineChars="200" w:firstLine="640"/>
        <w:jc w:val="center"/>
        <w:outlineLvl w:val="0"/>
        <w:rPr>
          <w:rFonts w:ascii="黑体" w:eastAsia="黑体" w:hAnsi="黑体"/>
          <w:sz w:val="32"/>
          <w:szCs w:val="32"/>
        </w:rPr>
      </w:pPr>
      <w:bookmarkStart w:id="34" w:name="_Toc24143"/>
      <w:bookmarkStart w:id="35" w:name="_Toc3250"/>
      <w:r>
        <w:rPr>
          <w:rFonts w:ascii="黑体" w:eastAsia="黑体" w:hAnsi="黑体" w:hint="eastAsia"/>
          <w:sz w:val="32"/>
          <w:szCs w:val="32"/>
        </w:rPr>
        <w:t>第三部分 专业名词解释</w:t>
      </w:r>
      <w:bookmarkEnd w:id="34"/>
      <w:bookmarkEnd w:id="35"/>
    </w:p>
    <w:p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财政拨款收入：指同级财政当年拨付的资金。</w:t>
      </w:r>
    </w:p>
    <w:p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上级补助收入：指事业单位从主管部门和上级单位取得的非财政补助收入。</w:t>
      </w:r>
    </w:p>
    <w:p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事业收入：指事业单位开展专业业务活动及其辅助活动所取得的收入。</w:t>
      </w:r>
    </w:p>
    <w:p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经营收入：指事业单位在专业业务活动及其辅助活动之外开展非独立核算经营活动取得的收入。</w:t>
      </w:r>
    </w:p>
    <w:p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附属单位上缴收入：指事业单位附属的独立核算单位按有关规定上缴的收入。</w:t>
      </w:r>
    </w:p>
    <w:p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其他收入：指除上述“财政拨款收入”、“事业收入”、“经营收入”、“附属单位上缴收入”等之外取得的收入。</w:t>
      </w:r>
    </w:p>
    <w:p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用事业基金弥补收支差额：指事业单位在当年的“财政拨款收入”、“财政拨款结转和结余资金”、“事业收入”、“事业单位经营收入”、“其他收入”不足以安排当年支出的情况下，使用以前年度积累的事业基金（即事业单位当年收支相</w:t>
      </w:r>
      <w:r>
        <w:rPr>
          <w:rFonts w:ascii="仿宋_GB2312" w:eastAsia="仿宋_GB2312" w:hint="eastAsia"/>
          <w:sz w:val="32"/>
          <w:szCs w:val="32"/>
        </w:rPr>
        <w:lastRenderedPageBreak/>
        <w:t>抵后按国家规定提取、用于弥补以后年度收支差额的基金）弥补本年度收支缺口的资金。</w:t>
      </w:r>
    </w:p>
    <w:p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年初结转和结余：指以前年度支出预算因客观条件变化未执行完毕、结转到本年度按有关规定继续使用的资金，既包括财政拨款结转和结余，也包括事业收入、经营收入、其他收入的结转和结余。</w:t>
      </w:r>
    </w:p>
    <w:p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基本支出：指为保障机构正常运转、完成日常工作任务而发生的人员支出和公用支出。</w:t>
      </w:r>
    </w:p>
    <w:p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项目支出：指在基本支出之外为完成特定行政任务和事业发展目标所发生的支出。</w:t>
      </w:r>
    </w:p>
    <w:p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经营支出：指事业单位在专业业务活动及其辅助活动之外开展非独立核算经营活动发生的支出。</w:t>
      </w:r>
    </w:p>
    <w:p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对附属单位补助支出：指事业单位发生的用非财政预算资金对附属单位的补助支出。</w:t>
      </w:r>
    </w:p>
    <w:p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三公”经费：指用一般公共预算财政拨款安排的因公出国（境）费、公务用车购置及运行费和公务接待费。其中，因公出国（境）费反映单位公务出国（境）的住宿费、旅费、伙食补助费、杂费、培训费等支出；公务用车购置及运行费</w:t>
      </w:r>
      <w:r>
        <w:rPr>
          <w:rFonts w:ascii="仿宋_GB2312" w:eastAsia="仿宋_GB2312" w:hint="eastAsia"/>
          <w:sz w:val="32"/>
          <w:szCs w:val="32"/>
        </w:rPr>
        <w:lastRenderedPageBreak/>
        <w:t>反映单位公务用车购置费及租用费、燃料费、维修费、过路过桥费、保险费、安全奖励费用等支出；公务接待费反映单位按规定开支的各类公务接待（含外宾接待）支出。</w:t>
      </w:r>
    </w:p>
    <w:p w:rsidR="008853A8" w:rsidRDefault="008853A8">
      <w:pPr>
        <w:ind w:firstLineChars="200" w:firstLine="640"/>
        <w:rPr>
          <w:rFonts w:ascii="仿宋_GB2312" w:eastAsia="仿宋_GB2312"/>
          <w:sz w:val="32"/>
          <w:szCs w:val="32"/>
        </w:rPr>
      </w:pPr>
      <w:r>
        <w:rPr>
          <w:rFonts w:ascii="仿宋_GB2312" w:eastAsia="仿宋_GB2312" w:hint="eastAsia"/>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rsidR="008853A8" w:rsidRDefault="008853A8">
      <w:pPr>
        <w:ind w:firstLineChars="200" w:firstLine="640"/>
        <w:jc w:val="center"/>
        <w:outlineLvl w:val="0"/>
        <w:rPr>
          <w:rFonts w:ascii="黑体" w:eastAsia="黑体" w:hAnsi="黑体"/>
          <w:sz w:val="32"/>
          <w:szCs w:val="32"/>
        </w:rPr>
      </w:pPr>
      <w:bookmarkStart w:id="36" w:name="_Toc28903"/>
      <w:bookmarkStart w:id="37" w:name="_Toc22784"/>
      <w:r>
        <w:rPr>
          <w:rFonts w:ascii="黑体" w:eastAsia="黑体" w:hAnsi="黑体" w:hint="eastAsia"/>
          <w:sz w:val="32"/>
          <w:szCs w:val="32"/>
        </w:rPr>
        <w:t>第四部分 部门决算报表（见附表）</w:t>
      </w:r>
      <w:bookmarkEnd w:id="36"/>
      <w:bookmarkEnd w:id="37"/>
    </w:p>
    <w:p w:rsidR="008853A8" w:rsidRDefault="008853A8">
      <w:pPr>
        <w:ind w:firstLineChars="200" w:firstLine="640"/>
        <w:outlineLvl w:val="1"/>
        <w:rPr>
          <w:rFonts w:ascii="黑体" w:eastAsia="黑体" w:hAnsi="黑体" w:cs="宋体"/>
          <w:bCs/>
          <w:kern w:val="0"/>
          <w:sz w:val="32"/>
          <w:szCs w:val="32"/>
        </w:rPr>
      </w:pPr>
      <w:bookmarkStart w:id="38" w:name="_Toc6062"/>
      <w:bookmarkStart w:id="39" w:name="_Toc2183"/>
      <w:r>
        <w:rPr>
          <w:rFonts w:ascii="黑体" w:eastAsia="黑体" w:hAnsi="黑体" w:cs="宋体" w:hint="eastAsia"/>
          <w:bCs/>
          <w:kern w:val="0"/>
          <w:sz w:val="32"/>
          <w:szCs w:val="32"/>
        </w:rPr>
        <w:t>一、《收入支出决算总表》</w:t>
      </w:r>
      <w:bookmarkEnd w:id="38"/>
      <w:bookmarkEnd w:id="39"/>
    </w:p>
    <w:p w:rsidR="008853A8" w:rsidRDefault="008853A8">
      <w:pPr>
        <w:ind w:firstLineChars="200" w:firstLine="640"/>
        <w:outlineLvl w:val="1"/>
        <w:rPr>
          <w:rFonts w:ascii="黑体" w:eastAsia="黑体" w:hAnsi="黑体" w:cs="宋体"/>
          <w:bCs/>
          <w:kern w:val="0"/>
          <w:sz w:val="32"/>
          <w:szCs w:val="32"/>
        </w:rPr>
      </w:pPr>
      <w:bookmarkStart w:id="40" w:name="_Toc30364"/>
      <w:bookmarkStart w:id="41" w:name="_Toc24532"/>
      <w:r>
        <w:rPr>
          <w:rFonts w:ascii="黑体" w:eastAsia="黑体" w:hAnsi="黑体" w:cs="宋体" w:hint="eastAsia"/>
          <w:bCs/>
          <w:kern w:val="0"/>
          <w:sz w:val="32"/>
          <w:szCs w:val="32"/>
        </w:rPr>
        <w:t>二、《收入决算表》</w:t>
      </w:r>
      <w:bookmarkEnd w:id="40"/>
      <w:bookmarkEnd w:id="41"/>
    </w:p>
    <w:p w:rsidR="008853A8" w:rsidRDefault="008853A8">
      <w:pPr>
        <w:ind w:firstLineChars="200" w:firstLine="640"/>
        <w:outlineLvl w:val="1"/>
        <w:rPr>
          <w:rFonts w:ascii="黑体" w:eastAsia="黑体" w:hAnsi="黑体" w:cs="宋体"/>
          <w:bCs/>
          <w:kern w:val="0"/>
          <w:sz w:val="32"/>
          <w:szCs w:val="32"/>
        </w:rPr>
      </w:pPr>
      <w:bookmarkStart w:id="42" w:name="_Toc21304"/>
      <w:bookmarkStart w:id="43" w:name="_Toc32434"/>
      <w:r>
        <w:rPr>
          <w:rFonts w:ascii="黑体" w:eastAsia="黑体" w:hAnsi="黑体" w:cs="宋体" w:hint="eastAsia"/>
          <w:bCs/>
          <w:kern w:val="0"/>
          <w:sz w:val="32"/>
          <w:szCs w:val="32"/>
        </w:rPr>
        <w:t>三、《支出决算表》</w:t>
      </w:r>
      <w:bookmarkEnd w:id="42"/>
      <w:bookmarkEnd w:id="43"/>
    </w:p>
    <w:p w:rsidR="008853A8" w:rsidRDefault="008853A8">
      <w:pPr>
        <w:ind w:firstLineChars="200" w:firstLine="640"/>
        <w:outlineLvl w:val="1"/>
        <w:rPr>
          <w:rFonts w:ascii="黑体" w:eastAsia="黑体" w:hAnsi="黑体" w:cs="宋体"/>
          <w:bCs/>
          <w:kern w:val="0"/>
          <w:sz w:val="32"/>
          <w:szCs w:val="32"/>
        </w:rPr>
      </w:pPr>
      <w:bookmarkStart w:id="44" w:name="_Toc14238"/>
      <w:bookmarkStart w:id="45" w:name="_Toc28786"/>
      <w:r>
        <w:rPr>
          <w:rFonts w:ascii="黑体" w:eastAsia="黑体" w:hAnsi="黑体" w:cs="宋体" w:hint="eastAsia"/>
          <w:bCs/>
          <w:kern w:val="0"/>
          <w:sz w:val="32"/>
          <w:szCs w:val="32"/>
        </w:rPr>
        <w:t>四、《财政拨款收入支出决算总表》</w:t>
      </w:r>
      <w:bookmarkEnd w:id="44"/>
      <w:bookmarkEnd w:id="45"/>
    </w:p>
    <w:p w:rsidR="008853A8" w:rsidRDefault="008853A8">
      <w:pPr>
        <w:ind w:firstLineChars="200" w:firstLine="640"/>
        <w:outlineLvl w:val="1"/>
        <w:rPr>
          <w:rFonts w:ascii="黑体" w:eastAsia="黑体" w:hAnsi="黑体" w:cs="宋体"/>
          <w:bCs/>
          <w:kern w:val="0"/>
          <w:sz w:val="32"/>
          <w:szCs w:val="32"/>
        </w:rPr>
      </w:pPr>
      <w:bookmarkStart w:id="46" w:name="_Toc10347"/>
      <w:bookmarkStart w:id="47" w:name="_Toc14869"/>
      <w:r>
        <w:rPr>
          <w:rFonts w:ascii="黑体" w:eastAsia="黑体" w:hAnsi="黑体" w:cs="宋体" w:hint="eastAsia"/>
          <w:bCs/>
          <w:kern w:val="0"/>
          <w:sz w:val="32"/>
          <w:szCs w:val="32"/>
        </w:rPr>
        <w:t>五、《一般公共预算财政拨款支出决算表》</w:t>
      </w:r>
      <w:bookmarkEnd w:id="46"/>
      <w:bookmarkEnd w:id="47"/>
    </w:p>
    <w:p w:rsidR="008853A8" w:rsidRDefault="008853A8">
      <w:pPr>
        <w:ind w:firstLineChars="200" w:firstLine="640"/>
        <w:outlineLvl w:val="1"/>
        <w:rPr>
          <w:rFonts w:ascii="黑体" w:eastAsia="黑体" w:hAnsi="黑体" w:cs="宋体"/>
          <w:bCs/>
          <w:kern w:val="0"/>
          <w:sz w:val="32"/>
          <w:szCs w:val="32"/>
        </w:rPr>
      </w:pPr>
      <w:bookmarkStart w:id="48" w:name="_Toc5626"/>
      <w:bookmarkStart w:id="49" w:name="_Toc8884"/>
      <w:r>
        <w:rPr>
          <w:rFonts w:ascii="黑体" w:eastAsia="黑体" w:hAnsi="黑体" w:cs="宋体" w:hint="eastAsia"/>
          <w:bCs/>
          <w:kern w:val="0"/>
          <w:sz w:val="32"/>
          <w:szCs w:val="32"/>
        </w:rPr>
        <w:t>六、《一般公共预算财政拨款基本支出决算表》</w:t>
      </w:r>
      <w:bookmarkEnd w:id="48"/>
      <w:bookmarkEnd w:id="49"/>
    </w:p>
    <w:p w:rsidR="008853A8" w:rsidRDefault="008853A8">
      <w:pPr>
        <w:ind w:firstLineChars="200" w:firstLine="640"/>
        <w:outlineLvl w:val="1"/>
        <w:rPr>
          <w:rFonts w:ascii="黑体" w:eastAsia="黑体" w:hAnsi="黑体" w:cs="宋体"/>
          <w:bCs/>
          <w:kern w:val="0"/>
          <w:sz w:val="32"/>
          <w:szCs w:val="32"/>
        </w:rPr>
      </w:pPr>
      <w:bookmarkStart w:id="50" w:name="_Toc32663"/>
      <w:bookmarkStart w:id="51" w:name="_Toc29106"/>
      <w:r>
        <w:rPr>
          <w:rFonts w:ascii="黑体" w:eastAsia="黑体" w:hAnsi="黑体" w:cs="宋体" w:hint="eastAsia"/>
          <w:bCs/>
          <w:kern w:val="0"/>
          <w:sz w:val="32"/>
          <w:szCs w:val="32"/>
        </w:rPr>
        <w:t>七、《一般公共预算财政拨款“三公”经费支出决算表》</w:t>
      </w:r>
      <w:bookmarkEnd w:id="50"/>
      <w:bookmarkEnd w:id="51"/>
    </w:p>
    <w:p w:rsidR="008853A8" w:rsidRDefault="008853A8">
      <w:pPr>
        <w:ind w:firstLineChars="200" w:firstLine="640"/>
        <w:outlineLvl w:val="1"/>
        <w:rPr>
          <w:rFonts w:ascii="黑体" w:eastAsia="黑体" w:hAnsi="黑体" w:cs="宋体"/>
          <w:bCs/>
          <w:kern w:val="0"/>
          <w:sz w:val="32"/>
          <w:szCs w:val="32"/>
        </w:rPr>
      </w:pPr>
      <w:bookmarkStart w:id="52" w:name="_Toc5453"/>
      <w:bookmarkStart w:id="53" w:name="_Toc7643"/>
      <w:r>
        <w:rPr>
          <w:rFonts w:ascii="黑体" w:eastAsia="黑体" w:hAnsi="黑体" w:cs="宋体" w:hint="eastAsia"/>
          <w:bCs/>
          <w:kern w:val="0"/>
          <w:sz w:val="32"/>
          <w:szCs w:val="32"/>
        </w:rPr>
        <w:t>八、《政府性基金预算财政拨款收入支出决算表》</w:t>
      </w:r>
      <w:bookmarkEnd w:id="52"/>
      <w:bookmarkEnd w:id="53"/>
    </w:p>
    <w:sectPr w:rsidR="008853A8" w:rsidSect="00EB4FD9">
      <w:footerReference w:type="default" r:id="rId6"/>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B615F" w:rsidRDefault="004B615F">
      <w:r>
        <w:separator/>
      </w:r>
    </w:p>
  </w:endnote>
  <w:endnote w:type="continuationSeparator" w:id="0">
    <w:p w:rsidR="004B615F" w:rsidRDefault="004B615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default"/>
    <w:sig w:usb0="00000000" w:usb1="00000000" w:usb2="00000010" w:usb3="00000000" w:csb0="00040000" w:csb1="00000000"/>
  </w:font>
  <w:font w:name="仿宋_GB2312">
    <w:altName w:val="微软雅黑"/>
    <w:charset w:val="86"/>
    <w:family w:val="modern"/>
    <w:pitch w:val="fixed"/>
    <w:sig w:usb0="00000001" w:usb1="080E0000" w:usb2="00000010" w:usb3="00000000" w:csb0="00040000" w:csb1="00000000"/>
  </w:font>
  <w:font w:name="等线 Light">
    <w:altName w:val="微软雅黑"/>
    <w:charset w:val="86"/>
    <w:family w:val="auto"/>
    <w:pitch w:val="variable"/>
    <w:sig w:usb0="00000000" w:usb1="38CF7CFA" w:usb2="00000016" w:usb3="00000000" w:csb0="0004000F" w:csb1="00000000"/>
  </w:font>
  <w:font w:name="等线">
    <w:altName w:val="DengXian"/>
    <w:charset w:val="86"/>
    <w:family w:val="auto"/>
    <w:pitch w:val="variable"/>
    <w:sig w:usb0="A00002BF" w:usb1="38CF7CFA" w:usb2="00000016" w:usb3="00000000" w:csb0="0004000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53A8" w:rsidRDefault="005016D7">
    <w:pPr>
      <w:pStyle w:val="a4"/>
    </w:pPr>
    <w:r>
      <w:rPr>
        <w:noProof/>
      </w:rPr>
      <w:pict>
        <v:shapetype id="_x0000_t202" coordsize="21600,21600" o:spt="202" path="m,l,21600r21600,l21600,xe">
          <v:stroke joinstyle="miter"/>
          <v:path gradientshapeok="t" o:connecttype="rect"/>
        </v:shapetype>
        <v:shape id="文本框 1" o:spid="_x0000_s4097" type="#_x0000_t202" style="position:absolute;margin-left:0;margin-top:0;width:2in;height:2in;z-index:251657728;visibility:visible;mso-wrap-style:none;mso-position-horizontal:center;mso-position-horizontal-relative:margin" filled="f" stroked="f">
          <v:textbox style="mso-fit-shape-to-text:t" inset="0,0,0,0">
            <w:txbxContent>
              <w:p w:rsidR="008853A8" w:rsidRDefault="005016D7">
                <w:pPr>
                  <w:pStyle w:val="a4"/>
                </w:pPr>
                <w:r>
                  <w:rPr>
                    <w:rFonts w:hint="eastAsia"/>
                  </w:rPr>
                  <w:fldChar w:fldCharType="begin"/>
                </w:r>
                <w:r w:rsidR="008853A8">
                  <w:rPr>
                    <w:rFonts w:hint="eastAsia"/>
                  </w:rPr>
                  <w:instrText xml:space="preserve"> PAGE  \* MERGEFORMAT </w:instrText>
                </w:r>
                <w:r>
                  <w:rPr>
                    <w:rFonts w:hint="eastAsia"/>
                  </w:rPr>
                  <w:fldChar w:fldCharType="separate"/>
                </w:r>
                <w:r w:rsidR="00D877C8">
                  <w:rPr>
                    <w:noProof/>
                  </w:rPr>
                  <w:t>7</w:t>
                </w:r>
                <w:r>
                  <w:rPr>
                    <w:rFonts w:hint="eastAsia"/>
                  </w:rP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B615F" w:rsidRDefault="004B615F">
      <w:r>
        <w:separator/>
      </w:r>
    </w:p>
  </w:footnote>
  <w:footnote w:type="continuationSeparator" w:id="0">
    <w:p w:rsidR="004B615F" w:rsidRDefault="004B615F">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proofState w:spelling="clean"/>
  <w:documentProtection w:edit="comments" w:enforcement="1" w:cryptProviderType="rsaFull" w:cryptAlgorithmClass="hash" w:cryptAlgorithmType="typeAny" w:cryptAlgorithmSid="4" w:cryptSpinCount="50000" w:hash="VGr86priE3hqm95OLVFDfiVjbSM=" w:salt="vXzav3J0gEo+oSYUSASuHg=="/>
  <w:defaultTabStop w:val="420"/>
  <w:drawingGridVerticalSpacing w:val="156"/>
  <w:displayHorizontalDrawingGridEvery w:val="0"/>
  <w:displayVerticalDrawingGridEvery w:val="2"/>
  <w:characterSpacingControl w:val="compressPunctuation"/>
  <w:hdrShapeDefaults>
    <o:shapedefaults v:ext="edit" spidmax="9218"/>
    <o:shapelayout v:ext="edit">
      <o:idmap v:ext="edit" data="4"/>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1C6E66"/>
    <w:rsid w:val="000033EF"/>
    <w:rsid w:val="00004533"/>
    <w:rsid w:val="00005A21"/>
    <w:rsid w:val="0004063C"/>
    <w:rsid w:val="000701A7"/>
    <w:rsid w:val="00082456"/>
    <w:rsid w:val="000A663A"/>
    <w:rsid w:val="000B5514"/>
    <w:rsid w:val="000B57B8"/>
    <w:rsid w:val="000B69AB"/>
    <w:rsid w:val="000F01B7"/>
    <w:rsid w:val="000F6705"/>
    <w:rsid w:val="001111D4"/>
    <w:rsid w:val="001128A8"/>
    <w:rsid w:val="001130AE"/>
    <w:rsid w:val="001237CF"/>
    <w:rsid w:val="00125A6F"/>
    <w:rsid w:val="0014029C"/>
    <w:rsid w:val="00144642"/>
    <w:rsid w:val="00146FA3"/>
    <w:rsid w:val="001573AA"/>
    <w:rsid w:val="00162E66"/>
    <w:rsid w:val="001826D1"/>
    <w:rsid w:val="001848EE"/>
    <w:rsid w:val="00186B3B"/>
    <w:rsid w:val="001C2D35"/>
    <w:rsid w:val="001C5BE8"/>
    <w:rsid w:val="001C6E66"/>
    <w:rsid w:val="001D3634"/>
    <w:rsid w:val="001D37EF"/>
    <w:rsid w:val="001E4D79"/>
    <w:rsid w:val="001F29A9"/>
    <w:rsid w:val="001F777A"/>
    <w:rsid w:val="002122DE"/>
    <w:rsid w:val="00227229"/>
    <w:rsid w:val="002328AF"/>
    <w:rsid w:val="00233021"/>
    <w:rsid w:val="0024217C"/>
    <w:rsid w:val="00243E6C"/>
    <w:rsid w:val="00246EBC"/>
    <w:rsid w:val="00265F92"/>
    <w:rsid w:val="00272845"/>
    <w:rsid w:val="00282550"/>
    <w:rsid w:val="00287829"/>
    <w:rsid w:val="0029171A"/>
    <w:rsid w:val="00292B7F"/>
    <w:rsid w:val="00292C0A"/>
    <w:rsid w:val="002B072F"/>
    <w:rsid w:val="002B37DA"/>
    <w:rsid w:val="002B7A04"/>
    <w:rsid w:val="002D187F"/>
    <w:rsid w:val="002F1732"/>
    <w:rsid w:val="003106FF"/>
    <w:rsid w:val="00327986"/>
    <w:rsid w:val="003314E6"/>
    <w:rsid w:val="00340AE7"/>
    <w:rsid w:val="003522FE"/>
    <w:rsid w:val="00354737"/>
    <w:rsid w:val="0037159F"/>
    <w:rsid w:val="00377EC6"/>
    <w:rsid w:val="003920B8"/>
    <w:rsid w:val="003A44F0"/>
    <w:rsid w:val="003C3EF4"/>
    <w:rsid w:val="003D1DD1"/>
    <w:rsid w:val="003E5F70"/>
    <w:rsid w:val="003F60E1"/>
    <w:rsid w:val="00400D8F"/>
    <w:rsid w:val="004161A5"/>
    <w:rsid w:val="00430E56"/>
    <w:rsid w:val="004318F5"/>
    <w:rsid w:val="00456820"/>
    <w:rsid w:val="00471387"/>
    <w:rsid w:val="00471BBD"/>
    <w:rsid w:val="0047268F"/>
    <w:rsid w:val="004A41CF"/>
    <w:rsid w:val="004A44C9"/>
    <w:rsid w:val="004B2E7F"/>
    <w:rsid w:val="004B3B3F"/>
    <w:rsid w:val="004B615F"/>
    <w:rsid w:val="004D35C0"/>
    <w:rsid w:val="004E519F"/>
    <w:rsid w:val="004F1D2D"/>
    <w:rsid w:val="004F506B"/>
    <w:rsid w:val="005016D7"/>
    <w:rsid w:val="00531503"/>
    <w:rsid w:val="00534ECA"/>
    <w:rsid w:val="005358C2"/>
    <w:rsid w:val="00536753"/>
    <w:rsid w:val="005474EB"/>
    <w:rsid w:val="005506DD"/>
    <w:rsid w:val="005529D0"/>
    <w:rsid w:val="00553FB5"/>
    <w:rsid w:val="00554A58"/>
    <w:rsid w:val="00560394"/>
    <w:rsid w:val="0056525F"/>
    <w:rsid w:val="005B1DE6"/>
    <w:rsid w:val="005C11EB"/>
    <w:rsid w:val="006032AE"/>
    <w:rsid w:val="00684E46"/>
    <w:rsid w:val="0068591E"/>
    <w:rsid w:val="00690F22"/>
    <w:rsid w:val="00693012"/>
    <w:rsid w:val="006B0B73"/>
    <w:rsid w:val="006D2B94"/>
    <w:rsid w:val="006D3853"/>
    <w:rsid w:val="006E0721"/>
    <w:rsid w:val="0070295D"/>
    <w:rsid w:val="00725755"/>
    <w:rsid w:val="0075023C"/>
    <w:rsid w:val="00750D8A"/>
    <w:rsid w:val="00764051"/>
    <w:rsid w:val="00772611"/>
    <w:rsid w:val="007741F8"/>
    <w:rsid w:val="007B0022"/>
    <w:rsid w:val="007E2E4F"/>
    <w:rsid w:val="007E3BFD"/>
    <w:rsid w:val="00803D27"/>
    <w:rsid w:val="00807B4B"/>
    <w:rsid w:val="008144CF"/>
    <w:rsid w:val="00822EED"/>
    <w:rsid w:val="00827663"/>
    <w:rsid w:val="00847CE1"/>
    <w:rsid w:val="00852D88"/>
    <w:rsid w:val="00857132"/>
    <w:rsid w:val="00862395"/>
    <w:rsid w:val="008853A8"/>
    <w:rsid w:val="00887778"/>
    <w:rsid w:val="008A54C1"/>
    <w:rsid w:val="008D5B57"/>
    <w:rsid w:val="008F7D99"/>
    <w:rsid w:val="0090080D"/>
    <w:rsid w:val="00922FA7"/>
    <w:rsid w:val="00927301"/>
    <w:rsid w:val="009351E1"/>
    <w:rsid w:val="0094423A"/>
    <w:rsid w:val="0095219B"/>
    <w:rsid w:val="00963E2E"/>
    <w:rsid w:val="009774AD"/>
    <w:rsid w:val="00980F6F"/>
    <w:rsid w:val="00993788"/>
    <w:rsid w:val="009A173F"/>
    <w:rsid w:val="009C479E"/>
    <w:rsid w:val="009F4245"/>
    <w:rsid w:val="009F594D"/>
    <w:rsid w:val="00A009B3"/>
    <w:rsid w:val="00A239E7"/>
    <w:rsid w:val="00A34EDA"/>
    <w:rsid w:val="00A77ECE"/>
    <w:rsid w:val="00AA13D0"/>
    <w:rsid w:val="00AC0B18"/>
    <w:rsid w:val="00AC1D87"/>
    <w:rsid w:val="00AC2605"/>
    <w:rsid w:val="00AE0675"/>
    <w:rsid w:val="00AE136F"/>
    <w:rsid w:val="00AE1DC0"/>
    <w:rsid w:val="00AE6C82"/>
    <w:rsid w:val="00AE7A56"/>
    <w:rsid w:val="00AF0871"/>
    <w:rsid w:val="00AF530E"/>
    <w:rsid w:val="00AF5DFE"/>
    <w:rsid w:val="00B006E5"/>
    <w:rsid w:val="00B24234"/>
    <w:rsid w:val="00B3219F"/>
    <w:rsid w:val="00B42062"/>
    <w:rsid w:val="00B64D13"/>
    <w:rsid w:val="00B76725"/>
    <w:rsid w:val="00BC38D2"/>
    <w:rsid w:val="00BC65E4"/>
    <w:rsid w:val="00BE0A9F"/>
    <w:rsid w:val="00BF4880"/>
    <w:rsid w:val="00C01003"/>
    <w:rsid w:val="00C2317E"/>
    <w:rsid w:val="00C87860"/>
    <w:rsid w:val="00C92609"/>
    <w:rsid w:val="00C974A0"/>
    <w:rsid w:val="00CA0969"/>
    <w:rsid w:val="00CB7A14"/>
    <w:rsid w:val="00CC66CE"/>
    <w:rsid w:val="00CD1E0A"/>
    <w:rsid w:val="00CE40E2"/>
    <w:rsid w:val="00CE4AEB"/>
    <w:rsid w:val="00CE74CB"/>
    <w:rsid w:val="00D00B68"/>
    <w:rsid w:val="00D04E19"/>
    <w:rsid w:val="00D6644C"/>
    <w:rsid w:val="00D71F68"/>
    <w:rsid w:val="00D74F8A"/>
    <w:rsid w:val="00D767F4"/>
    <w:rsid w:val="00D877C8"/>
    <w:rsid w:val="00DA07A0"/>
    <w:rsid w:val="00DB4A9A"/>
    <w:rsid w:val="00DB6F81"/>
    <w:rsid w:val="00DD3B82"/>
    <w:rsid w:val="00E02851"/>
    <w:rsid w:val="00E43F43"/>
    <w:rsid w:val="00E7571E"/>
    <w:rsid w:val="00E76594"/>
    <w:rsid w:val="00EB1FF2"/>
    <w:rsid w:val="00EB42AF"/>
    <w:rsid w:val="00EB49C8"/>
    <w:rsid w:val="00EB4FD9"/>
    <w:rsid w:val="00EE3598"/>
    <w:rsid w:val="00EE791B"/>
    <w:rsid w:val="00EF6961"/>
    <w:rsid w:val="00F040C7"/>
    <w:rsid w:val="00F04DC0"/>
    <w:rsid w:val="00F24BA1"/>
    <w:rsid w:val="00F45607"/>
    <w:rsid w:val="00F552F7"/>
    <w:rsid w:val="00F57EE2"/>
    <w:rsid w:val="00F67C07"/>
    <w:rsid w:val="00F777E1"/>
    <w:rsid w:val="00F80266"/>
    <w:rsid w:val="00F83E19"/>
    <w:rsid w:val="00FB3828"/>
    <w:rsid w:val="00FC7A52"/>
    <w:rsid w:val="00FE0761"/>
    <w:rsid w:val="00FF5166"/>
    <w:rsid w:val="06792773"/>
    <w:rsid w:val="1DAF458D"/>
    <w:rsid w:val="2A053397"/>
    <w:rsid w:val="2D1136DF"/>
    <w:rsid w:val="31C63837"/>
    <w:rsid w:val="3D5275AC"/>
    <w:rsid w:val="46901EEE"/>
    <w:rsid w:val="469C74D2"/>
    <w:rsid w:val="50DB5F45"/>
    <w:rsid w:val="69AD798C"/>
    <w:rsid w:val="6B68175F"/>
    <w:rsid w:val="73FB6630"/>
    <w:rsid w:val="77ED6F4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EB4FD9"/>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toc 2"/>
    <w:basedOn w:val="a"/>
    <w:next w:val="a"/>
    <w:rsid w:val="00EB4FD9"/>
    <w:pPr>
      <w:ind w:leftChars="200" w:left="420"/>
    </w:pPr>
  </w:style>
  <w:style w:type="paragraph" w:styleId="1">
    <w:name w:val="toc 1"/>
    <w:basedOn w:val="a"/>
    <w:next w:val="a"/>
    <w:rsid w:val="00EB4FD9"/>
  </w:style>
  <w:style w:type="paragraph" w:styleId="a3">
    <w:name w:val="header"/>
    <w:basedOn w:val="a"/>
    <w:rsid w:val="00EB4FD9"/>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3">
    <w:name w:val="toc 3"/>
    <w:basedOn w:val="a"/>
    <w:next w:val="a"/>
    <w:rsid w:val="00EB4FD9"/>
    <w:pPr>
      <w:ind w:leftChars="400" w:left="840"/>
    </w:pPr>
  </w:style>
  <w:style w:type="paragraph" w:styleId="a4">
    <w:name w:val="footer"/>
    <w:basedOn w:val="a"/>
    <w:rsid w:val="00EB4FD9"/>
    <w:pPr>
      <w:tabs>
        <w:tab w:val="center" w:pos="4153"/>
        <w:tab w:val="right" w:pos="8306"/>
      </w:tabs>
      <w:snapToGrid w:val="0"/>
      <w:jc w:val="left"/>
    </w:pPr>
    <w:rPr>
      <w:sz w:val="18"/>
    </w:rPr>
  </w:style>
  <w:style w:type="paragraph" w:styleId="a5">
    <w:name w:val="annotation text"/>
    <w:basedOn w:val="a"/>
    <w:rsid w:val="00EB4FD9"/>
    <w:pPr>
      <w:jc w:val="left"/>
    </w:pPr>
  </w:style>
  <w:style w:type="paragraph" w:customStyle="1" w:styleId="WPSOffice3">
    <w:name w:val="WPSOffice手动目录 3"/>
    <w:rsid w:val="00EB4FD9"/>
    <w:pPr>
      <w:ind w:leftChars="400" w:left="400"/>
    </w:pPr>
  </w:style>
  <w:style w:type="paragraph" w:customStyle="1" w:styleId="WPSOffice2">
    <w:name w:val="WPSOffice手动目录 2"/>
    <w:rsid w:val="00EB4FD9"/>
    <w:pPr>
      <w:ind w:leftChars="200" w:left="200"/>
    </w:pPr>
  </w:style>
  <w:style w:type="paragraph" w:customStyle="1" w:styleId="WPSOffice1">
    <w:name w:val="WPSOffice手动目录 1"/>
    <w:rsid w:val="00EB4FD9"/>
  </w:style>
</w:styles>
</file>

<file path=word/webSettings.xml><?xml version="1.0" encoding="utf-8"?>
<w:webSettings xmlns:r="http://schemas.openxmlformats.org/officeDocument/2006/relationships" xmlns:w="http://schemas.openxmlformats.org/wordprocessingml/2006/main">
  <w:divs>
    <w:div w:id="497381100">
      <w:bodyDiv w:val="1"/>
      <w:marLeft w:val="0"/>
      <w:marRight w:val="0"/>
      <w:marTop w:val="0"/>
      <w:marBottom w:val="0"/>
      <w:divBdr>
        <w:top w:val="none" w:sz="0" w:space="0" w:color="auto"/>
        <w:left w:val="none" w:sz="0" w:space="0" w:color="auto"/>
        <w:bottom w:val="none" w:sz="0" w:space="0" w:color="auto"/>
        <w:right w:val="none" w:sz="0" w:space="0" w:color="auto"/>
      </w:divBdr>
    </w:div>
    <w:div w:id="726150857">
      <w:bodyDiv w:val="1"/>
      <w:marLeft w:val="0"/>
      <w:marRight w:val="0"/>
      <w:marTop w:val="0"/>
      <w:marBottom w:val="0"/>
      <w:divBdr>
        <w:top w:val="none" w:sz="0" w:space="0" w:color="auto"/>
        <w:left w:val="none" w:sz="0" w:space="0" w:color="auto"/>
        <w:bottom w:val="none" w:sz="0" w:space="0" w:color="auto"/>
        <w:right w:val="none" w:sz="0" w:space="0" w:color="auto"/>
      </w:divBdr>
    </w:div>
    <w:div w:id="1085761621">
      <w:bodyDiv w:val="1"/>
      <w:marLeft w:val="0"/>
      <w:marRight w:val="0"/>
      <w:marTop w:val="0"/>
      <w:marBottom w:val="0"/>
      <w:divBdr>
        <w:top w:val="none" w:sz="0" w:space="0" w:color="auto"/>
        <w:left w:val="none" w:sz="0" w:space="0" w:color="auto"/>
        <w:bottom w:val="none" w:sz="0" w:space="0" w:color="auto"/>
        <w:right w:val="none" w:sz="0" w:space="0" w:color="auto"/>
      </w:divBdr>
    </w:div>
    <w:div w:id="1572694809">
      <w:bodyDiv w:val="1"/>
      <w:marLeft w:val="0"/>
      <w:marRight w:val="0"/>
      <w:marTop w:val="0"/>
      <w:marBottom w:val="0"/>
      <w:divBdr>
        <w:top w:val="none" w:sz="0" w:space="0" w:color="auto"/>
        <w:left w:val="none" w:sz="0" w:space="0" w:color="auto"/>
        <w:bottom w:val="none" w:sz="0" w:space="0" w:color="auto"/>
        <w:right w:val="none" w:sz="0" w:space="0" w:color="auto"/>
      </w:divBdr>
    </w:div>
    <w:div w:id="1814247851">
      <w:bodyDiv w:val="1"/>
      <w:marLeft w:val="0"/>
      <w:marRight w:val="0"/>
      <w:marTop w:val="0"/>
      <w:marBottom w:val="0"/>
      <w:divBdr>
        <w:top w:val="none" w:sz="0" w:space="0" w:color="auto"/>
        <w:left w:val="none" w:sz="0" w:space="0" w:color="auto"/>
        <w:bottom w:val="none" w:sz="0" w:space="0" w:color="auto"/>
        <w:right w:val="none" w:sz="0" w:space="0" w:color="auto"/>
      </w:divBdr>
    </w:div>
    <w:div w:id="1847329340">
      <w:bodyDiv w:val="1"/>
      <w:marLeft w:val="0"/>
      <w:marRight w:val="0"/>
      <w:marTop w:val="0"/>
      <w:marBottom w:val="0"/>
      <w:divBdr>
        <w:top w:val="none" w:sz="0" w:space="0" w:color="auto"/>
        <w:left w:val="none" w:sz="0" w:space="0" w:color="auto"/>
        <w:bottom w:val="none" w:sz="0" w:space="0" w:color="auto"/>
        <w:right w:val="none" w:sz="0" w:space="0" w:color="auto"/>
      </w:divBdr>
    </w:div>
    <w:div w:id="1919709360">
      <w:bodyDiv w:val="1"/>
      <w:marLeft w:val="0"/>
      <w:marRight w:val="0"/>
      <w:marTop w:val="0"/>
      <w:marBottom w:val="0"/>
      <w:divBdr>
        <w:top w:val="none" w:sz="0" w:space="0" w:color="auto"/>
        <w:left w:val="none" w:sz="0" w:space="0" w:color="auto"/>
        <w:bottom w:val="none" w:sz="0" w:space="0" w:color="auto"/>
        <w:right w:val="none" w:sz="0" w:space="0" w:color="auto"/>
      </w:divBdr>
    </w:div>
    <w:div w:id="2019891532">
      <w:bodyDiv w:val="1"/>
      <w:marLeft w:val="0"/>
      <w:marRight w:val="0"/>
      <w:marTop w:val="0"/>
      <w:marBottom w:val="0"/>
      <w:divBdr>
        <w:top w:val="none" w:sz="0" w:space="0" w:color="auto"/>
        <w:left w:val="none" w:sz="0" w:space="0" w:color="auto"/>
        <w:bottom w:val="none" w:sz="0" w:space="0" w:color="auto"/>
        <w:right w:val="none" w:sz="0" w:space="0" w:color="auto"/>
      </w:divBdr>
    </w:div>
    <w:div w:id="2102601509">
      <w:bodyDiv w:val="1"/>
      <w:marLeft w:val="0"/>
      <w:marRight w:val="0"/>
      <w:marTop w:val="0"/>
      <w:marBottom w:val="0"/>
      <w:divBdr>
        <w:top w:val="none" w:sz="0" w:space="0" w:color="auto"/>
        <w:left w:val="none" w:sz="0" w:space="0" w:color="auto"/>
        <w:bottom w:val="none" w:sz="0" w:space="0" w:color="auto"/>
        <w:right w:val="none" w:sz="0" w:space="0" w:color="auto"/>
      </w:divBdr>
    </w:div>
    <w:div w:id="2108193054">
      <w:bodyDiv w:val="1"/>
      <w:marLeft w:val="0"/>
      <w:marRight w:val="0"/>
      <w:marTop w:val="0"/>
      <w:marBottom w:val="0"/>
      <w:divBdr>
        <w:top w:val="none" w:sz="0" w:space="0" w:color="auto"/>
        <w:left w:val="none" w:sz="0" w:space="0" w:color="auto"/>
        <w:bottom w:val="none" w:sz="0" w:space="0" w:color="auto"/>
        <w:right w:val="none" w:sz="0" w:space="0" w:color="auto"/>
      </w:divBdr>
    </w:div>
  </w:divs>
  <w:encoding w:val="x-cp20936"/>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12</Pages>
  <Words>839</Words>
  <Characters>4786</Characters>
  <Application>Microsoft Office Word</Application>
  <DocSecurity>8</DocSecurity>
  <Lines>39</Lines>
  <Paragraphs>11</Paragraphs>
  <ScaleCrop>false</ScaleCrop>
  <Company/>
  <LinksUpToDate>false</LinksUpToDate>
  <CharactersWithSpaces>5614</CharactersWithSpaces>
  <SharedDoc>false</SharedDoc>
  <HLinks>
    <vt:vector size="162" baseType="variant">
      <vt:variant>
        <vt:i4>1179699</vt:i4>
      </vt:variant>
      <vt:variant>
        <vt:i4>80</vt:i4>
      </vt:variant>
      <vt:variant>
        <vt:i4>0</vt:i4>
      </vt:variant>
      <vt:variant>
        <vt:i4>5</vt:i4>
      </vt:variant>
      <vt:variant>
        <vt:lpwstr/>
      </vt:variant>
      <vt:variant>
        <vt:lpwstr>_Toc7643</vt:lpwstr>
      </vt:variant>
      <vt:variant>
        <vt:i4>1966131</vt:i4>
      </vt:variant>
      <vt:variant>
        <vt:i4>77</vt:i4>
      </vt:variant>
      <vt:variant>
        <vt:i4>0</vt:i4>
      </vt:variant>
      <vt:variant>
        <vt:i4>5</vt:i4>
      </vt:variant>
      <vt:variant>
        <vt:lpwstr/>
      </vt:variant>
      <vt:variant>
        <vt:lpwstr>_Toc29106</vt:lpwstr>
      </vt:variant>
      <vt:variant>
        <vt:i4>1769520</vt:i4>
      </vt:variant>
      <vt:variant>
        <vt:i4>74</vt:i4>
      </vt:variant>
      <vt:variant>
        <vt:i4>0</vt:i4>
      </vt:variant>
      <vt:variant>
        <vt:i4>5</vt:i4>
      </vt:variant>
      <vt:variant>
        <vt:lpwstr/>
      </vt:variant>
      <vt:variant>
        <vt:lpwstr>_Toc8884</vt:lpwstr>
      </vt:variant>
      <vt:variant>
        <vt:i4>1376313</vt:i4>
      </vt:variant>
      <vt:variant>
        <vt:i4>71</vt:i4>
      </vt:variant>
      <vt:variant>
        <vt:i4>0</vt:i4>
      </vt:variant>
      <vt:variant>
        <vt:i4>5</vt:i4>
      </vt:variant>
      <vt:variant>
        <vt:lpwstr/>
      </vt:variant>
      <vt:variant>
        <vt:lpwstr>_Toc14869</vt:lpwstr>
      </vt:variant>
      <vt:variant>
        <vt:i4>1507381</vt:i4>
      </vt:variant>
      <vt:variant>
        <vt:i4>68</vt:i4>
      </vt:variant>
      <vt:variant>
        <vt:i4>0</vt:i4>
      </vt:variant>
      <vt:variant>
        <vt:i4>5</vt:i4>
      </vt:variant>
      <vt:variant>
        <vt:lpwstr/>
      </vt:variant>
      <vt:variant>
        <vt:lpwstr>_Toc28786</vt:lpwstr>
      </vt:variant>
      <vt:variant>
        <vt:i4>1441847</vt:i4>
      </vt:variant>
      <vt:variant>
        <vt:i4>65</vt:i4>
      </vt:variant>
      <vt:variant>
        <vt:i4>0</vt:i4>
      </vt:variant>
      <vt:variant>
        <vt:i4>5</vt:i4>
      </vt:variant>
      <vt:variant>
        <vt:lpwstr/>
      </vt:variant>
      <vt:variant>
        <vt:lpwstr>_Toc32434</vt:lpwstr>
      </vt:variant>
      <vt:variant>
        <vt:i4>1048631</vt:i4>
      </vt:variant>
      <vt:variant>
        <vt:i4>62</vt:i4>
      </vt:variant>
      <vt:variant>
        <vt:i4>0</vt:i4>
      </vt:variant>
      <vt:variant>
        <vt:i4>5</vt:i4>
      </vt:variant>
      <vt:variant>
        <vt:lpwstr/>
      </vt:variant>
      <vt:variant>
        <vt:lpwstr>_Toc24532</vt:lpwstr>
      </vt:variant>
      <vt:variant>
        <vt:i4>1376314</vt:i4>
      </vt:variant>
      <vt:variant>
        <vt:i4>59</vt:i4>
      </vt:variant>
      <vt:variant>
        <vt:i4>0</vt:i4>
      </vt:variant>
      <vt:variant>
        <vt:i4>5</vt:i4>
      </vt:variant>
      <vt:variant>
        <vt:lpwstr/>
      </vt:variant>
      <vt:variant>
        <vt:lpwstr>_Toc2183</vt:lpwstr>
      </vt:variant>
      <vt:variant>
        <vt:i4>1900597</vt:i4>
      </vt:variant>
      <vt:variant>
        <vt:i4>56</vt:i4>
      </vt:variant>
      <vt:variant>
        <vt:i4>0</vt:i4>
      </vt:variant>
      <vt:variant>
        <vt:i4>5</vt:i4>
      </vt:variant>
      <vt:variant>
        <vt:lpwstr/>
      </vt:variant>
      <vt:variant>
        <vt:lpwstr>_Toc22784</vt:lpwstr>
      </vt:variant>
      <vt:variant>
        <vt:i4>1376310</vt:i4>
      </vt:variant>
      <vt:variant>
        <vt:i4>53</vt:i4>
      </vt:variant>
      <vt:variant>
        <vt:i4>0</vt:i4>
      </vt:variant>
      <vt:variant>
        <vt:i4>5</vt:i4>
      </vt:variant>
      <vt:variant>
        <vt:lpwstr/>
      </vt:variant>
      <vt:variant>
        <vt:lpwstr>_Toc3250</vt:lpwstr>
      </vt:variant>
      <vt:variant>
        <vt:i4>1966131</vt:i4>
      </vt:variant>
      <vt:variant>
        <vt:i4>50</vt:i4>
      </vt:variant>
      <vt:variant>
        <vt:i4>0</vt:i4>
      </vt:variant>
      <vt:variant>
        <vt:i4>5</vt:i4>
      </vt:variant>
      <vt:variant>
        <vt:lpwstr/>
      </vt:variant>
      <vt:variant>
        <vt:lpwstr>_Toc11283</vt:lpwstr>
      </vt:variant>
      <vt:variant>
        <vt:i4>1376305</vt:i4>
      </vt:variant>
      <vt:variant>
        <vt:i4>47</vt:i4>
      </vt:variant>
      <vt:variant>
        <vt:i4>0</vt:i4>
      </vt:variant>
      <vt:variant>
        <vt:i4>5</vt:i4>
      </vt:variant>
      <vt:variant>
        <vt:lpwstr/>
      </vt:variant>
      <vt:variant>
        <vt:lpwstr>_Toc8391</vt:lpwstr>
      </vt:variant>
      <vt:variant>
        <vt:i4>2424834</vt:i4>
      </vt:variant>
      <vt:variant>
        <vt:i4>44</vt:i4>
      </vt:variant>
      <vt:variant>
        <vt:i4>0</vt:i4>
      </vt:variant>
      <vt:variant>
        <vt:i4>5</vt:i4>
      </vt:variant>
      <vt:variant>
        <vt:lpwstr/>
      </vt:variant>
      <vt:variant>
        <vt:lpwstr>_Toc227</vt:lpwstr>
      </vt:variant>
      <vt:variant>
        <vt:i4>1179700</vt:i4>
      </vt:variant>
      <vt:variant>
        <vt:i4>41</vt:i4>
      </vt:variant>
      <vt:variant>
        <vt:i4>0</vt:i4>
      </vt:variant>
      <vt:variant>
        <vt:i4>5</vt:i4>
      </vt:variant>
      <vt:variant>
        <vt:lpwstr/>
      </vt:variant>
      <vt:variant>
        <vt:lpwstr>_Toc14519</vt:lpwstr>
      </vt:variant>
      <vt:variant>
        <vt:i4>1048626</vt:i4>
      </vt:variant>
      <vt:variant>
        <vt:i4>38</vt:i4>
      </vt:variant>
      <vt:variant>
        <vt:i4>0</vt:i4>
      </vt:variant>
      <vt:variant>
        <vt:i4>5</vt:i4>
      </vt:variant>
      <vt:variant>
        <vt:lpwstr/>
      </vt:variant>
      <vt:variant>
        <vt:lpwstr>_Toc1235</vt:lpwstr>
      </vt:variant>
      <vt:variant>
        <vt:i4>2031668</vt:i4>
      </vt:variant>
      <vt:variant>
        <vt:i4>35</vt:i4>
      </vt:variant>
      <vt:variant>
        <vt:i4>0</vt:i4>
      </vt:variant>
      <vt:variant>
        <vt:i4>5</vt:i4>
      </vt:variant>
      <vt:variant>
        <vt:lpwstr/>
      </vt:variant>
      <vt:variant>
        <vt:lpwstr>_Toc5810</vt:lpwstr>
      </vt:variant>
      <vt:variant>
        <vt:i4>1507383</vt:i4>
      </vt:variant>
      <vt:variant>
        <vt:i4>32</vt:i4>
      </vt:variant>
      <vt:variant>
        <vt:i4>0</vt:i4>
      </vt:variant>
      <vt:variant>
        <vt:i4>5</vt:i4>
      </vt:variant>
      <vt:variant>
        <vt:lpwstr/>
      </vt:variant>
      <vt:variant>
        <vt:lpwstr>_Toc21518</vt:lpwstr>
      </vt:variant>
      <vt:variant>
        <vt:i4>1048635</vt:i4>
      </vt:variant>
      <vt:variant>
        <vt:i4>29</vt:i4>
      </vt:variant>
      <vt:variant>
        <vt:i4>0</vt:i4>
      </vt:variant>
      <vt:variant>
        <vt:i4>5</vt:i4>
      </vt:variant>
      <vt:variant>
        <vt:lpwstr/>
      </vt:variant>
      <vt:variant>
        <vt:lpwstr>_Toc30870</vt:lpwstr>
      </vt:variant>
      <vt:variant>
        <vt:i4>1114161</vt:i4>
      </vt:variant>
      <vt:variant>
        <vt:i4>26</vt:i4>
      </vt:variant>
      <vt:variant>
        <vt:i4>0</vt:i4>
      </vt:variant>
      <vt:variant>
        <vt:i4>5</vt:i4>
      </vt:variant>
      <vt:variant>
        <vt:lpwstr/>
      </vt:variant>
      <vt:variant>
        <vt:lpwstr>_Toc20360</vt:lpwstr>
      </vt:variant>
      <vt:variant>
        <vt:i4>1507383</vt:i4>
      </vt:variant>
      <vt:variant>
        <vt:i4>23</vt:i4>
      </vt:variant>
      <vt:variant>
        <vt:i4>0</vt:i4>
      </vt:variant>
      <vt:variant>
        <vt:i4>5</vt:i4>
      </vt:variant>
      <vt:variant>
        <vt:lpwstr/>
      </vt:variant>
      <vt:variant>
        <vt:lpwstr>_Toc26564</vt:lpwstr>
      </vt:variant>
      <vt:variant>
        <vt:i4>1310771</vt:i4>
      </vt:variant>
      <vt:variant>
        <vt:i4>20</vt:i4>
      </vt:variant>
      <vt:variant>
        <vt:i4>0</vt:i4>
      </vt:variant>
      <vt:variant>
        <vt:i4>5</vt:i4>
      </vt:variant>
      <vt:variant>
        <vt:lpwstr/>
      </vt:variant>
      <vt:variant>
        <vt:lpwstr>_Toc13201</vt:lpwstr>
      </vt:variant>
      <vt:variant>
        <vt:i4>1114160</vt:i4>
      </vt:variant>
      <vt:variant>
        <vt:i4>17</vt:i4>
      </vt:variant>
      <vt:variant>
        <vt:i4>0</vt:i4>
      </vt:variant>
      <vt:variant>
        <vt:i4>5</vt:i4>
      </vt:variant>
      <vt:variant>
        <vt:lpwstr/>
      </vt:variant>
      <vt:variant>
        <vt:lpwstr>_Toc12142</vt:lpwstr>
      </vt:variant>
      <vt:variant>
        <vt:i4>1245233</vt:i4>
      </vt:variant>
      <vt:variant>
        <vt:i4>14</vt:i4>
      </vt:variant>
      <vt:variant>
        <vt:i4>0</vt:i4>
      </vt:variant>
      <vt:variant>
        <vt:i4>5</vt:i4>
      </vt:variant>
      <vt:variant>
        <vt:lpwstr/>
      </vt:variant>
      <vt:variant>
        <vt:lpwstr>_Toc25314</vt:lpwstr>
      </vt:variant>
      <vt:variant>
        <vt:i4>1638449</vt:i4>
      </vt:variant>
      <vt:variant>
        <vt:i4>11</vt:i4>
      </vt:variant>
      <vt:variant>
        <vt:i4>0</vt:i4>
      </vt:variant>
      <vt:variant>
        <vt:i4>5</vt:i4>
      </vt:variant>
      <vt:variant>
        <vt:lpwstr/>
      </vt:variant>
      <vt:variant>
        <vt:lpwstr>_Toc29374</vt:lpwstr>
      </vt:variant>
      <vt:variant>
        <vt:i4>1507383</vt:i4>
      </vt:variant>
      <vt:variant>
        <vt:i4>8</vt:i4>
      </vt:variant>
      <vt:variant>
        <vt:i4>0</vt:i4>
      </vt:variant>
      <vt:variant>
        <vt:i4>5</vt:i4>
      </vt:variant>
      <vt:variant>
        <vt:lpwstr/>
      </vt:variant>
      <vt:variant>
        <vt:lpwstr>_Toc2151</vt:lpwstr>
      </vt:variant>
      <vt:variant>
        <vt:i4>1114166</vt:i4>
      </vt:variant>
      <vt:variant>
        <vt:i4>5</vt:i4>
      </vt:variant>
      <vt:variant>
        <vt:i4>0</vt:i4>
      </vt:variant>
      <vt:variant>
        <vt:i4>5</vt:i4>
      </vt:variant>
      <vt:variant>
        <vt:lpwstr/>
      </vt:variant>
      <vt:variant>
        <vt:lpwstr>_Toc30567</vt:lpwstr>
      </vt:variant>
      <vt:variant>
        <vt:i4>1310768</vt:i4>
      </vt:variant>
      <vt:variant>
        <vt:i4>2</vt:i4>
      </vt:variant>
      <vt:variant>
        <vt:i4>0</vt:i4>
      </vt:variant>
      <vt:variant>
        <vt:i4>5</vt:i4>
      </vt:variant>
      <vt:variant>
        <vt:lpwstr/>
      </vt:variant>
      <vt:variant>
        <vt:lpwstr>_Toc32314</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伊力亚尔</cp:lastModifiedBy>
  <cp:revision>15</cp:revision>
  <dcterms:created xsi:type="dcterms:W3CDTF">2020-09-08T14:04:00Z</dcterms:created>
  <dcterms:modified xsi:type="dcterms:W3CDTF">2021-07-11T07:39:00Z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