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jc w:val="center"/>
        <w:rPr>
          <w:rFonts w:ascii="方正小标宋简体" w:eastAsia="方正小标宋简体"/>
          <w:sz w:val="44"/>
          <w:szCs w:val="44"/>
        </w:rPr>
      </w:pPr>
      <w:bookmarkStart w:id="8" w:name="_GoBack"/>
    </w:p>
    <w:p>
      <w:pPr>
        <w:spacing w:before="156" w:beforeLines="50"/>
        <w:jc w:val="center"/>
        <w:rPr>
          <w:rFonts w:ascii="方正小标宋简体" w:eastAsia="方正小标宋简体"/>
          <w:sz w:val="44"/>
          <w:szCs w:val="44"/>
        </w:rPr>
      </w:pPr>
    </w:p>
    <w:p>
      <w:pPr>
        <w:spacing w:before="156" w:beforeLines="50"/>
        <w:jc w:val="center"/>
        <w:rPr>
          <w:rFonts w:ascii="方正小标宋简体" w:eastAsia="方正小标宋简体"/>
          <w:sz w:val="44"/>
          <w:szCs w:val="44"/>
        </w:rPr>
      </w:pPr>
    </w:p>
    <w:p>
      <w:pPr>
        <w:spacing w:line="700" w:lineRule="exact"/>
        <w:jc w:val="center"/>
        <w:rPr>
          <w:rFonts w:ascii="方正小标宋简体" w:eastAsia="方正小标宋简体"/>
          <w:sz w:val="44"/>
          <w:szCs w:val="44"/>
        </w:rPr>
      </w:pPr>
      <w:r>
        <w:rPr>
          <w:rFonts w:hint="eastAsia" w:ascii="方正小标宋简体" w:eastAsia="方正小标宋简体"/>
          <w:sz w:val="44"/>
          <w:szCs w:val="44"/>
        </w:rPr>
        <w:t>喀什地区</w:t>
      </w:r>
      <w:r>
        <w:rPr>
          <w:rFonts w:hint="eastAsia" w:ascii="方正小标宋简体" w:eastAsia="方正小标宋简体"/>
          <w:sz w:val="44"/>
          <w:szCs w:val="44"/>
          <w:lang w:val="en-US" w:eastAsia="zh-CN"/>
        </w:rPr>
        <w:t>昆仑山国有林管理局2019年中央林业改革发展资金(天然林保护)</w:t>
      </w:r>
      <w:r>
        <w:rPr>
          <w:rFonts w:hint="eastAsia" w:ascii="方正小标宋简体" w:eastAsia="方正小标宋简体"/>
          <w:sz w:val="44"/>
          <w:szCs w:val="44"/>
        </w:rPr>
        <w:t>项目支出绩效评价报告</w:t>
      </w:r>
    </w:p>
    <w:p>
      <w:pPr>
        <w:spacing w:before="156" w:beforeLines="50"/>
        <w:jc w:val="center"/>
        <w:rPr>
          <w:rFonts w:ascii="方正小标宋简体" w:eastAsia="方正小标宋简体"/>
          <w:sz w:val="52"/>
          <w:szCs w:val="52"/>
        </w:rPr>
      </w:pPr>
    </w:p>
    <w:p>
      <w:pPr>
        <w:spacing w:before="156" w:beforeLines="50"/>
        <w:jc w:val="center"/>
        <w:rPr>
          <w:rFonts w:ascii="方正小标宋简体" w:eastAsia="方正小标宋简体"/>
          <w:sz w:val="52"/>
          <w:szCs w:val="52"/>
        </w:rPr>
      </w:pPr>
    </w:p>
    <w:p>
      <w:pPr>
        <w:spacing w:before="156" w:beforeLines="50"/>
        <w:jc w:val="center"/>
        <w:rPr>
          <w:rFonts w:ascii="方正小标宋简体" w:eastAsia="方正小标宋简体"/>
          <w:sz w:val="52"/>
          <w:szCs w:val="52"/>
        </w:rPr>
      </w:pPr>
    </w:p>
    <w:p>
      <w:pPr>
        <w:spacing w:line="700" w:lineRule="exact"/>
        <w:jc w:val="left"/>
        <w:rPr>
          <w:rFonts w:hint="eastAsia" w:ascii="仿宋_GB2312" w:hAnsi="仿宋" w:eastAsia="仿宋_GB2312" w:cs="Times New Roman"/>
          <w:spacing w:val="-2"/>
          <w:sz w:val="36"/>
          <w:szCs w:val="36"/>
        </w:rPr>
      </w:pPr>
    </w:p>
    <w:p>
      <w:pPr>
        <w:spacing w:line="700" w:lineRule="exact"/>
        <w:jc w:val="left"/>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项目名称：</w:t>
      </w:r>
      <w:r>
        <w:rPr>
          <w:rFonts w:hint="eastAsia" w:ascii="仿宋_GB2312" w:hAnsi="仿宋" w:eastAsia="仿宋_GB2312" w:cs="Times New Roman"/>
          <w:spacing w:val="-2"/>
          <w:sz w:val="36"/>
          <w:szCs w:val="36"/>
          <w:lang w:val="en-US" w:eastAsia="zh-CN"/>
        </w:rPr>
        <w:t>2019年中央林业改革发展资金(天然林保护)</w:t>
      </w:r>
    </w:p>
    <w:p>
      <w:pPr>
        <w:autoSpaceDE w:val="0"/>
        <w:autoSpaceDN w:val="0"/>
        <w:spacing w:line="540" w:lineRule="exact"/>
        <w:rPr>
          <w:rFonts w:hint="default" w:ascii="仿宋_GB2312" w:hAnsi="仿宋" w:eastAsia="仿宋_GB2312" w:cs="Times New Roman"/>
          <w:spacing w:val="-2"/>
          <w:sz w:val="36"/>
          <w:szCs w:val="36"/>
          <w:lang w:val="en-US" w:eastAsia="zh-CN"/>
        </w:rPr>
      </w:pPr>
      <w:r>
        <w:rPr>
          <w:rFonts w:hint="eastAsia" w:ascii="仿宋_GB2312" w:hAnsi="仿宋" w:eastAsia="仿宋_GB2312" w:cs="Times New Roman"/>
          <w:spacing w:val="-2"/>
          <w:sz w:val="36"/>
          <w:szCs w:val="36"/>
        </w:rPr>
        <w:t>实施单位：</w:t>
      </w:r>
      <w:r>
        <w:rPr>
          <w:rFonts w:hint="eastAsia" w:ascii="仿宋_GB2312" w:hAnsi="仿宋" w:eastAsia="仿宋_GB2312" w:cs="Times New Roman"/>
          <w:spacing w:val="-2"/>
          <w:sz w:val="36"/>
          <w:szCs w:val="36"/>
          <w:lang w:val="en-US" w:eastAsia="zh-CN"/>
        </w:rPr>
        <w:t>喀什地区昆仑山国有林管理局</w:t>
      </w:r>
    </w:p>
    <w:p>
      <w:pPr>
        <w:autoSpaceDE w:val="0"/>
        <w:autoSpaceDN w:val="0"/>
        <w:spacing w:line="540" w:lineRule="exact"/>
        <w:rPr>
          <w:rFonts w:hint="default" w:ascii="仿宋_GB2312" w:hAnsi="仿宋" w:eastAsia="仿宋_GB2312" w:cs="Times New Roman"/>
          <w:spacing w:val="-2"/>
          <w:sz w:val="36"/>
          <w:szCs w:val="36"/>
          <w:lang w:val="en-US" w:eastAsia="zh-CN"/>
        </w:rPr>
      </w:pPr>
      <w:r>
        <w:rPr>
          <w:rFonts w:hint="eastAsia" w:ascii="仿宋_GB2312" w:hAnsi="仿宋" w:eastAsia="仿宋_GB2312" w:cs="Times New Roman"/>
          <w:spacing w:val="-2"/>
          <w:sz w:val="36"/>
          <w:szCs w:val="36"/>
        </w:rPr>
        <w:t>评</w:t>
      </w:r>
      <w:r>
        <w:rPr>
          <w:rFonts w:hint="eastAsia" w:ascii="仿宋_GB2312" w:hAnsi="仿宋" w:eastAsia="仿宋_GB2312" w:cs="Times New Roman"/>
          <w:spacing w:val="-2"/>
          <w:sz w:val="36"/>
          <w:szCs w:val="36"/>
          <w:highlight w:val="none"/>
        </w:rPr>
        <w:t>价部门：</w:t>
      </w:r>
      <w:r>
        <w:rPr>
          <w:rFonts w:hint="eastAsia" w:ascii="仿宋_GB2312" w:hAnsi="仿宋" w:eastAsia="仿宋_GB2312" w:cs="Times New Roman"/>
          <w:spacing w:val="-2"/>
          <w:sz w:val="36"/>
          <w:szCs w:val="36"/>
          <w:lang w:val="en-US" w:eastAsia="zh-CN"/>
        </w:rPr>
        <w:t>喀什地区昆仑山国有林管理局</w:t>
      </w:r>
    </w:p>
    <w:p>
      <w:pPr>
        <w:autoSpaceDE w:val="0"/>
        <w:autoSpaceDN w:val="0"/>
        <w:spacing w:line="540" w:lineRule="exact"/>
        <w:rPr>
          <w:rFonts w:ascii="仿宋_GB2312" w:hAnsi="仿宋" w:eastAsia="仿宋_GB2312" w:cs="Times New Roman"/>
          <w:spacing w:val="-2"/>
          <w:sz w:val="36"/>
          <w:szCs w:val="36"/>
          <w:highlight w:val="yellow"/>
        </w:rPr>
      </w:pPr>
    </w:p>
    <w:p>
      <w:pPr>
        <w:autoSpaceDE w:val="0"/>
        <w:autoSpaceDN w:val="0"/>
        <w:spacing w:line="540" w:lineRule="exact"/>
        <w:ind w:firstLine="712" w:firstLineChars="200"/>
        <w:rPr>
          <w:rFonts w:ascii="仿宋_GB2312" w:hAnsi="仿宋" w:eastAsia="仿宋_GB2312" w:cs="Times New Roman"/>
          <w:spacing w:val="-2"/>
          <w:sz w:val="36"/>
          <w:szCs w:val="36"/>
          <w:highlight w:val="yellow"/>
        </w:rPr>
      </w:pP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spacing w:before="156" w:beforeLines="50" w:line="0" w:lineRule="atLeast"/>
        <w:jc w:val="left"/>
        <w:rPr>
          <w:sz w:val="28"/>
          <w:szCs w:val="28"/>
        </w:rPr>
      </w:pPr>
    </w:p>
    <w:p>
      <w:pPr>
        <w:pStyle w:val="23"/>
        <w:pageBreakBefore w:val="0"/>
        <w:widowControl w:val="0"/>
        <w:numPr>
          <w:ilvl w:val="0"/>
          <w:numId w:val="2"/>
        </w:numPr>
        <w:kinsoku/>
        <w:wordWrap/>
        <w:overflowPunct/>
        <w:topLinePunct w:val="0"/>
        <w:autoSpaceDE/>
        <w:autoSpaceDN/>
        <w:bidi w:val="0"/>
        <w:adjustRightInd/>
        <w:spacing w:line="560" w:lineRule="exact"/>
        <w:ind w:firstLineChars="0"/>
        <w:textAlignment w:val="auto"/>
        <w:rPr>
          <w:lang w:bidi="ar"/>
        </w:rPr>
      </w:pPr>
      <w:r>
        <w:rPr>
          <w:rFonts w:hint="eastAsia"/>
          <w:lang w:bidi="ar"/>
        </w:rPr>
        <w:t>基本情况</w:t>
      </w:r>
    </w:p>
    <w:p>
      <w:pPr>
        <w:pStyle w:val="25"/>
        <w:pageBreakBefore w:val="0"/>
        <w:widowControl w:val="0"/>
        <w:kinsoku/>
        <w:wordWrap/>
        <w:overflowPunct/>
        <w:topLinePunct w:val="0"/>
        <w:autoSpaceDE/>
        <w:autoSpaceDN/>
        <w:bidi w:val="0"/>
        <w:adjustRightInd/>
        <w:spacing w:line="560" w:lineRule="exact"/>
        <w:ind w:left="0" w:firstLine="643" w:firstLineChars="200"/>
        <w:textAlignment w:val="auto"/>
        <w:rPr>
          <w:rFonts w:ascii="仿宋_GB2312" w:hAnsi="仿宋" w:eastAsia="仿宋_GB2312" w:cs="宋体"/>
          <w:color w:val="000000" w:themeColor="text1"/>
          <w:sz w:val="32"/>
          <w:szCs w:val="32"/>
          <w:lang w:bidi="ar"/>
          <w14:textFill>
            <w14:solidFill>
              <w14:schemeClr w14:val="tx1"/>
            </w14:solidFill>
          </w14:textFill>
        </w:rPr>
      </w:pPr>
      <w:bookmarkStart w:id="0" w:name="_Toc26401549"/>
      <w:r>
        <w:rPr>
          <w:rFonts w:hint="eastAsia"/>
          <w:color w:val="000000" w:themeColor="text1"/>
          <w:lang w:bidi="ar"/>
          <w14:textFill>
            <w14:solidFill>
              <w14:schemeClr w14:val="tx1"/>
            </w14:solidFill>
          </w14:textFill>
        </w:rPr>
        <w:t>项目概况</w:t>
      </w:r>
      <w:bookmarkEnd w:id="0"/>
    </w:p>
    <w:p>
      <w:pPr>
        <w:pStyle w:val="19"/>
        <w:pageBreakBefore w:val="0"/>
        <w:widowControl w:val="0"/>
        <w:numPr>
          <w:ilvl w:val="0"/>
          <w:numId w:val="3"/>
        </w:numPr>
        <w:kinsoku/>
        <w:wordWrap/>
        <w:overflowPunct/>
        <w:topLinePunct w:val="0"/>
        <w:autoSpaceDE/>
        <w:autoSpaceDN/>
        <w:bidi w:val="0"/>
        <w:adjustRightInd/>
        <w:spacing w:before="156" w:beforeLines="50" w:line="560" w:lineRule="exact"/>
        <w:ind w:firstLineChars="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项目背景及立项依据</w:t>
      </w:r>
    </w:p>
    <w:p>
      <w:pPr>
        <w:pageBreakBefore w:val="0"/>
        <w:widowControl w:val="0"/>
        <w:kinsoku/>
        <w:wordWrap/>
        <w:overflowPunct/>
        <w:topLinePunct w:val="0"/>
        <w:autoSpaceDE/>
        <w:autoSpaceDN/>
        <w:bidi w:val="0"/>
        <w:adjustRightInd/>
        <w:spacing w:before="156" w:beforeLines="50" w:line="560" w:lineRule="exact"/>
        <w:ind w:firstLine="645"/>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本项</w:t>
      </w:r>
      <w:r>
        <w:rPr>
          <w:rFonts w:hint="eastAsia" w:ascii="仿宋_GB2312" w:hAnsi="仿宋" w:eastAsia="仿宋_GB2312" w:cs="宋体"/>
          <w:sz w:val="32"/>
          <w:szCs w:val="32"/>
          <w:lang w:val="en-US" w:eastAsia="zh-CN" w:bidi="ar"/>
        </w:rPr>
        <w:t>目根据地区财政局《关于下达2019年中央林业改革补助资金的通知》喀地财农[2019]4号资金文件要求，立项，旨在保护、培育昆仑山国有林场森林资源，改善贫困林场生活工作条件</w:t>
      </w:r>
      <w:r>
        <w:rPr>
          <w:rFonts w:hint="eastAsia" w:ascii="仿宋_GB2312" w:hAnsi="仿宋" w:eastAsia="仿宋_GB2312" w:cs="宋体"/>
          <w:sz w:val="32"/>
          <w:szCs w:val="32"/>
          <w:lang w:bidi="ar"/>
        </w:rPr>
        <w:t>。</w:t>
      </w:r>
    </w:p>
    <w:p>
      <w:pPr>
        <w:pStyle w:val="19"/>
        <w:pageBreakBefore w:val="0"/>
        <w:widowControl w:val="0"/>
        <w:numPr>
          <w:ilvl w:val="0"/>
          <w:numId w:val="3"/>
        </w:numPr>
        <w:kinsoku/>
        <w:wordWrap/>
        <w:overflowPunct/>
        <w:topLinePunct w:val="0"/>
        <w:autoSpaceDE/>
        <w:autoSpaceDN/>
        <w:bidi w:val="0"/>
        <w:adjustRightInd/>
        <w:spacing w:before="156" w:beforeLines="50" w:line="560" w:lineRule="exact"/>
        <w:ind w:firstLineChars="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项目主要内容及实施情况</w:t>
      </w:r>
    </w:p>
    <w:p>
      <w:pPr>
        <w:pageBreakBefore w:val="0"/>
        <w:widowControl w:val="0"/>
        <w:kinsoku/>
        <w:wordWrap/>
        <w:overflowPunct/>
        <w:topLinePunct w:val="0"/>
        <w:autoSpaceDE/>
        <w:autoSpaceDN/>
        <w:bidi w:val="0"/>
        <w:adjustRightInd/>
        <w:spacing w:before="156" w:beforeLines="50" w:line="560" w:lineRule="exact"/>
        <w:ind w:firstLine="645"/>
        <w:textAlignment w:val="auto"/>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项目实施前进行充分调研，制定实施方案，项目实施过程中严格按照实施方案进行实施并及时进行监督管理，项目实施后进行及时验收及后期维护。</w:t>
      </w:r>
    </w:p>
    <w:p>
      <w:pPr>
        <w:pageBreakBefore w:val="0"/>
        <w:widowControl w:val="0"/>
        <w:tabs>
          <w:tab w:val="left" w:pos="7770"/>
        </w:tabs>
        <w:kinsoku/>
        <w:wordWrap/>
        <w:overflowPunct/>
        <w:topLinePunct w:val="0"/>
        <w:autoSpaceDE/>
        <w:autoSpaceDN/>
        <w:bidi w:val="0"/>
        <w:adjustRightInd/>
        <w:spacing w:before="156" w:beforeLines="50" w:line="560" w:lineRule="exact"/>
        <w:ind w:firstLine="645"/>
        <w:textAlignment w:val="auto"/>
        <w:rPr>
          <w:rFonts w:hint="default"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3.项目负责人为潘东，主要职责为</w:t>
      </w:r>
      <w:r>
        <w:rPr>
          <w:rFonts w:hint="eastAsia" w:ascii="仿宋_GB2312" w:hAnsi="Calibri" w:eastAsia="仿宋_GB2312" w:cs="Times New Roman"/>
          <w:bCs/>
          <w:color w:val="000000" w:themeColor="text1"/>
          <w:sz w:val="32"/>
          <w:szCs w:val="32"/>
          <w:lang w:val="en-US" w:eastAsia="zh-CN"/>
          <w14:textFill>
            <w14:solidFill>
              <w14:schemeClr w14:val="tx1"/>
            </w14:solidFill>
          </w14:textFill>
        </w:rPr>
        <w:t>抓好智能巡护系统项目建设,建立中心管护体系,同时完善普萨,阿孜汗萨,许许构及陂隆林区监测,加强项目资金的全过程监督管理。</w:t>
      </w:r>
    </w:p>
    <w:p>
      <w:pPr>
        <w:pStyle w:val="25"/>
        <w:pageBreakBefore w:val="0"/>
        <w:widowControl w:val="0"/>
        <w:kinsoku/>
        <w:wordWrap/>
        <w:overflowPunct/>
        <w:topLinePunct w:val="0"/>
        <w:autoSpaceDE/>
        <w:autoSpaceDN/>
        <w:bidi w:val="0"/>
        <w:adjustRightInd/>
        <w:spacing w:line="560" w:lineRule="exact"/>
        <w:ind w:left="0" w:firstLine="643" w:firstLineChars="200"/>
        <w:textAlignment w:val="auto"/>
        <w:rPr>
          <w:lang w:bidi="ar"/>
        </w:rPr>
      </w:pPr>
      <w:bookmarkStart w:id="1" w:name="_Toc26401550"/>
      <w:r>
        <w:rPr>
          <w:rFonts w:hint="eastAsia"/>
          <w:lang w:bidi="ar"/>
        </w:rPr>
        <w:t>资金</w:t>
      </w:r>
      <w:bookmarkEnd w:id="1"/>
      <w:r>
        <w:rPr>
          <w:rFonts w:hint="eastAsia"/>
          <w:lang w:bidi="ar"/>
        </w:rPr>
        <w:t>投入和使用情况</w:t>
      </w:r>
    </w:p>
    <w:p>
      <w:pPr>
        <w:pageBreakBefore w:val="0"/>
        <w:widowControl w:val="0"/>
        <w:kinsoku/>
        <w:wordWrap/>
        <w:overflowPunct/>
        <w:topLinePunct w:val="0"/>
        <w:autoSpaceDE/>
        <w:autoSpaceDN/>
        <w:bidi w:val="0"/>
        <w:adjustRightInd/>
        <w:spacing w:before="156" w:beforeLines="50" w:line="560" w:lineRule="exact"/>
        <w:ind w:firstLine="645"/>
        <w:textAlignment w:val="auto"/>
        <w:rPr>
          <w:rFonts w:hint="eastAsia" w:ascii="仿宋_GB2312" w:hAnsi="仿宋" w:eastAsia="仿宋_GB2312" w:cs="宋体"/>
          <w:color w:val="000000" w:themeColor="text1"/>
          <w:sz w:val="32"/>
          <w:szCs w:val="32"/>
          <w:lang w:eastAsia="zh-CN" w:bidi="ar"/>
          <w14:textFill>
            <w14:solidFill>
              <w14:schemeClr w14:val="tx1"/>
            </w14:solidFill>
          </w14:textFill>
        </w:rPr>
      </w:pPr>
      <w:r>
        <w:rPr>
          <w:rFonts w:hint="eastAsia" w:ascii="仿宋_GB2312" w:hAnsi="仿宋" w:eastAsia="仿宋_GB2312" w:cs="宋体"/>
          <w:sz w:val="32"/>
          <w:szCs w:val="32"/>
          <w:lang w:bidi="ar"/>
        </w:rPr>
        <w:t>本项目总投资</w:t>
      </w:r>
      <w:r>
        <w:rPr>
          <w:rFonts w:hint="eastAsia" w:ascii="仿宋_GB2312" w:hAnsi="仿宋" w:eastAsia="仿宋_GB2312" w:cs="宋体"/>
          <w:sz w:val="32"/>
          <w:szCs w:val="32"/>
          <w:lang w:val="en-US" w:eastAsia="zh-CN" w:bidi="ar"/>
        </w:rPr>
        <w:t>546万</w:t>
      </w:r>
      <w:r>
        <w:rPr>
          <w:rFonts w:hint="eastAsia" w:ascii="仿宋_GB2312" w:hAnsi="仿宋" w:eastAsia="仿宋_GB2312" w:cs="宋体"/>
          <w:sz w:val="32"/>
          <w:szCs w:val="32"/>
          <w:lang w:bidi="ar"/>
        </w:rPr>
        <w:t>元，资金来源为中央专项资金。</w:t>
      </w:r>
      <w:r>
        <w:rPr>
          <w:rFonts w:hint="eastAsia" w:ascii="仿宋_GB2312" w:hAnsi="仿宋" w:eastAsia="仿宋_GB2312" w:cs="宋体"/>
          <w:sz w:val="32"/>
          <w:szCs w:val="32"/>
          <w:lang w:val="en-US" w:eastAsia="zh-CN" w:bidi="ar"/>
        </w:rPr>
        <w:t>中央专</w:t>
      </w:r>
      <w:r>
        <w:rPr>
          <w:rFonts w:hint="eastAsia" w:ascii="仿宋_GB2312" w:hAnsi="仿宋" w:eastAsia="仿宋_GB2312" w:cs="宋体"/>
          <w:sz w:val="32"/>
          <w:szCs w:val="32"/>
          <w:lang w:bidi="ar"/>
        </w:rPr>
        <w:t>项资金的使用范围：</w:t>
      </w:r>
      <w:r>
        <w:rPr>
          <w:rFonts w:hint="eastAsia" w:ascii="仿宋_GB2312" w:hAnsi="仿宋" w:eastAsia="仿宋_GB2312" w:cs="宋体"/>
          <w:sz w:val="32"/>
          <w:szCs w:val="32"/>
          <w:lang w:val="en-US" w:eastAsia="zh-CN" w:bidi="ar"/>
        </w:rPr>
        <w:t>对天然林进行保护，进行项目实施。</w:t>
      </w:r>
      <w:r>
        <w:rPr>
          <w:rFonts w:hint="eastAsia" w:ascii="仿宋_GB2312" w:hAnsi="仿宋" w:eastAsia="仿宋_GB2312" w:cs="宋体"/>
          <w:color w:val="000000" w:themeColor="text1"/>
          <w:sz w:val="32"/>
          <w:szCs w:val="32"/>
          <w:lang w:val="en-US" w:eastAsia="zh-CN" w:bidi="ar"/>
          <w14:textFill>
            <w14:solidFill>
              <w14:schemeClr w14:val="tx1"/>
            </w14:solidFill>
          </w14:textFill>
        </w:rPr>
        <w:t>喀什地区昆仑山国有林管理局制定了天保资金管理办法，</w:t>
      </w:r>
      <w:r>
        <w:rPr>
          <w:rFonts w:hint="eastAsia" w:ascii="仿宋_GB2312" w:hAnsi="仿宋" w:eastAsia="仿宋_GB2312" w:cs="宋体"/>
          <w:color w:val="000000" w:themeColor="text1"/>
          <w:sz w:val="32"/>
          <w:szCs w:val="32"/>
          <w:lang w:bidi="ar"/>
          <w14:textFill>
            <w14:solidFill>
              <w14:schemeClr w14:val="tx1"/>
            </w14:solidFill>
          </w14:textFill>
        </w:rPr>
        <w:t>按照</w:t>
      </w:r>
      <w:r>
        <w:rPr>
          <w:rFonts w:hint="eastAsia" w:ascii="仿宋_GB2312" w:hAnsi="仿宋" w:eastAsia="仿宋_GB2312" w:cs="宋体"/>
          <w:color w:val="000000" w:themeColor="text1"/>
          <w:sz w:val="32"/>
          <w:szCs w:val="32"/>
          <w:lang w:val="en-US" w:eastAsia="zh-CN" w:bidi="ar"/>
          <w14:textFill>
            <w14:solidFill>
              <w14:schemeClr w14:val="tx1"/>
            </w14:solidFill>
          </w14:textFill>
        </w:rPr>
        <w:t>新财农（2018）154号文件</w:t>
      </w:r>
      <w:r>
        <w:rPr>
          <w:rFonts w:hint="eastAsia" w:ascii="仿宋_GB2312" w:hAnsi="仿宋" w:eastAsia="仿宋_GB2312" w:cs="宋体"/>
          <w:color w:val="000000" w:themeColor="text1"/>
          <w:sz w:val="32"/>
          <w:szCs w:val="32"/>
          <w:lang w:bidi="ar"/>
          <w14:textFill>
            <w14:solidFill>
              <w14:schemeClr w14:val="tx1"/>
            </w14:solidFill>
          </w14:textFill>
        </w:rPr>
        <w:t>进行使用</w:t>
      </w:r>
      <w:r>
        <w:rPr>
          <w:rFonts w:hint="eastAsia" w:ascii="仿宋_GB2312" w:hAnsi="仿宋" w:eastAsia="仿宋_GB2312" w:cs="宋体"/>
          <w:color w:val="000000" w:themeColor="text1"/>
          <w:sz w:val="32"/>
          <w:szCs w:val="32"/>
          <w:lang w:eastAsia="zh-CN" w:bidi="ar"/>
          <w14:textFill>
            <w14:solidFill>
              <w14:schemeClr w14:val="tx1"/>
            </w14:solidFill>
          </w14:textFill>
        </w:rPr>
        <w:t>。</w:t>
      </w:r>
    </w:p>
    <w:p>
      <w:pPr>
        <w:pStyle w:val="25"/>
        <w:pageBreakBefore w:val="0"/>
        <w:widowControl w:val="0"/>
        <w:kinsoku/>
        <w:wordWrap/>
        <w:overflowPunct/>
        <w:topLinePunct w:val="0"/>
        <w:autoSpaceDE/>
        <w:autoSpaceDN/>
        <w:bidi w:val="0"/>
        <w:adjustRightInd/>
        <w:spacing w:line="560" w:lineRule="exact"/>
        <w:ind w:left="0" w:firstLine="643" w:firstLineChars="200"/>
        <w:textAlignment w:val="auto"/>
        <w:rPr>
          <w:lang w:bidi="ar"/>
        </w:rPr>
      </w:pPr>
      <w:bookmarkStart w:id="2" w:name="_Toc26401551"/>
      <w:r>
        <w:rPr>
          <w:rFonts w:hint="eastAsia"/>
          <w:lang w:bidi="ar"/>
        </w:rPr>
        <w:t>绩效目标</w:t>
      </w:r>
      <w:bookmarkEnd w:id="2"/>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Calibri" w:eastAsia="仿宋_GB2312" w:cs="Times New Roman"/>
          <w:bCs/>
          <w:color w:val="000000" w:themeColor="text1"/>
          <w:sz w:val="32"/>
          <w:szCs w:val="32"/>
          <w:lang w:val="en-US" w:eastAsia="zh-CN"/>
          <w14:textFill>
            <w14:solidFill>
              <w14:schemeClr w14:val="tx1"/>
            </w14:solidFill>
          </w14:textFill>
        </w:rPr>
      </w:pPr>
      <w:r>
        <w:rPr>
          <w:rFonts w:hint="eastAsia" w:ascii="仿宋_GB2312" w:hAnsi="仿宋" w:eastAsia="仿宋_GB2312" w:cs="宋体"/>
          <w:sz w:val="32"/>
          <w:szCs w:val="32"/>
          <w:lang w:bidi="ar"/>
        </w:rPr>
        <w:t>总体目标为：</w:t>
      </w:r>
      <w:r>
        <w:rPr>
          <w:rFonts w:hint="eastAsia" w:ascii="仿宋_GB2312" w:hAnsi="Calibri" w:eastAsia="仿宋_GB2312" w:cs="Times New Roman"/>
          <w:bCs/>
          <w:color w:val="000000" w:themeColor="text1"/>
          <w:sz w:val="32"/>
          <w:szCs w:val="32"/>
          <w:lang w:val="en-US" w:eastAsia="zh-CN"/>
          <w14:textFill>
            <w14:solidFill>
              <w14:schemeClr w14:val="tx1"/>
            </w14:solidFill>
          </w14:textFill>
        </w:rPr>
        <w:t>目标1:加强林业生态建设,确保12名天然管护员劳动报酬和社保水平增长,足额支付.实现养老保险.医疗保险等五项社会保险全覆盖.</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Calibri" w:eastAsia="仿宋_GB2312" w:cs="Times New Roman"/>
          <w:bCs/>
          <w:color w:val="000000" w:themeColor="text1"/>
          <w:sz w:val="32"/>
          <w:szCs w:val="32"/>
          <w:lang w:val="en-US" w:eastAsia="zh-CN"/>
          <w14:textFill>
            <w14:solidFill>
              <w14:schemeClr w14:val="tx1"/>
            </w14:solidFill>
          </w14:textFill>
        </w:rPr>
      </w:pPr>
      <w:r>
        <w:rPr>
          <w:rFonts w:hint="eastAsia" w:ascii="仿宋_GB2312" w:hAnsi="Calibri" w:eastAsia="仿宋_GB2312" w:cs="Times New Roman"/>
          <w:bCs/>
          <w:color w:val="000000" w:themeColor="text1"/>
          <w:sz w:val="32"/>
          <w:szCs w:val="32"/>
          <w:lang w:val="en-US" w:eastAsia="zh-CN"/>
          <w14:textFill>
            <w14:solidFill>
              <w14:schemeClr w14:val="tx1"/>
            </w14:solidFill>
          </w14:textFill>
        </w:rPr>
        <w:t>目标2:抓好智能巡护系统项目建设,建立中心管护体系,同时完善普萨,阿孜汗萨,许许构及陂隆林区监测,加强项目资金的全过程监督管理.严格按照批复实施方案,资金使用规范,经检查验收合格.</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Calibri" w:eastAsia="仿宋_GB2312" w:cs="Times New Roman"/>
          <w:bCs/>
          <w:color w:val="000000" w:themeColor="text1"/>
          <w:sz w:val="32"/>
          <w:szCs w:val="32"/>
          <w:lang w:val="en-US" w:eastAsia="zh-CN"/>
          <w14:textFill>
            <w14:solidFill>
              <w14:schemeClr w14:val="tx1"/>
            </w14:solidFill>
          </w14:textFill>
        </w:rPr>
      </w:pPr>
      <w:r>
        <w:rPr>
          <w:rFonts w:hint="eastAsia" w:ascii="仿宋_GB2312" w:hAnsi="Calibri" w:eastAsia="仿宋_GB2312" w:cs="Times New Roman"/>
          <w:bCs/>
          <w:color w:val="000000" w:themeColor="text1"/>
          <w:sz w:val="32"/>
          <w:szCs w:val="32"/>
          <w:lang w:val="en-US" w:eastAsia="zh-CN"/>
          <w14:textFill>
            <w14:solidFill>
              <w14:schemeClr w14:val="tx1"/>
            </w14:solidFill>
          </w14:textFill>
        </w:rPr>
        <w:t>目标3:切实加强体系与能力建设,坚持突出重点,优化布局,规模.提升质量,拓展空间,转化方式,稳步推经林业生态发展.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Calibri" w:eastAsia="仿宋_GB2312" w:cs="Times New Roman"/>
          <w:bCs/>
          <w:color w:val="000000" w:themeColor="text1"/>
          <w:sz w:val="32"/>
          <w:szCs w:val="32"/>
          <w:lang w:val="en-US" w:eastAsia="zh-CN"/>
          <w14:textFill>
            <w14:solidFill>
              <w14:schemeClr w14:val="tx1"/>
            </w14:solidFill>
          </w14:textFill>
        </w:rPr>
      </w:pPr>
      <w:r>
        <w:rPr>
          <w:rFonts w:hint="eastAsia" w:ascii="仿宋_GB2312" w:hAnsi="Calibri" w:eastAsia="仿宋_GB2312" w:cs="Times New Roman"/>
          <w:bCs/>
          <w:color w:val="000000" w:themeColor="text1"/>
          <w:sz w:val="32"/>
          <w:szCs w:val="32"/>
          <w:lang w:val="en-US" w:eastAsia="zh-CN"/>
          <w14:textFill>
            <w14:solidFill>
              <w14:schemeClr w14:val="tx1"/>
            </w14:solidFill>
          </w14:textFill>
        </w:rPr>
        <w:t>目标4:为管护站购煤,办公用品及管护站摩托车燃油保运转.</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Calibri" w:eastAsia="仿宋_GB2312" w:cs="Times New Roman"/>
          <w:bCs/>
          <w:color w:val="000000" w:themeColor="text1"/>
          <w:sz w:val="32"/>
          <w:szCs w:val="32"/>
          <w:lang w:val="en-US" w:eastAsia="zh-CN"/>
          <w14:textFill>
            <w14:solidFill>
              <w14:schemeClr w14:val="tx1"/>
            </w14:solidFill>
          </w14:textFill>
        </w:rPr>
      </w:pPr>
      <w:r>
        <w:rPr>
          <w:rFonts w:hint="eastAsia" w:ascii="仿宋_GB2312" w:hAnsi="Calibri" w:eastAsia="仿宋_GB2312" w:cs="Times New Roman"/>
          <w:bCs/>
          <w:color w:val="000000" w:themeColor="text1"/>
          <w:sz w:val="32"/>
          <w:szCs w:val="32"/>
          <w:lang w:val="en-US" w:eastAsia="zh-CN"/>
          <w14:textFill>
            <w14:solidFill>
              <w14:schemeClr w14:val="tx1"/>
            </w14:solidFill>
          </w14:textFill>
        </w:rPr>
        <w:t>目标5:加强管护站附属设施建设,完善管护站生活设施,为管护站采购生活用具及接电,接水.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Calibri" w:eastAsia="仿宋_GB2312" w:cs="Times New Roman"/>
          <w:bCs/>
          <w:color w:val="000000" w:themeColor="text1"/>
          <w:sz w:val="32"/>
          <w:szCs w:val="32"/>
          <w:lang w:val="en-US" w:eastAsia="zh-CN"/>
          <w14:textFill>
            <w14:solidFill>
              <w14:schemeClr w14:val="tx1"/>
            </w14:solidFill>
          </w14:textFill>
        </w:rPr>
      </w:pPr>
      <w:r>
        <w:rPr>
          <w:rFonts w:hint="eastAsia" w:ascii="仿宋_GB2312" w:hAnsi="Calibri" w:eastAsia="仿宋_GB2312" w:cs="Times New Roman"/>
          <w:bCs/>
          <w:color w:val="000000" w:themeColor="text1"/>
          <w:sz w:val="32"/>
          <w:szCs w:val="32"/>
          <w:lang w:val="en-US" w:eastAsia="zh-CN"/>
          <w14:textFill>
            <w14:solidFill>
              <w14:schemeClr w14:val="tx1"/>
            </w14:solidFill>
          </w14:textFill>
        </w:rPr>
        <w:t>目标6:林区设林案件负增长.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cs="宋体"/>
          <w:sz w:val="32"/>
          <w:szCs w:val="32"/>
          <w:lang w:bidi="ar"/>
        </w:rPr>
      </w:pPr>
      <w:r>
        <w:rPr>
          <w:rFonts w:hint="eastAsia" w:ascii="仿宋_GB2312" w:hAnsi="Calibri" w:eastAsia="仿宋_GB2312" w:cs="Times New Roman"/>
          <w:bCs/>
          <w:color w:val="000000" w:themeColor="text1"/>
          <w:sz w:val="32"/>
          <w:szCs w:val="32"/>
          <w:lang w:val="en-US" w:eastAsia="zh-CN"/>
          <w14:textFill>
            <w14:solidFill>
              <w14:schemeClr w14:val="tx1"/>
            </w14:solidFill>
          </w14:textFill>
        </w:rPr>
        <w:t>目标7:加强森林资源保护和灾害防控,严守生态红线,建立健全森林资源保护管理目标责任制.</w:t>
      </w:r>
    </w:p>
    <w:p>
      <w:pPr>
        <w:pageBreakBefore w:val="0"/>
        <w:widowControl w:val="0"/>
        <w:kinsoku/>
        <w:wordWrap/>
        <w:overflowPunct/>
        <w:topLinePunct w:val="0"/>
        <w:autoSpaceDE/>
        <w:autoSpaceDN/>
        <w:bidi w:val="0"/>
        <w:adjustRightInd/>
        <w:spacing w:before="156" w:beforeLines="50" w:line="560" w:lineRule="exact"/>
        <w:textAlignment w:val="auto"/>
        <w:rPr>
          <w:rFonts w:ascii="仿宋_GB2312" w:hAnsi="仿宋" w:eastAsia="仿宋_GB2312" w:cs="宋体"/>
          <w:color w:val="FF0000"/>
          <w:sz w:val="32"/>
          <w:szCs w:val="32"/>
          <w:lang w:bidi="ar"/>
        </w:rPr>
      </w:pPr>
      <w:r>
        <w:rPr>
          <w:rFonts w:hint="eastAsia" w:ascii="仿宋_GB2312" w:hAnsi="仿宋" w:eastAsia="仿宋_GB2312" w:cs="宋体"/>
          <w:sz w:val="32"/>
          <w:szCs w:val="32"/>
          <w:lang w:bidi="ar"/>
        </w:rPr>
        <w:t xml:space="preserve"> </w:t>
      </w:r>
      <w:r>
        <w:rPr>
          <w:rFonts w:ascii="仿宋_GB2312" w:hAnsi="仿宋" w:eastAsia="仿宋_GB2312" w:cs="宋体"/>
          <w:sz w:val="32"/>
          <w:szCs w:val="32"/>
          <w:lang w:bidi="ar"/>
        </w:rPr>
        <w:t xml:space="preserve">   </w:t>
      </w:r>
      <w:r>
        <w:rPr>
          <w:rFonts w:hint="eastAsia" w:ascii="仿宋_GB2312" w:hAnsi="仿宋" w:eastAsia="仿宋_GB2312" w:cs="宋体"/>
          <w:sz w:val="32"/>
          <w:szCs w:val="32"/>
          <w:lang w:bidi="ar"/>
        </w:rPr>
        <w:t>项目共设置</w:t>
      </w:r>
      <w:r>
        <w:rPr>
          <w:rFonts w:ascii="仿宋_GB2312" w:hAnsi="仿宋" w:eastAsia="仿宋_GB2312" w:cs="宋体"/>
          <w:sz w:val="32"/>
          <w:szCs w:val="32"/>
          <w:lang w:bidi="ar"/>
        </w:rPr>
        <w:t>1</w:t>
      </w:r>
      <w:r>
        <w:rPr>
          <w:rFonts w:hint="eastAsia" w:ascii="仿宋_GB2312" w:hAnsi="仿宋" w:eastAsia="仿宋_GB2312" w:cs="宋体"/>
          <w:sz w:val="32"/>
          <w:szCs w:val="32"/>
          <w:lang w:bidi="ar"/>
        </w:rPr>
        <w:t>级指标3个，二级指标</w:t>
      </w:r>
      <w:r>
        <w:rPr>
          <w:rFonts w:hint="eastAsia" w:ascii="仿宋_GB2312" w:hAnsi="仿宋" w:eastAsia="仿宋_GB2312" w:cs="宋体"/>
          <w:sz w:val="32"/>
          <w:szCs w:val="32"/>
          <w:lang w:val="en-US" w:eastAsia="zh-CN" w:bidi="ar"/>
        </w:rPr>
        <w:t>9</w:t>
      </w:r>
      <w:r>
        <w:rPr>
          <w:rFonts w:hint="eastAsia" w:ascii="仿宋_GB2312" w:hAnsi="仿宋" w:eastAsia="仿宋_GB2312" w:cs="宋体"/>
          <w:sz w:val="32"/>
          <w:szCs w:val="32"/>
          <w:lang w:bidi="ar"/>
        </w:rPr>
        <w:t>个，三级指标</w:t>
      </w:r>
      <w:r>
        <w:rPr>
          <w:rFonts w:hint="eastAsia" w:ascii="仿宋_GB2312" w:hAnsi="仿宋" w:eastAsia="仿宋_GB2312" w:cs="宋体"/>
          <w:sz w:val="32"/>
          <w:szCs w:val="32"/>
          <w:lang w:val="en-US" w:eastAsia="zh-CN" w:bidi="ar"/>
        </w:rPr>
        <w:t>17</w:t>
      </w:r>
      <w:r>
        <w:rPr>
          <w:rFonts w:hint="eastAsia" w:ascii="仿宋_GB2312" w:hAnsi="仿宋" w:eastAsia="仿宋_GB2312" w:cs="宋体"/>
          <w:sz w:val="32"/>
          <w:szCs w:val="32"/>
          <w:lang w:bidi="ar"/>
        </w:rPr>
        <w:t>个，绩效目标申报表详见附件1。</w:t>
      </w:r>
    </w:p>
    <w:p>
      <w:pPr>
        <w:pStyle w:val="23"/>
        <w:pageBreakBefore w:val="0"/>
        <w:widowControl w:val="0"/>
        <w:numPr>
          <w:ilvl w:val="0"/>
          <w:numId w:val="2"/>
        </w:numPr>
        <w:kinsoku/>
        <w:wordWrap/>
        <w:overflowPunct/>
        <w:topLinePunct w:val="0"/>
        <w:autoSpaceDE/>
        <w:autoSpaceDN/>
        <w:bidi w:val="0"/>
        <w:adjustRightInd/>
        <w:spacing w:line="560" w:lineRule="exact"/>
        <w:ind w:firstLineChars="0"/>
        <w:textAlignment w:val="auto"/>
        <w:rPr>
          <w:lang w:bidi="ar"/>
        </w:rPr>
      </w:pPr>
      <w:bookmarkStart w:id="3" w:name="_Toc26401552"/>
      <w:r>
        <w:rPr>
          <w:rFonts w:hint="eastAsia"/>
          <w:lang w:bidi="ar"/>
        </w:rPr>
        <w:t>评价工作简述</w:t>
      </w:r>
      <w:bookmarkEnd w:id="3"/>
    </w:p>
    <w:p>
      <w:pPr>
        <w:pStyle w:val="25"/>
        <w:pageBreakBefore w:val="0"/>
        <w:widowControl w:val="0"/>
        <w:numPr>
          <w:ilvl w:val="0"/>
          <w:numId w:val="4"/>
        </w:numPr>
        <w:kinsoku/>
        <w:wordWrap/>
        <w:overflowPunct/>
        <w:topLinePunct w:val="0"/>
        <w:autoSpaceDE/>
        <w:autoSpaceDN/>
        <w:bidi w:val="0"/>
        <w:adjustRightInd/>
        <w:spacing w:line="560" w:lineRule="exact"/>
        <w:ind w:left="0" w:firstLine="643" w:firstLineChars="200"/>
        <w:textAlignment w:val="auto"/>
        <w:rPr>
          <w:lang w:bidi="ar"/>
        </w:rPr>
      </w:pPr>
      <w:bookmarkStart w:id="4" w:name="_Toc26401553"/>
      <w:r>
        <w:rPr>
          <w:rFonts w:hint="eastAsia"/>
          <w:lang w:bidi="ar"/>
        </w:rPr>
        <w:t>评价目的</w:t>
      </w:r>
      <w:bookmarkEnd w:id="4"/>
    </w:p>
    <w:p>
      <w:pPr>
        <w:pageBreakBefore w:val="0"/>
        <w:widowControl w:val="0"/>
        <w:kinsoku/>
        <w:wordWrap/>
        <w:overflowPunct/>
        <w:topLinePunct w:val="0"/>
        <w:autoSpaceDE/>
        <w:autoSpaceDN/>
        <w:bidi w:val="0"/>
        <w:adjustRightInd/>
        <w:spacing w:line="560" w:lineRule="exact"/>
        <w:jc w:val="left"/>
        <w:textAlignment w:val="auto"/>
        <w:rPr>
          <w:rFonts w:ascii="仿宋_GB2312" w:hAnsi="仿宋" w:eastAsia="仿宋_GB2312" w:cs="宋体"/>
          <w:color w:val="FF0000"/>
          <w:sz w:val="32"/>
          <w:szCs w:val="32"/>
          <w:lang w:bidi="ar"/>
        </w:rPr>
      </w:pPr>
      <w:r>
        <w:rPr>
          <w:rFonts w:hint="eastAsia" w:ascii="仿宋_GB2312" w:hAnsi="仿宋" w:eastAsia="仿宋_GB2312" w:cs="宋体"/>
          <w:sz w:val="32"/>
          <w:szCs w:val="32"/>
          <w:lang w:bidi="ar"/>
        </w:rPr>
        <w:t>本次绩效评价遵循财政部《项目</w:t>
      </w:r>
      <w:r>
        <w:rPr>
          <w:rFonts w:ascii="仿宋_GB2312" w:hAnsi="仿宋" w:eastAsia="仿宋_GB2312" w:cs="宋体"/>
          <w:sz w:val="32"/>
          <w:szCs w:val="32"/>
          <w:lang w:bidi="ar"/>
        </w:rPr>
        <w:t>支出绩效评价管理办法》（财预〔2020〕10号）和自治区财政厅</w:t>
      </w:r>
      <w:r>
        <w:rPr>
          <w:rFonts w:hint="eastAsia" w:ascii="仿宋_GB2312" w:hAnsi="仿宋_GB2312" w:eastAsia="仿宋_GB2312" w:cs="仿宋_GB2312"/>
          <w:kern w:val="0"/>
          <w:sz w:val="32"/>
          <w:szCs w:val="32"/>
          <w:shd w:val="clear" w:color="auto" w:fill="FFFFFF"/>
          <w:lang w:bidi="ar"/>
        </w:rPr>
        <w:t>《自治区财政支出绩效评价管理暂行办法》（新财预〔</w:t>
      </w:r>
      <w:r>
        <w:rPr>
          <w:rFonts w:ascii="仿宋_GB2312" w:hAnsi="仿宋_GB2312" w:eastAsia="仿宋_GB2312" w:cs="仿宋_GB2312"/>
          <w:kern w:val="0"/>
          <w:sz w:val="32"/>
          <w:szCs w:val="32"/>
          <w:shd w:val="clear" w:color="auto" w:fill="FFFFFF"/>
          <w:lang w:bidi="ar"/>
        </w:rPr>
        <w:t>2018〕189号</w:t>
      </w:r>
      <w:r>
        <w:rPr>
          <w:rFonts w:hint="eastAsia" w:ascii="仿宋_GB2312" w:hAnsi="仿宋_GB2312" w:eastAsia="仿宋_GB2312" w:cs="仿宋_GB2312"/>
          <w:kern w:val="0"/>
          <w:sz w:val="32"/>
          <w:szCs w:val="32"/>
          <w:shd w:val="clear" w:color="auto" w:fill="FFFFFF"/>
          <w:lang w:bidi="ar"/>
        </w:rPr>
        <w:t>）</w:t>
      </w:r>
      <w:r>
        <w:rPr>
          <w:rFonts w:ascii="仿宋_GB2312" w:hAnsi="仿宋" w:eastAsia="仿宋_GB2312" w:cs="宋体"/>
          <w:sz w:val="32"/>
          <w:szCs w:val="32"/>
          <w:lang w:bidi="ar"/>
        </w:rPr>
        <w:t>等相关政策文件与规定，</w:t>
      </w:r>
      <w:r>
        <w:rPr>
          <w:rFonts w:hint="eastAsia" w:ascii="仿宋_GB2312" w:hAnsi="仿宋" w:eastAsia="仿宋_GB2312" w:cs="宋体"/>
          <w:sz w:val="32"/>
          <w:szCs w:val="32"/>
          <w:lang w:bidi="ar"/>
        </w:rPr>
        <w:t>旨在评价</w:t>
      </w:r>
      <w:r>
        <w:rPr>
          <w:rFonts w:hint="eastAsia" w:ascii="仿宋_GB2312" w:hAnsi="仿宋_GB2312" w:eastAsia="仿宋_GB2312" w:cs="仿宋_GB2312"/>
          <w:kern w:val="0"/>
          <w:sz w:val="32"/>
          <w:szCs w:val="32"/>
          <w:shd w:val="clear" w:color="auto" w:fill="FFFFFF"/>
          <w:lang w:val="en-US" w:eastAsia="zh-CN" w:bidi="ar"/>
        </w:rPr>
        <w:t>2019年中央林业改革发展资金(天然林保护)</w:t>
      </w:r>
      <w:r>
        <w:rPr>
          <w:rFonts w:hint="eastAsia" w:ascii="仿宋_GB2312" w:hAnsi="仿宋" w:eastAsia="仿宋_GB2312" w:cs="宋体"/>
          <w:sz w:val="32"/>
          <w:szCs w:val="32"/>
          <w:lang w:bidi="ar"/>
        </w:rPr>
        <w:t>项目实施前期、过程及效果，评价财政预算资金使用的效率及效益。</w:t>
      </w:r>
    </w:p>
    <w:p>
      <w:pPr>
        <w:pStyle w:val="25"/>
        <w:pageBreakBefore w:val="0"/>
        <w:widowControl w:val="0"/>
        <w:numPr>
          <w:ilvl w:val="0"/>
          <w:numId w:val="4"/>
        </w:numPr>
        <w:kinsoku/>
        <w:wordWrap/>
        <w:overflowPunct/>
        <w:topLinePunct w:val="0"/>
        <w:autoSpaceDE/>
        <w:autoSpaceDN/>
        <w:bidi w:val="0"/>
        <w:adjustRightInd/>
        <w:spacing w:line="560" w:lineRule="exact"/>
        <w:ind w:left="0" w:firstLine="643" w:firstLineChars="200"/>
        <w:textAlignment w:val="auto"/>
        <w:rPr>
          <w:lang w:bidi="ar"/>
        </w:rPr>
      </w:pPr>
      <w:r>
        <w:rPr>
          <w:rFonts w:hint="eastAsia"/>
          <w:lang w:bidi="ar"/>
        </w:rPr>
        <w:t>本次绩效评价的对象及范围</w:t>
      </w:r>
      <w:bookmarkStart w:id="5" w:name="_Toc26401554"/>
    </w:p>
    <w:p>
      <w:pPr>
        <w:pageBreakBefore w:val="0"/>
        <w:widowControl w:val="0"/>
        <w:kinsoku/>
        <w:wordWrap/>
        <w:overflowPunct/>
        <w:topLinePunct w:val="0"/>
        <w:autoSpaceDE/>
        <w:autoSpaceDN/>
        <w:bidi w:val="0"/>
        <w:adjustRightInd/>
        <w:spacing w:line="560" w:lineRule="exact"/>
        <w:ind w:firstLine="640" w:firstLineChars="200"/>
        <w:jc w:val="left"/>
        <w:textAlignment w:val="auto"/>
        <w:rPr>
          <w:rFonts w:ascii="仿宋_GB2312" w:hAnsi="仿宋" w:eastAsia="仿宋_GB2312" w:cs="宋体"/>
          <w:sz w:val="32"/>
          <w:szCs w:val="32"/>
          <w:lang w:bidi="ar"/>
        </w:rPr>
      </w:pPr>
      <w:r>
        <w:rPr>
          <w:rFonts w:ascii="仿宋_GB2312" w:hAnsi="仿宋" w:eastAsia="仿宋_GB2312" w:cs="宋体"/>
          <w:sz w:val="32"/>
          <w:szCs w:val="32"/>
          <w:lang w:bidi="ar"/>
        </w:rPr>
        <w:t>本次评价对象为</w:t>
      </w:r>
      <w:r>
        <w:rPr>
          <w:rFonts w:hint="eastAsia" w:ascii="仿宋_GB2312" w:hAnsi="仿宋" w:eastAsia="仿宋_GB2312" w:cs="宋体"/>
          <w:sz w:val="32"/>
          <w:szCs w:val="32"/>
          <w:lang w:val="en-US" w:eastAsia="zh-CN" w:bidi="ar"/>
        </w:rPr>
        <w:t>2019年中央林业改革发展资金(天然林保护)</w:t>
      </w:r>
      <w:r>
        <w:rPr>
          <w:rFonts w:ascii="仿宋_GB2312" w:hAnsi="仿宋" w:eastAsia="仿宋_GB2312" w:cs="宋体"/>
          <w:sz w:val="32"/>
          <w:szCs w:val="32"/>
          <w:lang w:bidi="ar"/>
        </w:rPr>
        <w:t>项目资金，评价范围包括专项资</w:t>
      </w:r>
      <w:r>
        <w:rPr>
          <w:rFonts w:hint="eastAsia" w:ascii="仿宋_GB2312" w:hAnsi="仿宋" w:eastAsia="仿宋_GB2312" w:cs="宋体"/>
          <w:sz w:val="32"/>
          <w:szCs w:val="32"/>
          <w:lang w:bidi="ar"/>
        </w:rPr>
        <w:t>金的安排、组织及使用效益。</w:t>
      </w:r>
    </w:p>
    <w:p>
      <w:pPr>
        <w:pStyle w:val="25"/>
        <w:pageBreakBefore w:val="0"/>
        <w:widowControl w:val="0"/>
        <w:numPr>
          <w:ilvl w:val="0"/>
          <w:numId w:val="4"/>
        </w:numPr>
        <w:kinsoku/>
        <w:wordWrap/>
        <w:overflowPunct/>
        <w:topLinePunct w:val="0"/>
        <w:autoSpaceDE/>
        <w:autoSpaceDN/>
        <w:bidi w:val="0"/>
        <w:adjustRightInd/>
        <w:spacing w:line="560" w:lineRule="exact"/>
        <w:ind w:left="0" w:firstLine="643" w:firstLineChars="200"/>
        <w:textAlignment w:val="auto"/>
        <w:rPr>
          <w:lang w:bidi="ar"/>
        </w:rPr>
      </w:pPr>
      <w:r>
        <w:rPr>
          <w:rFonts w:hint="eastAsia"/>
          <w:lang w:bidi="ar"/>
        </w:rPr>
        <w:t>绩效评价原则</w:t>
      </w:r>
      <w:bookmarkEnd w:id="5"/>
    </w:p>
    <w:p>
      <w:pPr>
        <w:pageBreakBefore w:val="0"/>
        <w:widowControl w:val="0"/>
        <w:kinsoku/>
        <w:wordWrap/>
        <w:overflowPunct/>
        <w:topLinePunct w:val="0"/>
        <w:autoSpaceDE/>
        <w:autoSpaceDN/>
        <w:bidi w:val="0"/>
        <w:adjustRightInd/>
        <w:spacing w:before="156" w:beforeLines="50" w:line="560" w:lineRule="exact"/>
        <w:ind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本次绩效评价遵循的原则包括：</w:t>
      </w:r>
    </w:p>
    <w:p>
      <w:pPr>
        <w:pStyle w:val="25"/>
        <w:keepNext w:val="0"/>
        <w:keepLines w:val="0"/>
        <w:pageBreakBefore w:val="0"/>
        <w:widowControl w:val="0"/>
        <w:numPr>
          <w:ilvl w:val="1"/>
          <w:numId w:val="5"/>
        </w:numPr>
        <w:kinsoku/>
        <w:wordWrap/>
        <w:overflowPunct/>
        <w:topLinePunct w:val="0"/>
        <w:autoSpaceDE/>
        <w:autoSpaceDN/>
        <w:bidi w:val="0"/>
        <w:adjustRightInd/>
        <w:spacing w:line="560" w:lineRule="exact"/>
        <w:ind w:left="0" w:firstLine="640" w:firstLineChars="200"/>
        <w:textAlignment w:val="auto"/>
        <w:rPr>
          <w:rFonts w:hAnsi="仿宋" w:cs="宋体"/>
          <w:b w:val="0"/>
          <w:lang w:bidi="ar"/>
        </w:rPr>
      </w:pPr>
      <w:r>
        <w:rPr>
          <w:rFonts w:hint="eastAsia" w:hAnsi="仿宋" w:cs="宋体"/>
          <w:b w:val="0"/>
          <w:lang w:bidi="ar"/>
        </w:rPr>
        <w:t>科学公正。绩效评价应当运用科学合理的方法，按照规范的程序，对项目绩效进行客观、公正的反映。</w:t>
      </w:r>
    </w:p>
    <w:p>
      <w:pPr>
        <w:pStyle w:val="25"/>
        <w:keepNext w:val="0"/>
        <w:keepLines w:val="0"/>
        <w:pageBreakBefore w:val="0"/>
        <w:widowControl w:val="0"/>
        <w:numPr>
          <w:ilvl w:val="1"/>
          <w:numId w:val="5"/>
        </w:numPr>
        <w:kinsoku/>
        <w:wordWrap/>
        <w:overflowPunct/>
        <w:topLinePunct w:val="0"/>
        <w:autoSpaceDE/>
        <w:autoSpaceDN/>
        <w:bidi w:val="0"/>
        <w:adjustRightInd/>
        <w:spacing w:line="560" w:lineRule="exact"/>
        <w:ind w:left="0" w:firstLine="640" w:firstLineChars="200"/>
        <w:textAlignment w:val="auto"/>
        <w:rPr>
          <w:rFonts w:hAnsi="仿宋" w:cs="宋体"/>
          <w:b w:val="0"/>
          <w:lang w:bidi="ar"/>
        </w:rPr>
      </w:pPr>
      <w:r>
        <w:rPr>
          <w:rFonts w:hint="eastAsia" w:hAnsi="仿宋" w:cs="宋体"/>
          <w:b w:val="0"/>
          <w:lang w:bidi="ar"/>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25"/>
        <w:keepNext w:val="0"/>
        <w:keepLines w:val="0"/>
        <w:pageBreakBefore w:val="0"/>
        <w:widowControl w:val="0"/>
        <w:numPr>
          <w:ilvl w:val="1"/>
          <w:numId w:val="5"/>
        </w:numPr>
        <w:kinsoku/>
        <w:wordWrap/>
        <w:overflowPunct/>
        <w:topLinePunct w:val="0"/>
        <w:autoSpaceDE/>
        <w:autoSpaceDN/>
        <w:bidi w:val="0"/>
        <w:adjustRightInd/>
        <w:spacing w:line="560" w:lineRule="exact"/>
        <w:ind w:left="0" w:firstLine="640" w:firstLineChars="200"/>
        <w:textAlignment w:val="auto"/>
        <w:rPr>
          <w:rFonts w:hAnsi="仿宋" w:cs="宋体"/>
          <w:b w:val="0"/>
          <w:lang w:bidi="ar"/>
        </w:rPr>
      </w:pPr>
      <w:r>
        <w:rPr>
          <w:rFonts w:hint="eastAsia" w:hAnsi="仿宋" w:cs="宋体"/>
          <w:b w:val="0"/>
          <w:lang w:bidi="ar"/>
        </w:rPr>
        <w:t>激励约束。绩效评价结果应与预算安排、政策调整、改进管理实质性挂钩，体现奖优罚劣和激励相容导向，有效要安排、低效要压减、无效要问责。</w:t>
      </w:r>
    </w:p>
    <w:p>
      <w:pPr>
        <w:pStyle w:val="25"/>
        <w:keepNext w:val="0"/>
        <w:keepLines w:val="0"/>
        <w:pageBreakBefore w:val="0"/>
        <w:widowControl w:val="0"/>
        <w:numPr>
          <w:ilvl w:val="1"/>
          <w:numId w:val="5"/>
        </w:numPr>
        <w:kinsoku/>
        <w:wordWrap/>
        <w:overflowPunct/>
        <w:topLinePunct w:val="0"/>
        <w:autoSpaceDE/>
        <w:autoSpaceDN/>
        <w:bidi w:val="0"/>
        <w:adjustRightInd/>
        <w:spacing w:line="560" w:lineRule="exact"/>
        <w:ind w:left="0" w:firstLine="640" w:firstLineChars="200"/>
        <w:textAlignment w:val="auto"/>
        <w:rPr>
          <w:b w:val="0"/>
          <w:lang w:bidi="ar"/>
        </w:rPr>
      </w:pPr>
      <w:r>
        <w:rPr>
          <w:rFonts w:hint="eastAsia" w:hAnsi="仿宋" w:cs="宋体"/>
          <w:b w:val="0"/>
          <w:lang w:bidi="ar"/>
        </w:rPr>
        <w:t>公开透明。绩效评价结果应依法依规公开，并自觉接受社会监督。</w:t>
      </w:r>
      <w:r>
        <w:rPr>
          <w:rFonts w:hint="eastAsia"/>
          <w:b w:val="0"/>
          <w:lang w:bidi="ar"/>
        </w:rPr>
        <w:t>绩效评价体系</w:t>
      </w:r>
    </w:p>
    <w:p>
      <w:pPr>
        <w:pStyle w:val="25"/>
        <w:pageBreakBefore w:val="0"/>
        <w:widowControl w:val="0"/>
        <w:numPr>
          <w:ilvl w:val="0"/>
          <w:numId w:val="4"/>
        </w:numPr>
        <w:kinsoku/>
        <w:wordWrap/>
        <w:overflowPunct/>
        <w:topLinePunct w:val="0"/>
        <w:autoSpaceDE/>
        <w:autoSpaceDN/>
        <w:bidi w:val="0"/>
        <w:adjustRightInd/>
        <w:spacing w:line="560" w:lineRule="exact"/>
        <w:ind w:left="0" w:firstLine="643" w:firstLineChars="200"/>
        <w:textAlignment w:val="auto"/>
        <w:rPr>
          <w:lang w:bidi="ar"/>
        </w:rPr>
      </w:pPr>
      <w:r>
        <w:rPr>
          <w:rFonts w:hint="eastAsia"/>
          <w:lang w:bidi="ar"/>
        </w:rPr>
        <w:t>本项目绩效评价体系</w:t>
      </w:r>
    </w:p>
    <w:p>
      <w:pPr>
        <w:pStyle w:val="25"/>
        <w:pageBreakBefore w:val="0"/>
        <w:widowControl w:val="0"/>
        <w:numPr>
          <w:ilvl w:val="0"/>
          <w:numId w:val="0"/>
        </w:numPr>
        <w:kinsoku/>
        <w:wordWrap/>
        <w:overflowPunct/>
        <w:topLinePunct w:val="0"/>
        <w:autoSpaceDE/>
        <w:autoSpaceDN/>
        <w:bidi w:val="0"/>
        <w:adjustRightInd/>
        <w:spacing w:line="560" w:lineRule="exact"/>
        <w:ind w:firstLine="640" w:firstLineChars="200"/>
        <w:textAlignment w:val="auto"/>
        <w:rPr>
          <w:rFonts w:hint="eastAsia" w:eastAsia="仿宋_GB2312"/>
          <w:b w:val="0"/>
          <w:lang w:eastAsia="zh-CN" w:bidi="ar"/>
        </w:rPr>
      </w:pPr>
      <w:r>
        <w:rPr>
          <w:rFonts w:hint="eastAsia"/>
          <w:b w:val="0"/>
          <w:lang w:bidi="ar"/>
        </w:rPr>
        <w:t>本项目绩效评价体系为根据财预</w:t>
      </w:r>
      <w:r>
        <w:rPr>
          <w:rFonts w:hint="eastAsia" w:ascii="仿宋" w:hAnsi="仿宋" w:eastAsia="仿宋"/>
          <w:b w:val="0"/>
          <w:lang w:bidi="ar"/>
        </w:rPr>
        <w:t>﹝</w:t>
      </w:r>
      <w:r>
        <w:rPr>
          <w:rFonts w:hint="eastAsia"/>
          <w:b w:val="0"/>
          <w:lang w:bidi="ar"/>
        </w:rPr>
        <w:t>2</w:t>
      </w:r>
      <w:r>
        <w:rPr>
          <w:b w:val="0"/>
          <w:lang w:bidi="ar"/>
        </w:rPr>
        <w:t>020</w:t>
      </w:r>
      <w:r>
        <w:rPr>
          <w:rFonts w:hint="eastAsia" w:ascii="仿宋" w:hAnsi="仿宋" w:eastAsia="仿宋"/>
          <w:b w:val="0"/>
          <w:lang w:bidi="ar"/>
        </w:rPr>
        <w:t>﹞</w:t>
      </w:r>
      <w:r>
        <w:rPr>
          <w:rFonts w:hint="eastAsia"/>
          <w:b w:val="0"/>
          <w:lang w:bidi="ar"/>
        </w:rPr>
        <w:t>1</w:t>
      </w:r>
      <w:r>
        <w:rPr>
          <w:b w:val="0"/>
          <w:lang w:bidi="ar"/>
        </w:rPr>
        <w:t>0</w:t>
      </w:r>
      <w:r>
        <w:rPr>
          <w:rFonts w:hint="eastAsia"/>
          <w:b w:val="0"/>
          <w:lang w:bidi="ar"/>
        </w:rPr>
        <w:t>号共性指标及个性化指标设置</w:t>
      </w:r>
      <w:r>
        <w:rPr>
          <w:rFonts w:hint="eastAsia"/>
          <w:b w:val="0"/>
          <w:lang w:eastAsia="zh-CN" w:bidi="ar"/>
        </w:rPr>
        <w:t>，</w:t>
      </w:r>
      <w:r>
        <w:rPr>
          <w:rFonts w:hint="eastAsia"/>
          <w:b w:val="0"/>
          <w:lang w:val="en-US" w:eastAsia="zh-CN" w:bidi="ar"/>
        </w:rPr>
        <w:t>详附件4</w:t>
      </w:r>
      <w:r>
        <w:rPr>
          <w:rFonts w:hint="eastAsia"/>
          <w:b w:val="0"/>
          <w:lang w:eastAsia="zh-CN" w:bidi="ar"/>
        </w:rPr>
        <w:t>。</w:t>
      </w:r>
    </w:p>
    <w:p>
      <w:pPr>
        <w:pStyle w:val="25"/>
        <w:keepNext w:val="0"/>
        <w:keepLines w:val="0"/>
        <w:pageBreakBefore w:val="0"/>
        <w:widowControl w:val="0"/>
        <w:numPr>
          <w:ilvl w:val="0"/>
          <w:numId w:val="4"/>
        </w:numPr>
        <w:kinsoku/>
        <w:wordWrap/>
        <w:overflowPunct/>
        <w:topLinePunct w:val="0"/>
        <w:autoSpaceDE/>
        <w:autoSpaceDN/>
        <w:bidi w:val="0"/>
        <w:adjustRightInd/>
        <w:spacing w:line="560" w:lineRule="exact"/>
        <w:ind w:left="0" w:firstLine="643" w:firstLineChars="200"/>
        <w:textAlignment w:val="auto"/>
        <w:rPr>
          <w:lang w:bidi="ar"/>
        </w:rPr>
      </w:pPr>
      <w:bookmarkStart w:id="6" w:name="_Toc26401555"/>
      <w:r>
        <w:rPr>
          <w:rFonts w:hint="eastAsia"/>
          <w:lang w:bidi="ar"/>
        </w:rPr>
        <w:t>绩效评价方法</w:t>
      </w:r>
      <w:bookmarkEnd w:id="6"/>
    </w:p>
    <w:p>
      <w:pPr>
        <w:pageBreakBefore w:val="0"/>
        <w:widowControl w:val="0"/>
        <w:kinsoku/>
        <w:wordWrap/>
        <w:overflowPunct/>
        <w:topLinePunct w:val="0"/>
        <w:autoSpaceDE/>
        <w:autoSpaceDN/>
        <w:bidi w:val="0"/>
        <w:adjustRightInd/>
        <w:spacing w:before="156" w:beforeLines="50" w:line="560" w:lineRule="exact"/>
        <w:ind w:firstLine="645"/>
        <w:textAlignment w:val="auto"/>
        <w:rPr>
          <w:rFonts w:ascii="仿宋_GB2312" w:hAnsi="仿宋" w:eastAsia="仿宋_GB2312" w:cs="宋体"/>
          <w:sz w:val="32"/>
          <w:szCs w:val="32"/>
          <w:highlight w:val="none"/>
          <w:lang w:bidi="ar"/>
        </w:rPr>
      </w:pPr>
      <w:r>
        <w:rPr>
          <w:rFonts w:hint="eastAsia" w:ascii="仿宋_GB2312" w:hAnsi="仿宋" w:eastAsia="仿宋_GB2312" w:cs="宋体"/>
          <w:sz w:val="32"/>
          <w:szCs w:val="32"/>
          <w:lang w:bidi="ar"/>
        </w:rPr>
        <w:t>本次绩效评价方法的选用坚持简便有效的</w:t>
      </w:r>
      <w:r>
        <w:rPr>
          <w:rFonts w:hint="eastAsia" w:ascii="仿宋_GB2312" w:hAnsi="仿宋" w:eastAsia="仿宋_GB2312" w:cs="宋体"/>
          <w:sz w:val="32"/>
          <w:szCs w:val="32"/>
          <w:highlight w:val="none"/>
          <w:lang w:bidi="ar"/>
        </w:rPr>
        <w:t>原则采用成本效益分析法、最低成本法、综合指数评价法、衡工量值法、问卷调查法、综合分析法。</w:t>
      </w:r>
    </w:p>
    <w:p>
      <w:pPr>
        <w:pStyle w:val="25"/>
        <w:keepNext w:val="0"/>
        <w:keepLines w:val="0"/>
        <w:pageBreakBefore w:val="0"/>
        <w:widowControl w:val="0"/>
        <w:numPr>
          <w:ilvl w:val="0"/>
          <w:numId w:val="4"/>
        </w:numPr>
        <w:kinsoku/>
        <w:wordWrap/>
        <w:overflowPunct/>
        <w:topLinePunct w:val="0"/>
        <w:autoSpaceDE/>
        <w:autoSpaceDN/>
        <w:bidi w:val="0"/>
        <w:adjustRightInd/>
        <w:spacing w:line="560" w:lineRule="exact"/>
        <w:ind w:left="0" w:firstLine="643" w:firstLineChars="200"/>
        <w:textAlignment w:val="auto"/>
        <w:rPr>
          <w:highlight w:val="none"/>
          <w:lang w:bidi="ar"/>
        </w:rPr>
      </w:pPr>
      <w:r>
        <w:rPr>
          <w:rFonts w:hint="eastAsia"/>
          <w:highlight w:val="none"/>
          <w:lang w:bidi="ar"/>
        </w:rPr>
        <w:t>评价标准</w:t>
      </w:r>
    </w:p>
    <w:p>
      <w:pPr>
        <w:pStyle w:val="25"/>
        <w:keepNext w:val="0"/>
        <w:keepLines w:val="0"/>
        <w:pageBreakBefore w:val="0"/>
        <w:widowControl w:val="0"/>
        <w:numPr>
          <w:ilvl w:val="0"/>
          <w:numId w:val="0"/>
        </w:numPr>
        <w:kinsoku/>
        <w:wordWrap/>
        <w:overflowPunct/>
        <w:topLinePunct w:val="0"/>
        <w:autoSpaceDE/>
        <w:autoSpaceDN/>
        <w:bidi w:val="0"/>
        <w:adjustRightInd/>
        <w:spacing w:line="560" w:lineRule="exact"/>
        <w:textAlignment w:val="auto"/>
        <w:rPr>
          <w:rFonts w:hint="eastAsia" w:eastAsia="仿宋_GB2312"/>
          <w:b w:val="0"/>
          <w:bCs w:val="0"/>
          <w:highlight w:val="none"/>
          <w:lang w:eastAsia="zh-CN" w:bidi="ar"/>
        </w:rPr>
      </w:pPr>
      <w:r>
        <w:rPr>
          <w:rFonts w:hint="eastAsia"/>
          <w:highlight w:val="none"/>
          <w:lang w:bidi="ar"/>
        </w:rPr>
        <w:t xml:space="preserve"> </w:t>
      </w:r>
      <w:r>
        <w:rPr>
          <w:highlight w:val="none"/>
          <w:lang w:bidi="ar"/>
        </w:rPr>
        <w:t xml:space="preserve">  </w:t>
      </w:r>
      <w:r>
        <w:rPr>
          <w:b w:val="0"/>
          <w:bCs w:val="0"/>
          <w:highlight w:val="none"/>
          <w:lang w:bidi="ar"/>
        </w:rPr>
        <w:t xml:space="preserve"> </w:t>
      </w:r>
      <w:r>
        <w:rPr>
          <w:rFonts w:hint="eastAsia"/>
          <w:b w:val="0"/>
          <w:bCs w:val="0"/>
          <w:highlight w:val="none"/>
          <w:lang w:bidi="ar"/>
        </w:rPr>
        <w:t>项目评价标准采用</w:t>
      </w:r>
      <w:r>
        <w:rPr>
          <w:rFonts w:hint="eastAsia"/>
          <w:b w:val="0"/>
          <w:bCs w:val="0"/>
          <w:highlight w:val="none"/>
        </w:rPr>
        <w:t>计划标准、行业标准、历史标准</w:t>
      </w:r>
      <w:r>
        <w:rPr>
          <w:rFonts w:hint="eastAsia"/>
          <w:b w:val="0"/>
          <w:bCs w:val="0"/>
          <w:highlight w:val="none"/>
          <w:lang w:eastAsia="zh-CN"/>
        </w:rPr>
        <w:t>。</w:t>
      </w:r>
    </w:p>
    <w:p>
      <w:pPr>
        <w:pStyle w:val="25"/>
        <w:keepNext w:val="0"/>
        <w:keepLines w:val="0"/>
        <w:pageBreakBefore w:val="0"/>
        <w:widowControl w:val="0"/>
        <w:numPr>
          <w:ilvl w:val="0"/>
          <w:numId w:val="4"/>
        </w:numPr>
        <w:kinsoku/>
        <w:wordWrap/>
        <w:overflowPunct/>
        <w:topLinePunct w:val="0"/>
        <w:autoSpaceDE/>
        <w:autoSpaceDN/>
        <w:bidi w:val="0"/>
        <w:adjustRightInd/>
        <w:spacing w:line="560" w:lineRule="exact"/>
        <w:ind w:left="0" w:firstLine="643" w:firstLineChars="200"/>
        <w:textAlignment w:val="auto"/>
        <w:rPr>
          <w:highlight w:val="none"/>
          <w:lang w:bidi="ar"/>
        </w:rPr>
      </w:pPr>
      <w:r>
        <w:rPr>
          <w:rFonts w:hint="eastAsia"/>
          <w:highlight w:val="none"/>
          <w:lang w:bidi="ar"/>
        </w:rPr>
        <w:t>绩效评价工作过程</w:t>
      </w:r>
    </w:p>
    <w:p>
      <w:pPr>
        <w:pStyle w:val="25"/>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textAlignment w:val="auto"/>
        <w:outlineLvl w:val="9"/>
        <w:rPr>
          <w:b w:val="0"/>
          <w:bCs w:val="0"/>
          <w:lang w:bidi="ar"/>
        </w:rPr>
      </w:pPr>
      <w:r>
        <w:rPr>
          <w:rFonts w:hint="eastAsia"/>
          <w:b w:val="0"/>
          <w:bCs w:val="0"/>
          <w:lang w:bidi="ar"/>
        </w:rPr>
        <w:t>本次评价成立了评价</w:t>
      </w:r>
      <w:r>
        <w:rPr>
          <w:rFonts w:hint="eastAsia"/>
          <w:b w:val="0"/>
          <w:bCs w:val="0"/>
          <w:lang w:eastAsia="zh-CN" w:bidi="ar"/>
        </w:rPr>
        <w:t>小组</w:t>
      </w:r>
      <w:r>
        <w:rPr>
          <w:rFonts w:hint="eastAsia"/>
          <w:b w:val="0"/>
          <w:bCs w:val="0"/>
          <w:lang w:bidi="ar"/>
        </w:rPr>
        <w:t>，成员如下：</w:t>
      </w:r>
    </w:p>
    <w:tbl>
      <w:tblPr>
        <w:tblStyle w:val="17"/>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5"/>
              <w:keepNext w:val="0"/>
              <w:keepLines w:val="0"/>
              <w:pageBreakBefore w:val="0"/>
              <w:widowControl w:val="0"/>
              <w:numPr>
                <w:ilvl w:val="0"/>
                <w:numId w:val="0"/>
              </w:numPr>
              <w:kinsoku/>
              <w:wordWrap/>
              <w:overflowPunct/>
              <w:topLinePunct w:val="0"/>
              <w:autoSpaceDE/>
              <w:autoSpaceDN/>
              <w:bidi w:val="0"/>
              <w:adjustRightInd/>
              <w:spacing w:line="560" w:lineRule="exact"/>
              <w:jc w:val="center"/>
              <w:textAlignment w:val="auto"/>
              <w:rPr>
                <w:b w:val="0"/>
                <w:bCs w:val="0"/>
                <w:lang w:bidi="ar"/>
              </w:rPr>
            </w:pPr>
            <w:r>
              <w:rPr>
                <w:rFonts w:hint="eastAsia"/>
                <w:b w:val="0"/>
                <w:bCs w:val="0"/>
                <w:lang w:bidi="ar"/>
              </w:rPr>
              <w:t>评价人</w:t>
            </w:r>
          </w:p>
        </w:tc>
        <w:tc>
          <w:tcPr>
            <w:tcW w:w="2765" w:type="dxa"/>
            <w:vAlign w:val="center"/>
          </w:tcPr>
          <w:p>
            <w:pPr>
              <w:pStyle w:val="25"/>
              <w:keepNext w:val="0"/>
              <w:keepLines w:val="0"/>
              <w:pageBreakBefore w:val="0"/>
              <w:widowControl w:val="0"/>
              <w:numPr>
                <w:ilvl w:val="0"/>
                <w:numId w:val="0"/>
              </w:numPr>
              <w:kinsoku/>
              <w:wordWrap/>
              <w:overflowPunct/>
              <w:topLinePunct w:val="0"/>
              <w:autoSpaceDE/>
              <w:autoSpaceDN/>
              <w:bidi w:val="0"/>
              <w:adjustRightInd/>
              <w:spacing w:line="560" w:lineRule="exact"/>
              <w:jc w:val="center"/>
              <w:textAlignment w:val="auto"/>
              <w:rPr>
                <w:b w:val="0"/>
                <w:bCs w:val="0"/>
                <w:lang w:bidi="ar"/>
              </w:rPr>
            </w:pPr>
            <w:r>
              <w:rPr>
                <w:rFonts w:hint="eastAsia"/>
                <w:b w:val="0"/>
                <w:bCs w:val="0"/>
                <w:lang w:bidi="ar"/>
              </w:rPr>
              <w:t>职责</w:t>
            </w:r>
          </w:p>
        </w:tc>
        <w:tc>
          <w:tcPr>
            <w:tcW w:w="2766" w:type="dxa"/>
            <w:vAlign w:val="center"/>
          </w:tcPr>
          <w:p>
            <w:pPr>
              <w:pStyle w:val="25"/>
              <w:keepNext w:val="0"/>
              <w:keepLines w:val="0"/>
              <w:pageBreakBefore w:val="0"/>
              <w:widowControl w:val="0"/>
              <w:numPr>
                <w:ilvl w:val="0"/>
                <w:numId w:val="0"/>
              </w:numPr>
              <w:kinsoku/>
              <w:wordWrap/>
              <w:overflowPunct/>
              <w:topLinePunct w:val="0"/>
              <w:autoSpaceDE/>
              <w:autoSpaceDN/>
              <w:bidi w:val="0"/>
              <w:adjustRightInd/>
              <w:spacing w:line="560" w:lineRule="exact"/>
              <w:jc w:val="center"/>
              <w:textAlignment w:val="auto"/>
              <w:rPr>
                <w:b w:val="0"/>
                <w:bCs w:val="0"/>
                <w:lang w:bidi="ar"/>
              </w:rPr>
            </w:pPr>
            <w:r>
              <w:rPr>
                <w:rFonts w:hint="eastAsia"/>
                <w:b w:val="0"/>
                <w:bCs w:val="0"/>
                <w:lang w:bidi="ar"/>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5"/>
              <w:keepNext w:val="0"/>
              <w:keepLines w:val="0"/>
              <w:pageBreakBefore w:val="0"/>
              <w:widowControl w:val="0"/>
              <w:numPr>
                <w:ilvl w:val="0"/>
                <w:numId w:val="0"/>
              </w:numPr>
              <w:kinsoku/>
              <w:wordWrap/>
              <w:overflowPunct/>
              <w:topLinePunct w:val="0"/>
              <w:autoSpaceDE/>
              <w:autoSpaceDN/>
              <w:bidi w:val="0"/>
              <w:adjustRightInd/>
              <w:spacing w:line="560" w:lineRule="exact"/>
              <w:jc w:val="center"/>
              <w:textAlignment w:val="auto"/>
              <w:rPr>
                <w:rFonts w:hint="default" w:eastAsia="仿宋_GB2312"/>
                <w:b w:val="0"/>
                <w:bCs w:val="0"/>
                <w:lang w:val="en-US" w:eastAsia="zh-CN" w:bidi="ar"/>
              </w:rPr>
            </w:pPr>
            <w:r>
              <w:rPr>
                <w:rFonts w:hint="eastAsia"/>
                <w:b w:val="0"/>
                <w:bCs w:val="0"/>
                <w:lang w:val="en-US" w:eastAsia="zh-CN" w:bidi="ar"/>
              </w:rPr>
              <w:t>谭宇航</w:t>
            </w:r>
          </w:p>
        </w:tc>
        <w:tc>
          <w:tcPr>
            <w:tcW w:w="2765" w:type="dxa"/>
            <w:vAlign w:val="center"/>
          </w:tcPr>
          <w:p>
            <w:pPr>
              <w:pStyle w:val="25"/>
              <w:keepNext w:val="0"/>
              <w:keepLines w:val="0"/>
              <w:pageBreakBefore w:val="0"/>
              <w:widowControl w:val="0"/>
              <w:numPr>
                <w:ilvl w:val="0"/>
                <w:numId w:val="0"/>
              </w:numPr>
              <w:kinsoku/>
              <w:wordWrap/>
              <w:overflowPunct/>
              <w:topLinePunct w:val="0"/>
              <w:autoSpaceDE/>
              <w:autoSpaceDN/>
              <w:bidi w:val="0"/>
              <w:adjustRightInd/>
              <w:spacing w:line="560" w:lineRule="exact"/>
              <w:jc w:val="center"/>
              <w:textAlignment w:val="auto"/>
              <w:rPr>
                <w:b w:val="0"/>
                <w:bCs w:val="0"/>
                <w:lang w:bidi="ar"/>
              </w:rPr>
            </w:pPr>
            <w:r>
              <w:rPr>
                <w:rFonts w:hint="eastAsia"/>
                <w:b w:val="0"/>
                <w:bCs w:val="0"/>
                <w:lang w:bidi="ar"/>
              </w:rPr>
              <w:t>评价组组长</w:t>
            </w:r>
          </w:p>
        </w:tc>
        <w:tc>
          <w:tcPr>
            <w:tcW w:w="2766" w:type="dxa"/>
            <w:vAlign w:val="center"/>
          </w:tcPr>
          <w:p>
            <w:pPr>
              <w:pStyle w:val="25"/>
              <w:keepNext w:val="0"/>
              <w:keepLines w:val="0"/>
              <w:pageBreakBefore w:val="0"/>
              <w:widowControl w:val="0"/>
              <w:numPr>
                <w:ilvl w:val="0"/>
                <w:numId w:val="0"/>
              </w:numPr>
              <w:kinsoku/>
              <w:wordWrap/>
              <w:overflowPunct/>
              <w:topLinePunct w:val="0"/>
              <w:autoSpaceDE/>
              <w:autoSpaceDN/>
              <w:bidi w:val="0"/>
              <w:adjustRightInd/>
              <w:spacing w:line="560" w:lineRule="exact"/>
              <w:jc w:val="center"/>
              <w:textAlignment w:val="auto"/>
              <w:rPr>
                <w:rFonts w:hint="default" w:eastAsia="仿宋_GB2312"/>
                <w:b w:val="0"/>
                <w:bCs w:val="0"/>
                <w:lang w:val="en-US" w:eastAsia="zh-CN" w:bidi="ar"/>
              </w:rPr>
            </w:pPr>
            <w:r>
              <w:rPr>
                <w:rFonts w:hint="eastAsia"/>
                <w:b w:val="0"/>
                <w:bCs w:val="0"/>
                <w:lang w:val="en-US" w:eastAsia="zh-CN" w:bidi="ar"/>
              </w:rPr>
              <w:t>助理工程师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5"/>
              <w:keepNext w:val="0"/>
              <w:keepLines w:val="0"/>
              <w:pageBreakBefore w:val="0"/>
              <w:widowControl w:val="0"/>
              <w:numPr>
                <w:ilvl w:val="0"/>
                <w:numId w:val="0"/>
              </w:numPr>
              <w:kinsoku/>
              <w:wordWrap/>
              <w:overflowPunct/>
              <w:topLinePunct w:val="0"/>
              <w:autoSpaceDE/>
              <w:autoSpaceDN/>
              <w:bidi w:val="0"/>
              <w:adjustRightInd/>
              <w:spacing w:line="560" w:lineRule="exact"/>
              <w:jc w:val="center"/>
              <w:textAlignment w:val="auto"/>
              <w:rPr>
                <w:rFonts w:hint="eastAsia" w:eastAsia="仿宋_GB2312"/>
                <w:b w:val="0"/>
                <w:bCs w:val="0"/>
                <w:lang w:val="en-US" w:eastAsia="zh-CN" w:bidi="ar"/>
              </w:rPr>
            </w:pPr>
            <w:r>
              <w:rPr>
                <w:rFonts w:hint="eastAsia"/>
                <w:b w:val="0"/>
                <w:bCs w:val="0"/>
                <w:lang w:val="en-US" w:eastAsia="zh-CN" w:bidi="ar"/>
              </w:rPr>
              <w:t>潘东</w:t>
            </w:r>
          </w:p>
        </w:tc>
        <w:tc>
          <w:tcPr>
            <w:tcW w:w="2765" w:type="dxa"/>
            <w:vAlign w:val="center"/>
          </w:tcPr>
          <w:p>
            <w:pPr>
              <w:pStyle w:val="25"/>
              <w:keepNext w:val="0"/>
              <w:keepLines w:val="0"/>
              <w:pageBreakBefore w:val="0"/>
              <w:widowControl w:val="0"/>
              <w:numPr>
                <w:ilvl w:val="0"/>
                <w:numId w:val="0"/>
              </w:numPr>
              <w:kinsoku/>
              <w:wordWrap/>
              <w:overflowPunct/>
              <w:topLinePunct w:val="0"/>
              <w:autoSpaceDE/>
              <w:autoSpaceDN/>
              <w:bidi w:val="0"/>
              <w:adjustRightInd/>
              <w:spacing w:line="560" w:lineRule="exact"/>
              <w:jc w:val="center"/>
              <w:textAlignment w:val="auto"/>
              <w:rPr>
                <w:b w:val="0"/>
                <w:bCs w:val="0"/>
                <w:lang w:bidi="ar"/>
              </w:rPr>
            </w:pPr>
            <w:r>
              <w:rPr>
                <w:rFonts w:hint="eastAsia"/>
                <w:b w:val="0"/>
                <w:bCs w:val="0"/>
                <w:lang w:bidi="ar"/>
              </w:rPr>
              <w:t>评价组成员</w:t>
            </w:r>
          </w:p>
        </w:tc>
        <w:tc>
          <w:tcPr>
            <w:tcW w:w="2766" w:type="dxa"/>
            <w:vAlign w:val="center"/>
          </w:tcPr>
          <w:p>
            <w:pPr>
              <w:pStyle w:val="25"/>
              <w:keepNext w:val="0"/>
              <w:keepLines w:val="0"/>
              <w:pageBreakBefore w:val="0"/>
              <w:widowControl w:val="0"/>
              <w:numPr>
                <w:ilvl w:val="0"/>
                <w:numId w:val="0"/>
              </w:numPr>
              <w:kinsoku/>
              <w:wordWrap/>
              <w:overflowPunct/>
              <w:topLinePunct w:val="0"/>
              <w:autoSpaceDE/>
              <w:autoSpaceDN/>
              <w:bidi w:val="0"/>
              <w:adjustRightInd/>
              <w:spacing w:line="560" w:lineRule="exact"/>
              <w:jc w:val="center"/>
              <w:textAlignment w:val="auto"/>
              <w:rPr>
                <w:rFonts w:hint="eastAsia" w:eastAsia="仿宋_GB2312"/>
                <w:b w:val="0"/>
                <w:bCs w:val="0"/>
                <w:lang w:val="en-US" w:eastAsia="zh-CN" w:bidi="ar"/>
              </w:rPr>
            </w:pPr>
            <w:r>
              <w:rPr>
                <w:rFonts w:hint="eastAsia"/>
                <w:b w:val="0"/>
                <w:bCs w:val="0"/>
                <w:lang w:val="en-US" w:eastAsia="zh-CN" w:bidi="ar"/>
              </w:rPr>
              <w:t>技术员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5"/>
              <w:keepNext w:val="0"/>
              <w:keepLines w:val="0"/>
              <w:pageBreakBefore w:val="0"/>
              <w:widowControl w:val="0"/>
              <w:numPr>
                <w:ilvl w:val="0"/>
                <w:numId w:val="0"/>
              </w:numPr>
              <w:kinsoku/>
              <w:wordWrap/>
              <w:overflowPunct/>
              <w:topLinePunct w:val="0"/>
              <w:autoSpaceDE/>
              <w:autoSpaceDN/>
              <w:bidi w:val="0"/>
              <w:adjustRightInd/>
              <w:spacing w:line="560" w:lineRule="exact"/>
              <w:jc w:val="center"/>
              <w:textAlignment w:val="auto"/>
              <w:rPr>
                <w:rFonts w:hint="default" w:eastAsia="仿宋_GB2312"/>
                <w:b w:val="0"/>
                <w:bCs w:val="0"/>
                <w:lang w:val="en-US" w:eastAsia="zh-CN" w:bidi="ar"/>
              </w:rPr>
            </w:pPr>
            <w:r>
              <w:rPr>
                <w:rFonts w:hint="eastAsia"/>
                <w:b w:val="0"/>
                <w:bCs w:val="0"/>
                <w:lang w:val="en-US" w:eastAsia="zh-CN" w:bidi="ar"/>
              </w:rPr>
              <w:t xml:space="preserve">陈丽霞 </w:t>
            </w:r>
          </w:p>
        </w:tc>
        <w:tc>
          <w:tcPr>
            <w:tcW w:w="2765" w:type="dxa"/>
            <w:vAlign w:val="center"/>
          </w:tcPr>
          <w:p>
            <w:pPr>
              <w:pStyle w:val="25"/>
              <w:keepNext w:val="0"/>
              <w:keepLines w:val="0"/>
              <w:pageBreakBefore w:val="0"/>
              <w:widowControl w:val="0"/>
              <w:numPr>
                <w:ilvl w:val="0"/>
                <w:numId w:val="0"/>
              </w:numPr>
              <w:kinsoku/>
              <w:wordWrap/>
              <w:overflowPunct/>
              <w:topLinePunct w:val="0"/>
              <w:autoSpaceDE/>
              <w:autoSpaceDN/>
              <w:bidi w:val="0"/>
              <w:adjustRightInd/>
              <w:spacing w:line="560" w:lineRule="exact"/>
              <w:jc w:val="center"/>
              <w:textAlignment w:val="auto"/>
              <w:rPr>
                <w:b w:val="0"/>
                <w:bCs w:val="0"/>
                <w:lang w:bidi="ar"/>
              </w:rPr>
            </w:pPr>
            <w:r>
              <w:rPr>
                <w:rFonts w:hint="eastAsia"/>
                <w:b w:val="0"/>
                <w:bCs w:val="0"/>
                <w:lang w:bidi="ar"/>
              </w:rPr>
              <w:t>评价组成员</w:t>
            </w:r>
          </w:p>
        </w:tc>
        <w:tc>
          <w:tcPr>
            <w:tcW w:w="2766" w:type="dxa"/>
            <w:vAlign w:val="center"/>
          </w:tcPr>
          <w:p>
            <w:pPr>
              <w:pStyle w:val="25"/>
              <w:keepNext w:val="0"/>
              <w:keepLines w:val="0"/>
              <w:pageBreakBefore w:val="0"/>
              <w:widowControl w:val="0"/>
              <w:numPr>
                <w:ilvl w:val="0"/>
                <w:numId w:val="0"/>
              </w:numPr>
              <w:kinsoku/>
              <w:wordWrap/>
              <w:overflowPunct/>
              <w:topLinePunct w:val="0"/>
              <w:autoSpaceDE/>
              <w:autoSpaceDN/>
              <w:bidi w:val="0"/>
              <w:adjustRightInd/>
              <w:spacing w:line="560" w:lineRule="exact"/>
              <w:jc w:val="center"/>
              <w:textAlignment w:val="auto"/>
              <w:rPr>
                <w:rFonts w:hint="eastAsia" w:eastAsia="仿宋_GB2312"/>
                <w:b w:val="0"/>
                <w:bCs w:val="0"/>
                <w:lang w:val="en-US" w:eastAsia="zh-CN" w:bidi="ar"/>
              </w:rPr>
            </w:pPr>
            <w:r>
              <w:rPr>
                <w:rFonts w:hint="eastAsia"/>
                <w:b w:val="0"/>
                <w:bCs w:val="0"/>
                <w:lang w:val="en-US" w:eastAsia="zh-CN" w:bidi="ar"/>
              </w:rPr>
              <w:t>会计</w:t>
            </w:r>
          </w:p>
        </w:tc>
      </w:tr>
    </w:tbl>
    <w:p>
      <w:pPr>
        <w:pStyle w:val="25"/>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textAlignment w:val="auto"/>
        <w:outlineLvl w:val="9"/>
        <w:rPr>
          <w:b w:val="0"/>
          <w:bCs w:val="0"/>
          <w:lang w:bidi="ar"/>
        </w:rPr>
      </w:pPr>
      <w:r>
        <w:rPr>
          <w:rFonts w:hint="eastAsia"/>
          <w:b w:val="0"/>
          <w:bCs w:val="0"/>
          <w:lang w:bidi="ar"/>
        </w:rPr>
        <w:t>本次评价设计了评价方案、评价指标体系，通过资料分析、调研、访谈满意度调查等方式形成评价结论，在与项目单位沟通后确定评价意见，并出具评价报告。　</w:t>
      </w:r>
    </w:p>
    <w:p>
      <w:pPr>
        <w:pStyle w:val="23"/>
        <w:pageBreakBefore w:val="0"/>
        <w:widowControl w:val="0"/>
        <w:numPr>
          <w:ilvl w:val="0"/>
          <w:numId w:val="2"/>
        </w:numPr>
        <w:kinsoku/>
        <w:wordWrap/>
        <w:overflowPunct/>
        <w:topLinePunct w:val="0"/>
        <w:autoSpaceDE/>
        <w:autoSpaceDN/>
        <w:bidi w:val="0"/>
        <w:adjustRightInd/>
        <w:spacing w:line="560" w:lineRule="exact"/>
        <w:ind w:firstLineChars="0"/>
        <w:textAlignment w:val="auto"/>
        <w:rPr>
          <w:color w:val="000000" w:themeColor="text1"/>
          <w:highlight w:val="none"/>
          <w:lang w:bidi="ar"/>
          <w14:textFill>
            <w14:solidFill>
              <w14:schemeClr w14:val="tx1"/>
            </w14:solidFill>
          </w14:textFill>
        </w:rPr>
      </w:pPr>
      <w:bookmarkStart w:id="7" w:name="_Toc26401558"/>
      <w:r>
        <w:rPr>
          <w:rFonts w:hint="eastAsia" w:ascii="黑体" w:hAnsi="黑体"/>
          <w:color w:val="000000" w:themeColor="text1"/>
          <w:highlight w:val="none"/>
          <w14:textFill>
            <w14:solidFill>
              <w14:schemeClr w14:val="tx1"/>
            </w14:solidFill>
          </w14:textFill>
        </w:rPr>
        <w:t>综合评价情况及评价结论</w:t>
      </w:r>
    </w:p>
    <w:p>
      <w:pPr>
        <w:pStyle w:val="23"/>
        <w:pageBreakBefore w:val="0"/>
        <w:widowControl w:val="0"/>
        <w:kinsoku/>
        <w:wordWrap/>
        <w:overflowPunct/>
        <w:topLinePunct w:val="0"/>
        <w:autoSpaceDE/>
        <w:autoSpaceDN/>
        <w:bidi w:val="0"/>
        <w:adjustRightInd/>
        <w:spacing w:line="560" w:lineRule="exact"/>
        <w:ind w:firstLine="640"/>
        <w:textAlignment w:val="auto"/>
        <w:rPr>
          <w:rFonts w:ascii="仿宋_GB2312" w:eastAsia="仿宋_GB2312" w:hAnsiTheme="majorHAnsi"/>
          <w:b w:val="0"/>
          <w:bCs w:val="0"/>
          <w:kern w:val="2"/>
          <w:highlight w:val="none"/>
          <w:lang w:bidi="ar"/>
        </w:rPr>
      </w:pPr>
      <w:r>
        <w:rPr>
          <w:rFonts w:hint="eastAsia" w:ascii="仿宋_GB2312" w:eastAsia="仿宋_GB2312" w:hAnsiTheme="majorHAnsi"/>
          <w:b w:val="0"/>
          <w:bCs w:val="0"/>
          <w:kern w:val="2"/>
          <w:highlight w:val="none"/>
          <w:lang w:bidi="ar"/>
        </w:rPr>
        <w:t>经评价组通过实地调研、资料分析等方式，采用综合分析法、成本效益分析法、最低成本法、标杆管理法（根据实际情况去留）等对项目的决策、管理、绩效进行的综合评价分析，项目得分为</w:t>
      </w:r>
      <w:r>
        <w:rPr>
          <w:rFonts w:hint="eastAsia" w:ascii="仿宋_GB2312" w:eastAsia="仿宋_GB2312" w:hAnsiTheme="majorHAnsi"/>
          <w:b w:val="0"/>
          <w:bCs w:val="0"/>
          <w:kern w:val="2"/>
          <w:highlight w:val="none"/>
          <w:lang w:val="en-US" w:eastAsia="zh-CN" w:bidi="ar"/>
        </w:rPr>
        <w:t>99</w:t>
      </w:r>
      <w:r>
        <w:rPr>
          <w:rFonts w:hint="eastAsia" w:ascii="仿宋_GB2312" w:eastAsia="仿宋_GB2312" w:hAnsiTheme="majorHAnsi"/>
          <w:b w:val="0"/>
          <w:bCs w:val="0"/>
          <w:kern w:val="2"/>
          <w:highlight w:val="none"/>
          <w:lang w:bidi="ar"/>
        </w:rPr>
        <w:t>分，评价结果为优，详见附件</w:t>
      </w:r>
      <w:r>
        <w:rPr>
          <w:rFonts w:hint="eastAsia" w:ascii="仿宋_GB2312" w:eastAsia="仿宋_GB2312" w:hAnsiTheme="majorHAnsi"/>
          <w:b w:val="0"/>
          <w:bCs w:val="0"/>
          <w:kern w:val="2"/>
          <w:highlight w:val="none"/>
          <w:lang w:val="en-US" w:eastAsia="zh-CN" w:bidi="ar"/>
        </w:rPr>
        <w:t>6</w:t>
      </w:r>
      <w:r>
        <w:rPr>
          <w:rFonts w:hint="eastAsia" w:ascii="仿宋_GB2312" w:eastAsia="仿宋_GB2312" w:hAnsiTheme="majorHAnsi"/>
          <w:b w:val="0"/>
          <w:bCs w:val="0"/>
          <w:kern w:val="2"/>
          <w:highlight w:val="none"/>
          <w:lang w:bidi="ar"/>
        </w:rPr>
        <w:t>。</w:t>
      </w:r>
    </w:p>
    <w:p>
      <w:pPr>
        <w:pStyle w:val="23"/>
        <w:pageBreakBefore w:val="0"/>
        <w:widowControl w:val="0"/>
        <w:numPr>
          <w:ilvl w:val="0"/>
          <w:numId w:val="2"/>
        </w:numPr>
        <w:kinsoku/>
        <w:wordWrap/>
        <w:overflowPunct/>
        <w:topLinePunct w:val="0"/>
        <w:autoSpaceDE/>
        <w:autoSpaceDN/>
        <w:bidi w:val="0"/>
        <w:adjustRightInd/>
        <w:spacing w:line="560" w:lineRule="exact"/>
        <w:ind w:firstLineChars="0"/>
        <w:textAlignment w:val="auto"/>
        <w:rPr>
          <w:lang w:bidi="ar"/>
        </w:rPr>
      </w:pPr>
      <w:r>
        <w:rPr>
          <w:rFonts w:hint="eastAsia"/>
          <w:lang w:bidi="ar"/>
        </w:rPr>
        <w:t>绩效评价指标分析</w:t>
      </w:r>
      <w:bookmarkEnd w:id="7"/>
    </w:p>
    <w:p>
      <w:pPr>
        <w:pStyle w:val="19"/>
        <w:pageBreakBefore w:val="0"/>
        <w:widowControl w:val="0"/>
        <w:numPr>
          <w:ilvl w:val="0"/>
          <w:numId w:val="6"/>
        </w:numPr>
        <w:kinsoku/>
        <w:wordWrap/>
        <w:overflowPunct/>
        <w:topLinePunct w:val="0"/>
        <w:autoSpaceDE/>
        <w:autoSpaceDN/>
        <w:bidi w:val="0"/>
        <w:adjustRightInd/>
        <w:spacing w:before="156" w:beforeLines="50" w:line="560" w:lineRule="exact"/>
        <w:ind w:left="0" w:firstLine="643"/>
        <w:textAlignment w:val="auto"/>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项目的决策情况</w:t>
      </w:r>
    </w:p>
    <w:p>
      <w:pPr>
        <w:pStyle w:val="28"/>
        <w:pageBreakBefore w:val="0"/>
        <w:widowControl w:val="0"/>
        <w:kinsoku/>
        <w:wordWrap/>
        <w:overflowPunct/>
        <w:topLinePunct w:val="0"/>
        <w:autoSpaceDE/>
        <w:autoSpaceDN/>
        <w:bidi w:val="0"/>
        <w:adjustRightInd/>
        <w:spacing w:line="560" w:lineRule="exact"/>
        <w:ind w:firstLine="640"/>
        <w:textAlignment w:val="auto"/>
        <w:rPr>
          <w:rFonts w:ascii="仿宋_GB2312" w:hAnsi="仿宋" w:cs="宋体"/>
          <w:sz w:val="32"/>
          <w:szCs w:val="32"/>
          <w:lang w:bidi="ar"/>
        </w:rPr>
      </w:pPr>
      <w:r>
        <w:rPr>
          <w:rFonts w:hint="eastAsia" w:ascii="仿宋_GB2312" w:hAnsi="仿宋" w:cs="宋体"/>
          <w:sz w:val="32"/>
          <w:szCs w:val="32"/>
          <w:lang w:bidi="ar"/>
        </w:rPr>
        <w:t>本项目的立项符合相关法规政策及部门职责，依据是否充分；项目是否按照规定的程序申请设立；审批文件、材料是否符合相关要求；项目前期是否已经过必要的可行性研究、专家论证、风险评估、绩效评估、集体决策。</w:t>
      </w:r>
    </w:p>
    <w:p>
      <w:pPr>
        <w:pageBreakBefore w:val="0"/>
        <w:widowControl w:val="0"/>
        <w:kinsoku/>
        <w:wordWrap/>
        <w:overflowPunct/>
        <w:topLinePunct w:val="0"/>
        <w:autoSpaceDE/>
        <w:autoSpaceDN/>
        <w:bidi w:val="0"/>
        <w:adjustRightInd/>
        <w:spacing w:before="156" w:beforeLines="50" w:line="560" w:lineRule="exact"/>
        <w:ind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项目根据相关文件要求设置了绩效目标，项目绩效目标基本合理，是否与实际工作内容是否相关；项目预期产出效益和效果是否符合正常的业绩水平；是否与预算确定的项目投资额或资金量相匹配。否将项目绩效目标细化分解为具体的绩效指标；是否通过清晰、可衡量的指标值予以体现；是否与项目目标任务数或计划数相对应。</w:t>
      </w:r>
    </w:p>
    <w:p>
      <w:pPr>
        <w:pageBreakBefore w:val="0"/>
        <w:widowControl w:val="0"/>
        <w:kinsoku/>
        <w:wordWrap/>
        <w:overflowPunct/>
        <w:topLinePunct w:val="0"/>
        <w:autoSpaceDE/>
        <w:autoSpaceDN/>
        <w:bidi w:val="0"/>
        <w:adjustRightInd/>
        <w:spacing w:before="156" w:beforeLines="50" w:line="560" w:lineRule="exact"/>
        <w:ind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项目在资金投入方面，预算编制是否经过科学论证、有明确标准，资金额度与年度目标是否相适应，用以反映和考核项目预算编制的科学性、合理性情况。项目预算资金分配是否有测算依据，与补助单位或地方实际是否相适应。</w:t>
      </w:r>
    </w:p>
    <w:p>
      <w:pPr>
        <w:pStyle w:val="19"/>
        <w:pageBreakBefore w:val="0"/>
        <w:widowControl w:val="0"/>
        <w:numPr>
          <w:ilvl w:val="0"/>
          <w:numId w:val="6"/>
        </w:numPr>
        <w:kinsoku/>
        <w:wordWrap/>
        <w:overflowPunct/>
        <w:topLinePunct w:val="0"/>
        <w:autoSpaceDE/>
        <w:autoSpaceDN/>
        <w:bidi w:val="0"/>
        <w:adjustRightInd/>
        <w:spacing w:before="156" w:beforeLines="50" w:line="560" w:lineRule="exact"/>
        <w:ind w:left="0" w:firstLine="643"/>
        <w:textAlignment w:val="auto"/>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项目的过程情况</w:t>
      </w:r>
    </w:p>
    <w:p>
      <w:pPr>
        <w:pageBreakBefore w:val="0"/>
        <w:widowControl w:val="0"/>
        <w:kinsoku/>
        <w:wordWrap/>
        <w:overflowPunct/>
        <w:topLinePunct w:val="0"/>
        <w:autoSpaceDE/>
        <w:autoSpaceDN/>
        <w:bidi w:val="0"/>
        <w:adjustRightInd/>
        <w:spacing w:line="560" w:lineRule="exact"/>
        <w:ind w:firstLine="645"/>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在资金管理方面，项目资金到位是否足额及时，是否及时支付，资金使用是否符合国家法规和财务管理制度；资金拨付是否有完整的审批程序和手续，是否符合项目预算批复或合同规定的用途；是否存在截留、挤占、挪用、虚列支出等情况。</w:t>
      </w:r>
    </w:p>
    <w:p>
      <w:pPr>
        <w:pageBreakBefore w:val="0"/>
        <w:widowControl w:val="0"/>
        <w:kinsoku/>
        <w:wordWrap/>
        <w:overflowPunct/>
        <w:topLinePunct w:val="0"/>
        <w:autoSpaceDE/>
        <w:autoSpaceDN/>
        <w:bidi w:val="0"/>
        <w:adjustRightInd/>
        <w:spacing w:line="560" w:lineRule="exact"/>
        <w:ind w:firstLine="645"/>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在项目组织实施方面，项目单位是否已制定或具有相应的财务和业务管理制度，财务和业务管理制度是否合法、合规、完整。项目实施是否遵守相关法律法规和相关管理规定。</w:t>
      </w:r>
    </w:p>
    <w:p>
      <w:pPr>
        <w:pageBreakBefore w:val="0"/>
        <w:widowControl w:val="0"/>
        <w:kinsoku/>
        <w:wordWrap/>
        <w:overflowPunct/>
        <w:topLinePunct w:val="0"/>
        <w:autoSpaceDE/>
        <w:autoSpaceDN/>
        <w:bidi w:val="0"/>
        <w:adjustRightInd/>
        <w:spacing w:line="560" w:lineRule="exact"/>
        <w:ind w:firstLine="645"/>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项目调整及支出调整手续是否完备，项目合同书、验收报告、技术鉴定等资料是否齐全并及时归档，项目实施的人员条件、场地设备、信息支撑等是否落实到位。</w:t>
      </w:r>
    </w:p>
    <w:p>
      <w:pPr>
        <w:pStyle w:val="19"/>
        <w:pageBreakBefore w:val="0"/>
        <w:widowControl w:val="0"/>
        <w:numPr>
          <w:ilvl w:val="0"/>
          <w:numId w:val="6"/>
        </w:numPr>
        <w:kinsoku/>
        <w:wordWrap/>
        <w:overflowPunct/>
        <w:topLinePunct w:val="0"/>
        <w:autoSpaceDE/>
        <w:autoSpaceDN/>
        <w:bidi w:val="0"/>
        <w:adjustRightInd/>
        <w:spacing w:before="156" w:beforeLines="50" w:line="560" w:lineRule="exact"/>
        <w:ind w:left="0" w:firstLine="643"/>
        <w:textAlignment w:val="auto"/>
        <w:rPr>
          <w:rFonts w:ascii="仿宋_GB2312" w:hAnsi="仿宋" w:eastAsia="仿宋_GB2312" w:cs="宋体"/>
          <w:b/>
          <w:bCs/>
          <w:sz w:val="32"/>
          <w:szCs w:val="32"/>
          <w:highlight w:val="none"/>
          <w:lang w:bidi="ar"/>
        </w:rPr>
      </w:pPr>
      <w:r>
        <w:rPr>
          <w:rFonts w:hint="eastAsia" w:ascii="仿宋_GB2312" w:hAnsi="仿宋" w:eastAsia="仿宋_GB2312" w:cs="宋体"/>
          <w:b/>
          <w:bCs/>
          <w:sz w:val="32"/>
          <w:szCs w:val="32"/>
          <w:highlight w:val="none"/>
          <w:lang w:bidi="ar"/>
        </w:rPr>
        <w:t>项目产出情况</w:t>
      </w:r>
    </w:p>
    <w:p>
      <w:pPr>
        <w:pageBreakBefore w:val="0"/>
        <w:widowControl w:val="0"/>
        <w:kinsoku/>
        <w:wordWrap/>
        <w:overflowPunct/>
        <w:topLinePunct w:val="0"/>
        <w:autoSpaceDE/>
        <w:autoSpaceDN/>
        <w:bidi w:val="0"/>
        <w:adjustRightInd/>
        <w:spacing w:line="560" w:lineRule="exact"/>
        <w:ind w:firstLine="645"/>
        <w:textAlignment w:val="auto"/>
        <w:rPr>
          <w:rFonts w:hint="default"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采购管护站生活用品、办公用品数量（批），预期指标是1批，实际完成值是1批，指标完成率是100%，达到预期目标；聘用人员工资及社保缴费人数（人），预期指标是12人，实际完成值是12人，指标完成率是100%，达到预期目标；智能巡护系统采购安装管护站个数（个），预期指标是10个，实际完成值是10个，指标完成率是100%，达到预期目标；10KV配电安装管护站个数（个），预期指标是2个，实际完成值是2个，指标完成率是100%，达到预期目标；基础设施建设和饮水工程实施管护站个数（个），预期指标是2个，实际完成值是2个，指标完成率是100%，达到预期目标；取暖用煤受益管护站个数（个），预期指标是11个，实际完成值是1个，指标完成率是100%，达到预期目标。</w:t>
      </w:r>
    </w:p>
    <w:p>
      <w:pPr>
        <w:pageBreakBefore w:val="0"/>
        <w:widowControl w:val="0"/>
        <w:kinsoku/>
        <w:wordWrap/>
        <w:overflowPunct/>
        <w:topLinePunct w:val="0"/>
        <w:autoSpaceDE/>
        <w:autoSpaceDN/>
        <w:bidi w:val="0"/>
        <w:adjustRightInd/>
        <w:spacing w:line="560" w:lineRule="exact"/>
        <w:ind w:firstLine="645"/>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数量指标共计6个，完成6个，达到预期目标。</w:t>
      </w:r>
    </w:p>
    <w:p>
      <w:pPr>
        <w:pageBreakBefore w:val="0"/>
        <w:widowControl w:val="0"/>
        <w:kinsoku/>
        <w:wordWrap/>
        <w:overflowPunct/>
        <w:topLinePunct w:val="0"/>
        <w:autoSpaceDE/>
        <w:autoSpaceDN/>
        <w:bidi w:val="0"/>
        <w:adjustRightInd/>
        <w:spacing w:line="560" w:lineRule="exact"/>
        <w:ind w:firstLine="645"/>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（2）质量指标完成情况</w:t>
      </w:r>
    </w:p>
    <w:p>
      <w:pPr>
        <w:pageBreakBefore w:val="0"/>
        <w:widowControl w:val="0"/>
        <w:kinsoku/>
        <w:wordWrap/>
        <w:overflowPunct/>
        <w:topLinePunct w:val="0"/>
        <w:autoSpaceDE/>
        <w:autoSpaceDN/>
        <w:bidi w:val="0"/>
        <w:adjustRightInd/>
        <w:spacing w:line="560" w:lineRule="exact"/>
        <w:ind w:firstLine="645"/>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智能巡护系统完成使用率（%），预期指标是85%，实际完成值是100%，指标完成率是100%，达到预期目标；竣工验收合格率（≥*%），预期指标是95%，实际完成值是100%，指标完成率是100%，达到预期目标；物品验收合格率（≥*%），预期指标是95%，实际完成值是100%，指标完成率是100%，达到预期目标。</w:t>
      </w:r>
    </w:p>
    <w:p>
      <w:pPr>
        <w:pageBreakBefore w:val="0"/>
        <w:widowControl w:val="0"/>
        <w:kinsoku/>
        <w:wordWrap/>
        <w:overflowPunct/>
        <w:topLinePunct w:val="0"/>
        <w:autoSpaceDE/>
        <w:autoSpaceDN/>
        <w:bidi w:val="0"/>
        <w:adjustRightInd/>
        <w:spacing w:line="560" w:lineRule="exact"/>
        <w:ind w:firstLine="645"/>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质量指标共计3个，完成3个，达到预期目标。</w:t>
      </w:r>
    </w:p>
    <w:p>
      <w:pPr>
        <w:pageBreakBefore w:val="0"/>
        <w:widowControl w:val="0"/>
        <w:kinsoku/>
        <w:wordWrap/>
        <w:overflowPunct/>
        <w:topLinePunct w:val="0"/>
        <w:autoSpaceDE/>
        <w:autoSpaceDN/>
        <w:bidi w:val="0"/>
        <w:adjustRightInd/>
        <w:spacing w:line="560" w:lineRule="exact"/>
        <w:ind w:firstLine="645"/>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（3）时效指标完成情况</w:t>
      </w:r>
    </w:p>
    <w:p>
      <w:pPr>
        <w:pageBreakBefore w:val="0"/>
        <w:widowControl w:val="0"/>
        <w:kinsoku/>
        <w:wordWrap/>
        <w:overflowPunct/>
        <w:topLinePunct w:val="0"/>
        <w:autoSpaceDE/>
        <w:autoSpaceDN/>
        <w:bidi w:val="0"/>
        <w:adjustRightInd/>
        <w:spacing w:line="560" w:lineRule="exact"/>
        <w:ind w:firstLine="645"/>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工资发放及时率（%），预期指标是100%，实际完成值是100%，指标完成率是100%，达到预期目标；社保缴费及时率（%），预期指标是100%，实际完成值是100%，指标完成率是100%，达到预期目标。</w:t>
      </w:r>
    </w:p>
    <w:p>
      <w:pPr>
        <w:pageBreakBefore w:val="0"/>
        <w:widowControl w:val="0"/>
        <w:kinsoku/>
        <w:wordWrap/>
        <w:overflowPunct/>
        <w:topLinePunct w:val="0"/>
        <w:autoSpaceDE/>
        <w:autoSpaceDN/>
        <w:bidi w:val="0"/>
        <w:adjustRightInd/>
        <w:spacing w:line="560" w:lineRule="exact"/>
        <w:ind w:firstLine="645"/>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时效指标共计2个，完成2个，达到预期目标。</w:t>
      </w:r>
    </w:p>
    <w:p>
      <w:pPr>
        <w:pageBreakBefore w:val="0"/>
        <w:widowControl w:val="0"/>
        <w:kinsoku/>
        <w:wordWrap/>
        <w:overflowPunct/>
        <w:topLinePunct w:val="0"/>
        <w:autoSpaceDE/>
        <w:autoSpaceDN/>
        <w:bidi w:val="0"/>
        <w:adjustRightInd/>
        <w:spacing w:line="560" w:lineRule="exact"/>
        <w:ind w:firstLine="645"/>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（4）成本指标完成情况</w:t>
      </w:r>
    </w:p>
    <w:p>
      <w:pPr>
        <w:pageBreakBefore w:val="0"/>
        <w:widowControl w:val="0"/>
        <w:kinsoku/>
        <w:wordWrap/>
        <w:overflowPunct/>
        <w:topLinePunct w:val="0"/>
        <w:autoSpaceDE/>
        <w:autoSpaceDN/>
        <w:bidi w:val="0"/>
        <w:adjustRightInd/>
        <w:spacing w:line="560" w:lineRule="exact"/>
        <w:ind w:firstLine="645"/>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项目成本（万元），预期指标是546万元，实际完成值是492.36万元，指标完成率是90.18%，因项目评审和结算审计导致项目资金结余53.64万元，未达到预期目标，</w:t>
      </w:r>
    </w:p>
    <w:p>
      <w:pPr>
        <w:pageBreakBefore w:val="0"/>
        <w:widowControl w:val="0"/>
        <w:kinsoku/>
        <w:wordWrap/>
        <w:overflowPunct/>
        <w:topLinePunct w:val="0"/>
        <w:autoSpaceDE/>
        <w:autoSpaceDN/>
        <w:bidi w:val="0"/>
        <w:adjustRightInd/>
        <w:spacing w:line="560" w:lineRule="exact"/>
        <w:ind w:firstLine="645"/>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成本指标共计1个，完成1个，未达到预期目标，因项目已实施完成，结余资金上交国库。</w:t>
      </w:r>
    </w:p>
    <w:p>
      <w:pPr>
        <w:pageBreakBefore w:val="0"/>
        <w:widowControl w:val="0"/>
        <w:kinsoku/>
        <w:wordWrap/>
        <w:overflowPunct/>
        <w:topLinePunct w:val="0"/>
        <w:autoSpaceDE/>
        <w:autoSpaceDN/>
        <w:bidi w:val="0"/>
        <w:adjustRightInd/>
        <w:spacing w:line="560" w:lineRule="exact"/>
        <w:ind w:firstLine="645"/>
        <w:textAlignment w:val="auto"/>
        <w:rPr>
          <w:rFonts w:hint="eastAsia" w:ascii="仿宋_GB2312" w:hAnsi="仿宋" w:eastAsia="仿宋_GB2312" w:cs="宋体"/>
          <w:b/>
          <w:bCs/>
          <w:sz w:val="32"/>
          <w:szCs w:val="32"/>
          <w:lang w:bidi="ar"/>
        </w:rPr>
      </w:pPr>
      <w:r>
        <w:rPr>
          <w:rFonts w:hint="eastAsia" w:ascii="仿宋_GB2312" w:hAnsi="仿宋" w:eastAsia="仿宋_GB2312" w:cs="宋体"/>
          <w:b/>
          <w:bCs/>
          <w:sz w:val="32"/>
          <w:szCs w:val="32"/>
          <w:lang w:eastAsia="zh-CN" w:bidi="ar"/>
        </w:rPr>
        <w:t>（</w:t>
      </w:r>
      <w:r>
        <w:rPr>
          <w:rFonts w:hint="eastAsia" w:ascii="仿宋_GB2312" w:hAnsi="仿宋" w:eastAsia="仿宋_GB2312" w:cs="宋体"/>
          <w:b/>
          <w:bCs/>
          <w:sz w:val="32"/>
          <w:szCs w:val="32"/>
          <w:lang w:val="en-US" w:eastAsia="zh-CN" w:bidi="ar"/>
        </w:rPr>
        <w:t>四</w:t>
      </w:r>
      <w:r>
        <w:rPr>
          <w:rFonts w:hint="eastAsia" w:ascii="仿宋_GB2312" w:hAnsi="仿宋" w:eastAsia="仿宋_GB2312" w:cs="宋体"/>
          <w:b/>
          <w:bCs/>
          <w:sz w:val="32"/>
          <w:szCs w:val="32"/>
          <w:lang w:eastAsia="zh-CN" w:bidi="ar"/>
        </w:rPr>
        <w:t>）</w:t>
      </w:r>
      <w:r>
        <w:rPr>
          <w:rFonts w:hint="eastAsia" w:ascii="仿宋_GB2312" w:hAnsi="仿宋" w:eastAsia="仿宋_GB2312" w:cs="宋体"/>
          <w:b/>
          <w:bCs/>
          <w:sz w:val="32"/>
          <w:szCs w:val="32"/>
          <w:lang w:bidi="ar"/>
        </w:rPr>
        <w:t>项目效益情况</w:t>
      </w:r>
    </w:p>
    <w:p>
      <w:pPr>
        <w:pageBreakBefore w:val="0"/>
        <w:widowControl w:val="0"/>
        <w:kinsoku/>
        <w:wordWrap/>
        <w:overflowPunct/>
        <w:topLinePunct w:val="0"/>
        <w:autoSpaceDE/>
        <w:autoSpaceDN/>
        <w:bidi w:val="0"/>
        <w:adjustRightInd/>
        <w:spacing w:line="560" w:lineRule="exact"/>
        <w:ind w:firstLine="645"/>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（1）项目实施的经济效益分析。</w:t>
      </w:r>
    </w:p>
    <w:p>
      <w:pPr>
        <w:pageBreakBefore w:val="0"/>
        <w:widowControl w:val="0"/>
        <w:kinsoku/>
        <w:wordWrap/>
        <w:overflowPunct/>
        <w:topLinePunct w:val="0"/>
        <w:autoSpaceDE/>
        <w:autoSpaceDN/>
        <w:bidi w:val="0"/>
        <w:adjustRightInd/>
        <w:spacing w:line="560" w:lineRule="exact"/>
        <w:ind w:firstLine="645"/>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增加管护人员工资，预期指标是300元/人/月，实际完成值是300元/人/月，指标完成率是100%，达到预期目标。</w:t>
      </w:r>
    </w:p>
    <w:p>
      <w:pPr>
        <w:pageBreakBefore w:val="0"/>
        <w:widowControl w:val="0"/>
        <w:kinsoku/>
        <w:wordWrap/>
        <w:overflowPunct/>
        <w:topLinePunct w:val="0"/>
        <w:autoSpaceDE/>
        <w:autoSpaceDN/>
        <w:bidi w:val="0"/>
        <w:adjustRightInd/>
        <w:spacing w:line="560" w:lineRule="exact"/>
        <w:ind w:firstLine="645"/>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经济效益指标共计1个，完成1个，达到预期目标。</w:t>
      </w:r>
    </w:p>
    <w:p>
      <w:pPr>
        <w:pageBreakBefore w:val="0"/>
        <w:widowControl w:val="0"/>
        <w:kinsoku/>
        <w:wordWrap/>
        <w:overflowPunct/>
        <w:topLinePunct w:val="0"/>
        <w:autoSpaceDE/>
        <w:autoSpaceDN/>
        <w:bidi w:val="0"/>
        <w:adjustRightInd/>
        <w:spacing w:line="560" w:lineRule="exact"/>
        <w:ind w:firstLine="645"/>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（2）项目实施的社会效益分析。</w:t>
      </w:r>
    </w:p>
    <w:p>
      <w:pPr>
        <w:pageBreakBefore w:val="0"/>
        <w:widowControl w:val="0"/>
        <w:kinsoku/>
        <w:wordWrap/>
        <w:overflowPunct/>
        <w:topLinePunct w:val="0"/>
        <w:autoSpaceDE/>
        <w:autoSpaceDN/>
        <w:bidi w:val="0"/>
        <w:adjustRightInd/>
        <w:spacing w:line="560" w:lineRule="exact"/>
        <w:ind w:firstLine="645"/>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受益贫困林场站所数量，预期指标是11所，实际完成值是11，指标完成率是100%，达到预期目标。</w:t>
      </w:r>
    </w:p>
    <w:p>
      <w:pPr>
        <w:pageBreakBefore w:val="0"/>
        <w:widowControl w:val="0"/>
        <w:kinsoku/>
        <w:wordWrap/>
        <w:overflowPunct/>
        <w:topLinePunct w:val="0"/>
        <w:autoSpaceDE/>
        <w:autoSpaceDN/>
        <w:bidi w:val="0"/>
        <w:adjustRightInd/>
        <w:spacing w:line="560" w:lineRule="exact"/>
        <w:ind w:firstLine="645"/>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社会效益指标共计1个，完成1个，达到预期目标。</w:t>
      </w:r>
    </w:p>
    <w:p>
      <w:pPr>
        <w:pageBreakBefore w:val="0"/>
        <w:widowControl w:val="0"/>
        <w:kinsoku/>
        <w:wordWrap/>
        <w:overflowPunct/>
        <w:topLinePunct w:val="0"/>
        <w:autoSpaceDE/>
        <w:autoSpaceDN/>
        <w:bidi w:val="0"/>
        <w:adjustRightInd/>
        <w:spacing w:line="560" w:lineRule="exact"/>
        <w:ind w:firstLine="645"/>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（3）项目实施的生态效益分析。</w:t>
      </w:r>
    </w:p>
    <w:p>
      <w:pPr>
        <w:pageBreakBefore w:val="0"/>
        <w:widowControl w:val="0"/>
        <w:kinsoku/>
        <w:wordWrap/>
        <w:overflowPunct/>
        <w:topLinePunct w:val="0"/>
        <w:autoSpaceDE/>
        <w:autoSpaceDN/>
        <w:bidi w:val="0"/>
        <w:adjustRightInd/>
        <w:spacing w:line="560" w:lineRule="exact"/>
        <w:ind w:firstLine="645"/>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森林资源得到有效保护，预期指标是持续提升，实际完成值是持续提升，指标完成率是100%，达到预期目标。</w:t>
      </w:r>
    </w:p>
    <w:p>
      <w:pPr>
        <w:pageBreakBefore w:val="0"/>
        <w:widowControl w:val="0"/>
        <w:kinsoku/>
        <w:wordWrap/>
        <w:overflowPunct/>
        <w:topLinePunct w:val="0"/>
        <w:autoSpaceDE/>
        <w:autoSpaceDN/>
        <w:bidi w:val="0"/>
        <w:adjustRightInd/>
        <w:spacing w:line="560" w:lineRule="exact"/>
        <w:ind w:firstLine="645"/>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生态效益指标共计1个，完成1个，达到预期目标。</w:t>
      </w:r>
    </w:p>
    <w:p>
      <w:pPr>
        <w:pageBreakBefore w:val="0"/>
        <w:widowControl w:val="0"/>
        <w:kinsoku/>
        <w:wordWrap/>
        <w:overflowPunct/>
        <w:topLinePunct w:val="0"/>
        <w:autoSpaceDE/>
        <w:autoSpaceDN/>
        <w:bidi w:val="0"/>
        <w:adjustRightInd/>
        <w:spacing w:line="560" w:lineRule="exact"/>
        <w:ind w:firstLine="645"/>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（4）项目实施的可持续影响分析。</w:t>
      </w:r>
    </w:p>
    <w:p>
      <w:pPr>
        <w:pageBreakBefore w:val="0"/>
        <w:widowControl w:val="0"/>
        <w:kinsoku/>
        <w:wordWrap/>
        <w:overflowPunct/>
        <w:topLinePunct w:val="0"/>
        <w:autoSpaceDE/>
        <w:autoSpaceDN/>
        <w:bidi w:val="0"/>
        <w:adjustRightInd/>
        <w:spacing w:line="560" w:lineRule="exact"/>
        <w:ind w:firstLine="645"/>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设备使用年限，预期指标是10年，实际完成值是1，指标完成率是10%，设备使用期未到10年，未达到预期目标</w:t>
      </w:r>
    </w:p>
    <w:p>
      <w:pPr>
        <w:pageBreakBefore w:val="0"/>
        <w:widowControl w:val="0"/>
        <w:kinsoku/>
        <w:wordWrap/>
        <w:overflowPunct/>
        <w:topLinePunct w:val="0"/>
        <w:autoSpaceDE/>
        <w:autoSpaceDN/>
        <w:bidi w:val="0"/>
        <w:adjustRightInd/>
        <w:spacing w:line="560" w:lineRule="exact"/>
        <w:ind w:firstLine="645"/>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可持续指标共计1个，完成1个，未达到预期目标。</w:t>
      </w:r>
    </w:p>
    <w:p>
      <w:pPr>
        <w:pageBreakBefore w:val="0"/>
        <w:widowControl w:val="0"/>
        <w:kinsoku/>
        <w:wordWrap/>
        <w:overflowPunct/>
        <w:topLinePunct w:val="0"/>
        <w:autoSpaceDE/>
        <w:autoSpaceDN/>
        <w:bidi w:val="0"/>
        <w:adjustRightInd/>
        <w:spacing w:line="560" w:lineRule="exact"/>
        <w:ind w:firstLine="645"/>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3.满意度指标完成情况分析。</w:t>
      </w:r>
    </w:p>
    <w:p>
      <w:pPr>
        <w:pageBreakBefore w:val="0"/>
        <w:widowControl w:val="0"/>
        <w:kinsoku/>
        <w:wordWrap/>
        <w:overflowPunct/>
        <w:topLinePunct w:val="0"/>
        <w:autoSpaceDE/>
        <w:autoSpaceDN/>
        <w:bidi w:val="0"/>
        <w:adjustRightInd/>
        <w:spacing w:line="560" w:lineRule="exact"/>
        <w:ind w:firstLine="645"/>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按计划完成项目实施，已做满意度调查问卷，调查人数70人，其中满意70人，不满意0人，项目满意率达100%，服务对象满意度指标完成。</w:t>
      </w:r>
    </w:p>
    <w:p>
      <w:pPr>
        <w:pageBreakBefore w:val="0"/>
        <w:widowControl w:val="0"/>
        <w:kinsoku/>
        <w:wordWrap/>
        <w:overflowPunct/>
        <w:topLinePunct w:val="0"/>
        <w:autoSpaceDE/>
        <w:autoSpaceDN/>
        <w:bidi w:val="0"/>
        <w:adjustRightInd/>
        <w:spacing w:line="560" w:lineRule="exact"/>
        <w:ind w:firstLine="645"/>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按计划完成项目实施，已做满意度调查问卷，具体如下：</w:t>
      </w:r>
    </w:p>
    <w:p>
      <w:pPr>
        <w:pageBreakBefore w:val="0"/>
        <w:widowControl w:val="0"/>
        <w:kinsoku/>
        <w:wordWrap/>
        <w:overflowPunct/>
        <w:topLinePunct w:val="0"/>
        <w:autoSpaceDE/>
        <w:autoSpaceDN/>
        <w:bidi w:val="0"/>
        <w:adjustRightInd/>
        <w:spacing w:line="560" w:lineRule="exact"/>
        <w:ind w:firstLine="645"/>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职工满意度（%），预期指标是90%，实际完成值是100%，指标完成率是100%，达到预期目标。</w:t>
      </w:r>
    </w:p>
    <w:p>
      <w:pPr>
        <w:pageBreakBefore w:val="0"/>
        <w:widowControl w:val="0"/>
        <w:kinsoku/>
        <w:wordWrap/>
        <w:overflowPunct/>
        <w:topLinePunct w:val="0"/>
        <w:autoSpaceDE/>
        <w:autoSpaceDN/>
        <w:bidi w:val="0"/>
        <w:adjustRightInd/>
        <w:spacing w:line="560" w:lineRule="exact"/>
        <w:ind w:firstLine="645"/>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满意度指标共计1个，完成1个，达到预期目标，服务对象满意度指标完成。</w:t>
      </w:r>
    </w:p>
    <w:p>
      <w:pPr>
        <w:pageBreakBefore w:val="0"/>
        <w:widowControl w:val="0"/>
        <w:kinsoku/>
        <w:wordWrap/>
        <w:overflowPunct/>
        <w:topLinePunct w:val="0"/>
        <w:autoSpaceDE/>
        <w:autoSpaceDN/>
        <w:bidi w:val="0"/>
        <w:adjustRightInd/>
        <w:spacing w:line="560" w:lineRule="exact"/>
        <w:ind w:firstLine="645"/>
        <w:textAlignment w:val="auto"/>
        <w:rPr>
          <w:rFonts w:hint="eastAsia" w:ascii="仿宋_GB2312" w:hAnsi="仿宋" w:eastAsia="仿宋_GB2312" w:cs="宋体"/>
          <w:b/>
          <w:bCs/>
          <w:sz w:val="32"/>
          <w:szCs w:val="32"/>
          <w:lang w:val="en-US" w:eastAsia="zh-CN" w:bidi="ar"/>
        </w:rPr>
      </w:pPr>
      <w:r>
        <w:rPr>
          <w:rFonts w:hint="eastAsia" w:ascii="仿宋_GB2312" w:hAnsi="仿宋" w:eastAsia="仿宋_GB2312" w:cs="宋体"/>
          <w:b/>
          <w:bCs/>
          <w:sz w:val="32"/>
          <w:szCs w:val="32"/>
          <w:lang w:val="en-US" w:eastAsia="zh-CN" w:bidi="ar"/>
        </w:rPr>
        <w:t>（五）主要经验及做法、存在的问题及原因分析</w:t>
      </w:r>
    </w:p>
    <w:p>
      <w:pPr>
        <w:pageBreakBefore w:val="0"/>
        <w:widowControl w:val="0"/>
        <w:kinsoku/>
        <w:wordWrap/>
        <w:overflowPunct/>
        <w:topLinePunct w:val="0"/>
        <w:autoSpaceDE/>
        <w:autoSpaceDN/>
        <w:bidi w:val="0"/>
        <w:adjustRightInd/>
        <w:spacing w:line="560" w:lineRule="exact"/>
        <w:ind w:firstLine="645"/>
        <w:textAlignment w:val="auto"/>
        <w:rPr>
          <w:rFonts w:hint="eastAsia" w:ascii="仿宋_GB2312" w:hAnsi="Calibri" w:eastAsia="仿宋_GB2312" w:cs="Times New Roman"/>
          <w:bCs/>
          <w:sz w:val="32"/>
          <w:szCs w:val="32"/>
          <w:lang w:val="en-US" w:eastAsia="zh-CN"/>
        </w:rPr>
      </w:pPr>
      <w:r>
        <w:rPr>
          <w:rFonts w:hint="eastAsia" w:ascii="仿宋_GB2312" w:hAnsi="仿宋" w:eastAsia="仿宋_GB2312" w:cs="宋体"/>
          <w:sz w:val="32"/>
          <w:szCs w:val="32"/>
          <w:lang w:val="en-US" w:eastAsia="zh-CN" w:bidi="ar"/>
        </w:rPr>
        <w:t>本项目实施效果较好的原因主要是管理制度完善、责任落实到位，跟踪考核机制完善且运行有效，在项目实施过程中创新管理办法，采用喀什地区昆仑山国有林管理局资金管理方式使项目取得了良好的效果。 绩效自评工作首先是要工作准备充分，一是评价小组成员应包含单位领导、项目负责人、财务负责人和行业专家，不同的岗位和职责应用和发挥自身</w:t>
      </w:r>
      <w:r>
        <w:rPr>
          <w:rFonts w:hint="eastAsia" w:ascii="仿宋_GB2312" w:hAnsi="Calibri" w:eastAsia="仿宋_GB2312" w:cs="Times New Roman"/>
          <w:bCs/>
          <w:sz w:val="32"/>
          <w:szCs w:val="32"/>
          <w:lang w:val="en-US" w:eastAsia="zh-CN"/>
        </w:rPr>
        <w:t>专业和岗位作用；二是在资料收集和档案整理及分析上要全面。其次是评价小组成员要加强绩效基础理论学习，用绩效的理论和知识进行分析评价，客观、公正的分析项目实施情况、资金使用和支付情况、绩效目标的完成情况，对发现的问题要及时总结；再次是要对项目的事前、事中、事后全方位、全过程进行分析、掌握，注重评价过程的记录和档案整理，为下一年度工作提供依据。</w:t>
      </w:r>
    </w:p>
    <w:p>
      <w:pPr>
        <w:keepNext w:val="0"/>
        <w:keepLines w:val="0"/>
        <w:pageBreakBefore w:val="0"/>
        <w:widowControl w:val="0"/>
        <w:kinsoku/>
        <w:wordWrap/>
        <w:overflowPunct/>
        <w:topLinePunct w:val="0"/>
        <w:autoSpaceDE/>
        <w:autoSpaceDN/>
        <w:bidi w:val="0"/>
        <w:adjustRightInd/>
        <w:spacing w:line="560" w:lineRule="exact"/>
        <w:ind w:firstLine="627" w:firstLineChars="200"/>
        <w:textAlignment w:val="auto"/>
        <w:rPr>
          <w:rFonts w:hint="eastAsia"/>
          <w:sz w:val="32"/>
          <w:szCs w:val="32"/>
        </w:rPr>
      </w:pPr>
      <w:r>
        <w:rPr>
          <w:rStyle w:val="14"/>
          <w:rFonts w:hint="eastAsia" w:ascii="楷体" w:hAnsi="楷体" w:eastAsia="楷体"/>
          <w:color w:val="000000"/>
          <w:spacing w:val="-4"/>
          <w:sz w:val="32"/>
          <w:szCs w:val="32"/>
        </w:rPr>
        <w:t>存在的问题</w:t>
      </w:r>
    </w:p>
    <w:p>
      <w:pPr>
        <w:pStyle w:val="2"/>
        <w:pageBreakBefore w:val="0"/>
        <w:widowControl w:val="0"/>
        <w:kinsoku/>
        <w:wordWrap/>
        <w:overflowPunct/>
        <w:topLinePunct w:val="0"/>
        <w:autoSpaceDE/>
        <w:autoSpaceDN/>
        <w:bidi w:val="0"/>
        <w:adjustRightInd/>
        <w:spacing w:line="560" w:lineRule="exact"/>
        <w:textAlignment w:val="auto"/>
        <w:rPr>
          <w:rFonts w:hint="eastAsia"/>
          <w:lang w:val="en-US" w:eastAsia="zh-CN"/>
        </w:rPr>
      </w:pPr>
      <w:r>
        <w:rPr>
          <w:rFonts w:hint="eastAsia"/>
        </w:rPr>
        <w:t xml:space="preserve">   </w:t>
      </w:r>
      <w:r>
        <w:rPr>
          <w:rFonts w:hint="eastAsia" w:ascii="仿宋_GB2312" w:hAnsi="Calibri" w:eastAsia="仿宋_GB2312" w:cs="Times New Roman"/>
          <w:bCs/>
          <w:sz w:val="32"/>
          <w:szCs w:val="32"/>
          <w:lang w:val="en-US" w:eastAsia="zh-CN"/>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pStyle w:val="23"/>
        <w:pageBreakBefore w:val="0"/>
        <w:widowControl w:val="0"/>
        <w:numPr>
          <w:ilvl w:val="0"/>
          <w:numId w:val="2"/>
        </w:numPr>
        <w:kinsoku/>
        <w:wordWrap/>
        <w:overflowPunct/>
        <w:topLinePunct w:val="0"/>
        <w:autoSpaceDE/>
        <w:autoSpaceDN/>
        <w:bidi w:val="0"/>
        <w:adjustRightInd/>
        <w:spacing w:line="560" w:lineRule="exact"/>
        <w:ind w:firstLineChars="0"/>
        <w:textAlignment w:val="auto"/>
        <w:rPr>
          <w:rFonts w:ascii="黑体" w:hAnsi="黑体"/>
        </w:rPr>
      </w:pPr>
      <w:r>
        <w:rPr>
          <w:rFonts w:hint="eastAsia" w:ascii="黑体" w:hAnsi="黑体"/>
        </w:rPr>
        <w:t>其他需要说明的问题</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Calibri" w:eastAsia="仿宋_GB2312" w:cs="Times New Roman"/>
          <w:bCs/>
          <w:sz w:val="32"/>
          <w:szCs w:val="32"/>
          <w:lang w:val="en-US" w:eastAsia="zh-CN"/>
        </w:rPr>
      </w:pPr>
      <w:r>
        <w:rPr>
          <w:rFonts w:hint="eastAsia" w:ascii="仿宋_GB2312" w:hAnsi="Calibri" w:eastAsia="仿宋_GB2312" w:cs="Times New Roman"/>
          <w:bCs/>
          <w:sz w:val="32"/>
          <w:szCs w:val="32"/>
          <w:lang w:val="en-US" w:eastAsia="zh-CN"/>
        </w:rPr>
        <w:t>后续工作计划</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Calibri" w:eastAsia="仿宋_GB2312" w:cs="Times New Roman"/>
          <w:bCs/>
          <w:kern w:val="2"/>
          <w:sz w:val="32"/>
          <w:szCs w:val="32"/>
          <w:lang w:val="en-US" w:eastAsia="zh-CN" w:bidi="ar-SA"/>
        </w:rPr>
      </w:pPr>
      <w:r>
        <w:rPr>
          <w:rFonts w:hint="eastAsia" w:ascii="仿宋_GB2312" w:hAnsi="Calibri" w:eastAsia="仿宋_GB2312" w:cs="Times New Roman"/>
          <w:bCs/>
          <w:kern w:val="2"/>
          <w:sz w:val="32"/>
          <w:szCs w:val="32"/>
          <w:lang w:val="en-US" w:eastAsia="zh-CN" w:bidi="ar-SA"/>
        </w:rPr>
        <w:t>做好和各管护站所的项目移交和管理，加强设备维护保养。</w:t>
      </w:r>
    </w:p>
    <w:p>
      <w:pPr>
        <w:pStyle w:val="23"/>
        <w:ind w:firstLine="640"/>
        <w:rPr>
          <w:rFonts w:ascii="仿宋_GB2312" w:hAnsi="仿宋" w:eastAsia="仿宋_GB2312" w:cs="宋体"/>
          <w:sz w:val="32"/>
          <w:szCs w:val="32"/>
          <w:lang w:bidi="ar"/>
        </w:rPr>
      </w:pPr>
    </w:p>
    <w:p>
      <w:pPr>
        <w:spacing w:before="156" w:beforeLines="50" w:line="600" w:lineRule="exact"/>
        <w:ind w:firstLine="640" w:firstLineChars="200"/>
        <w:rPr>
          <w:rFonts w:ascii="仿宋_GB2312" w:hAnsi="仿宋" w:eastAsia="仿宋_GB2312" w:cs="宋体"/>
          <w:sz w:val="32"/>
          <w:szCs w:val="32"/>
          <w:lang w:bidi="ar"/>
        </w:rPr>
      </w:pPr>
    </w:p>
    <w:p>
      <w:pPr>
        <w:spacing w:before="156" w:beforeLines="50" w:line="600" w:lineRule="exact"/>
        <w:ind w:firstLine="640" w:firstLineChars="200"/>
        <w:rPr>
          <w:rFonts w:ascii="仿宋_GB2312" w:hAnsi="仿宋" w:eastAsia="仿宋_GB2312" w:cs="宋体"/>
          <w:sz w:val="32"/>
          <w:szCs w:val="32"/>
          <w:lang w:bidi="ar"/>
        </w:rPr>
      </w:pPr>
    </w:p>
    <w:p>
      <w:pPr>
        <w:spacing w:before="156" w:beforeLines="50" w:line="600" w:lineRule="exact"/>
        <w:ind w:firstLine="640" w:firstLineChars="200"/>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附件1：喀什地区昆仑山国有林管理局2019年中央林业改革发展资金(天然林保护)项目支出绩效目标申报表</w:t>
      </w:r>
    </w:p>
    <w:p>
      <w:pPr>
        <w:spacing w:before="156" w:beforeLines="50" w:line="600" w:lineRule="exact"/>
        <w:ind w:firstLine="640" w:firstLineChars="200"/>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附件</w:t>
      </w:r>
      <w:r>
        <w:rPr>
          <w:rFonts w:hint="eastAsia" w:ascii="仿宋_GB2312" w:hAnsi="仿宋" w:eastAsia="仿宋_GB2312" w:cs="宋体"/>
          <w:sz w:val="32"/>
          <w:szCs w:val="32"/>
          <w:lang w:val="en-US" w:eastAsia="zh-CN" w:bidi="ar"/>
        </w:rPr>
        <w:t>2</w:t>
      </w:r>
      <w:r>
        <w:rPr>
          <w:rFonts w:hint="eastAsia" w:ascii="仿宋_GB2312" w:hAnsi="仿宋" w:eastAsia="仿宋_GB2312" w:cs="宋体"/>
          <w:sz w:val="32"/>
          <w:szCs w:val="32"/>
          <w:lang w:bidi="ar"/>
        </w:rPr>
        <w:t>：喀什地区昆仑山国有林管理局2019年中央林业改革发展资金(天然林保护)项目支出绩效目标表</w:t>
      </w:r>
    </w:p>
    <w:p>
      <w:pPr>
        <w:spacing w:before="156"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附件3：喀什地区昆仑山国有林管理局2019年中央林业改革发展资金(天然林保护)项目支出绩效自评表</w:t>
      </w:r>
    </w:p>
    <w:p>
      <w:pPr>
        <w:spacing w:before="156"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附件</w:t>
      </w:r>
      <w:r>
        <w:rPr>
          <w:rFonts w:hint="eastAsia" w:ascii="仿宋_GB2312" w:hAnsi="仿宋" w:eastAsia="仿宋_GB2312" w:cs="宋体"/>
          <w:sz w:val="32"/>
          <w:szCs w:val="32"/>
          <w:lang w:val="en-US" w:eastAsia="zh-CN" w:bidi="ar"/>
        </w:rPr>
        <w:t>4</w:t>
      </w:r>
      <w:r>
        <w:rPr>
          <w:rFonts w:hint="eastAsia" w:ascii="仿宋_GB2312" w:hAnsi="仿宋" w:eastAsia="仿宋_GB2312" w:cs="宋体"/>
          <w:sz w:val="32"/>
          <w:szCs w:val="32"/>
          <w:lang w:bidi="ar"/>
        </w:rPr>
        <w:t>：喀什地区昆仑山国有林管理局2019年中央林业改革发展资金(天然林保护)项目支出绩效评价指标体系</w:t>
      </w:r>
    </w:p>
    <w:p>
      <w:pPr>
        <w:spacing w:before="156" w:beforeLines="50" w:line="600" w:lineRule="exact"/>
        <w:ind w:firstLine="640" w:firstLineChars="200"/>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附件</w:t>
      </w:r>
      <w:r>
        <w:rPr>
          <w:rFonts w:hint="eastAsia" w:ascii="仿宋_GB2312" w:hAnsi="仿宋" w:eastAsia="仿宋_GB2312" w:cs="宋体"/>
          <w:sz w:val="32"/>
          <w:szCs w:val="32"/>
          <w:lang w:val="en-US" w:eastAsia="zh-CN" w:bidi="ar"/>
        </w:rPr>
        <w:t>5</w:t>
      </w:r>
      <w:r>
        <w:rPr>
          <w:rFonts w:hint="eastAsia" w:ascii="仿宋_GB2312" w:hAnsi="仿宋" w:eastAsia="仿宋_GB2312" w:cs="宋体"/>
          <w:sz w:val="32"/>
          <w:szCs w:val="32"/>
          <w:lang w:bidi="ar"/>
        </w:rPr>
        <w:t>：绩效评价依据</w:t>
      </w:r>
    </w:p>
    <w:p>
      <w:pPr>
        <w:spacing w:before="156" w:beforeLines="50" w:line="600" w:lineRule="exact"/>
        <w:ind w:firstLine="640" w:firstLineChars="200"/>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附件</w:t>
      </w:r>
      <w:r>
        <w:rPr>
          <w:rFonts w:hint="eastAsia" w:ascii="仿宋_GB2312" w:hAnsi="仿宋" w:eastAsia="仿宋_GB2312" w:cs="宋体"/>
          <w:sz w:val="32"/>
          <w:szCs w:val="32"/>
          <w:lang w:val="en-US" w:eastAsia="zh-CN" w:bidi="ar"/>
        </w:rPr>
        <w:t>6</w:t>
      </w:r>
      <w:r>
        <w:rPr>
          <w:rFonts w:hint="eastAsia" w:ascii="仿宋_GB2312" w:hAnsi="仿宋" w:eastAsia="仿宋_GB2312" w:cs="宋体"/>
          <w:sz w:val="32"/>
          <w:szCs w:val="32"/>
          <w:lang w:bidi="ar"/>
        </w:rPr>
        <w:t>：喀什地区昆仑山国有林管理局2019年中央林业改革发展资金(天然林保护)项目支出绩效评价评分表</w:t>
      </w:r>
    </w:p>
    <w:p>
      <w:pPr>
        <w:spacing w:before="156" w:beforeLines="50" w:line="600" w:lineRule="exact"/>
        <w:ind w:firstLine="640" w:firstLineChars="200"/>
        <w:rPr>
          <w:rFonts w:ascii="仿宋_GB2312" w:hAnsi="仿宋" w:eastAsia="仿宋_GB2312" w:cs="宋体"/>
          <w:sz w:val="32"/>
          <w:szCs w:val="32"/>
          <w:lang w:bidi="ar"/>
        </w:rPr>
      </w:pPr>
    </w:p>
    <w:bookmarkEnd w:id="8"/>
    <w:sectPr>
      <w:footerReference r:id="rId3"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altName w:val="黑体"/>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Light">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1">
    <w:nsid w:val="3A7260C0"/>
    <w:multiLevelType w:val="multilevel"/>
    <w:tmpl w:val="3A7260C0"/>
    <w:lvl w:ilvl="0" w:tentative="0">
      <w:start w:val="1"/>
      <w:numFmt w:val="chineseCountingThousand"/>
      <w:pStyle w:val="25"/>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4451D54"/>
    <w:multiLevelType w:val="multilevel"/>
    <w:tmpl w:val="54451D54"/>
    <w:lvl w:ilvl="0" w:tentative="0">
      <w:start w:val="1"/>
      <w:numFmt w:val="decimal"/>
      <w:lvlText w:val="%1．"/>
      <w:lvlJc w:val="left"/>
      <w:pPr>
        <w:ind w:left="1065" w:hanging="420"/>
      </w:pPr>
      <w:rPr>
        <w:rFonts w:hint="eastAsia"/>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4">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1"/>
  </w:num>
  <w:num w:numId="2">
    <w:abstractNumId w:val="5"/>
  </w:num>
  <w:num w:numId="3">
    <w:abstractNumId w:val="3"/>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0"/>
  <w:drawingGridHorizontalSpacing w:val="210"/>
  <w:drawingGridVerticalSpacing w:val="158"/>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715"/>
    <w:rsid w:val="00022413"/>
    <w:rsid w:val="00037F93"/>
    <w:rsid w:val="00042126"/>
    <w:rsid w:val="000E0C7B"/>
    <w:rsid w:val="000F2007"/>
    <w:rsid w:val="00100A64"/>
    <w:rsid w:val="00100AA9"/>
    <w:rsid w:val="001143D6"/>
    <w:rsid w:val="0012798F"/>
    <w:rsid w:val="00132553"/>
    <w:rsid w:val="00151AF1"/>
    <w:rsid w:val="00174F3A"/>
    <w:rsid w:val="0018169D"/>
    <w:rsid w:val="00193649"/>
    <w:rsid w:val="0019720C"/>
    <w:rsid w:val="001A1902"/>
    <w:rsid w:val="001A4FFA"/>
    <w:rsid w:val="001B5B44"/>
    <w:rsid w:val="001D5FF2"/>
    <w:rsid w:val="001D6F2E"/>
    <w:rsid w:val="00203FB6"/>
    <w:rsid w:val="00233ECE"/>
    <w:rsid w:val="002A1BF4"/>
    <w:rsid w:val="002B3A72"/>
    <w:rsid w:val="002C6231"/>
    <w:rsid w:val="002F7CDC"/>
    <w:rsid w:val="00324E56"/>
    <w:rsid w:val="00331AF1"/>
    <w:rsid w:val="003468D7"/>
    <w:rsid w:val="00363E52"/>
    <w:rsid w:val="00382736"/>
    <w:rsid w:val="003A04D1"/>
    <w:rsid w:val="003C327E"/>
    <w:rsid w:val="003C4B3D"/>
    <w:rsid w:val="003C6E7F"/>
    <w:rsid w:val="003E0E95"/>
    <w:rsid w:val="003F1C70"/>
    <w:rsid w:val="003F2E47"/>
    <w:rsid w:val="00403544"/>
    <w:rsid w:val="004115AA"/>
    <w:rsid w:val="00434C92"/>
    <w:rsid w:val="00443C47"/>
    <w:rsid w:val="00452560"/>
    <w:rsid w:val="00467DBB"/>
    <w:rsid w:val="004A0587"/>
    <w:rsid w:val="004C56AB"/>
    <w:rsid w:val="004D088E"/>
    <w:rsid w:val="004D4F06"/>
    <w:rsid w:val="005225F1"/>
    <w:rsid w:val="00531253"/>
    <w:rsid w:val="00540B36"/>
    <w:rsid w:val="00563E06"/>
    <w:rsid w:val="0058554B"/>
    <w:rsid w:val="00596DDF"/>
    <w:rsid w:val="005B6EAB"/>
    <w:rsid w:val="005D7AC7"/>
    <w:rsid w:val="00630E69"/>
    <w:rsid w:val="006362B2"/>
    <w:rsid w:val="0065420A"/>
    <w:rsid w:val="006869EC"/>
    <w:rsid w:val="00694A44"/>
    <w:rsid w:val="006D0AA4"/>
    <w:rsid w:val="006F2513"/>
    <w:rsid w:val="006F64CB"/>
    <w:rsid w:val="0071759F"/>
    <w:rsid w:val="007253B3"/>
    <w:rsid w:val="00731D46"/>
    <w:rsid w:val="00734BAD"/>
    <w:rsid w:val="00752C57"/>
    <w:rsid w:val="00781733"/>
    <w:rsid w:val="007C5CF9"/>
    <w:rsid w:val="007D340B"/>
    <w:rsid w:val="007E6392"/>
    <w:rsid w:val="007F3C25"/>
    <w:rsid w:val="00811F2D"/>
    <w:rsid w:val="00815938"/>
    <w:rsid w:val="008226BA"/>
    <w:rsid w:val="00827DA6"/>
    <w:rsid w:val="00835103"/>
    <w:rsid w:val="00854416"/>
    <w:rsid w:val="00866F54"/>
    <w:rsid w:val="00883FF2"/>
    <w:rsid w:val="0089293E"/>
    <w:rsid w:val="00893E6C"/>
    <w:rsid w:val="008D7BC7"/>
    <w:rsid w:val="0090104C"/>
    <w:rsid w:val="00982B10"/>
    <w:rsid w:val="009C0267"/>
    <w:rsid w:val="009E5354"/>
    <w:rsid w:val="00A10F1E"/>
    <w:rsid w:val="00A12A0C"/>
    <w:rsid w:val="00A365D5"/>
    <w:rsid w:val="00A41DB8"/>
    <w:rsid w:val="00A43094"/>
    <w:rsid w:val="00A53361"/>
    <w:rsid w:val="00A5786D"/>
    <w:rsid w:val="00A60191"/>
    <w:rsid w:val="00A81609"/>
    <w:rsid w:val="00A85237"/>
    <w:rsid w:val="00AB07C5"/>
    <w:rsid w:val="00AE1FDF"/>
    <w:rsid w:val="00AE3042"/>
    <w:rsid w:val="00B03B29"/>
    <w:rsid w:val="00B16C8F"/>
    <w:rsid w:val="00B32FA4"/>
    <w:rsid w:val="00B36F46"/>
    <w:rsid w:val="00B47B13"/>
    <w:rsid w:val="00B53BE4"/>
    <w:rsid w:val="00B6063F"/>
    <w:rsid w:val="00B9042A"/>
    <w:rsid w:val="00BA0855"/>
    <w:rsid w:val="00BA65AD"/>
    <w:rsid w:val="00BC7696"/>
    <w:rsid w:val="00C2671D"/>
    <w:rsid w:val="00C563AA"/>
    <w:rsid w:val="00C71FF0"/>
    <w:rsid w:val="00C77259"/>
    <w:rsid w:val="00C97E2D"/>
    <w:rsid w:val="00D043D7"/>
    <w:rsid w:val="00D117FB"/>
    <w:rsid w:val="00D23C2E"/>
    <w:rsid w:val="00D61EC8"/>
    <w:rsid w:val="00D93516"/>
    <w:rsid w:val="00DA7F4C"/>
    <w:rsid w:val="00DC5F94"/>
    <w:rsid w:val="00DE152F"/>
    <w:rsid w:val="00DE293B"/>
    <w:rsid w:val="00E05626"/>
    <w:rsid w:val="00E25B2F"/>
    <w:rsid w:val="00E373A5"/>
    <w:rsid w:val="00E66A4D"/>
    <w:rsid w:val="00E72B1C"/>
    <w:rsid w:val="00E96169"/>
    <w:rsid w:val="00F0780F"/>
    <w:rsid w:val="00F16D54"/>
    <w:rsid w:val="00F6015C"/>
    <w:rsid w:val="00F75715"/>
    <w:rsid w:val="00FB2E2F"/>
    <w:rsid w:val="00FD300A"/>
    <w:rsid w:val="00FF137F"/>
    <w:rsid w:val="00FF6959"/>
    <w:rsid w:val="00FF6C14"/>
    <w:rsid w:val="01BE6316"/>
    <w:rsid w:val="115F042F"/>
    <w:rsid w:val="217F35A7"/>
    <w:rsid w:val="24E73B1F"/>
    <w:rsid w:val="26F03C06"/>
    <w:rsid w:val="2A547683"/>
    <w:rsid w:val="2C1E3084"/>
    <w:rsid w:val="31550DE8"/>
    <w:rsid w:val="33967E79"/>
    <w:rsid w:val="3C926895"/>
    <w:rsid w:val="41565FB5"/>
    <w:rsid w:val="57964064"/>
    <w:rsid w:val="667765BF"/>
    <w:rsid w:val="66DD3AA3"/>
    <w:rsid w:val="681E162D"/>
    <w:rsid w:val="71736BFE"/>
    <w:rsid w:val="7775238E"/>
    <w:rsid w:val="7A863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3">
    <w:name w:val="heading 1"/>
    <w:basedOn w:val="1"/>
    <w:next w:val="1"/>
    <w:link w:val="18"/>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4">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34"/>
    <w:semiHidden/>
    <w:unhideWhenUsed/>
    <w:qFormat/>
    <w:uiPriority w:val="9"/>
    <w:pPr>
      <w:keepNext/>
      <w:keepLines/>
      <w:spacing w:before="260" w:after="260" w:line="416" w:lineRule="auto"/>
      <w:outlineLvl w:val="2"/>
    </w:pPr>
    <w:rPr>
      <w:b/>
      <w:bCs/>
      <w:sz w:val="32"/>
      <w:szCs w:val="32"/>
    </w:rPr>
  </w:style>
  <w:style w:type="character" w:default="1" w:styleId="13">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2">
    <w:name w:val="footnote text"/>
    <w:basedOn w:val="1"/>
    <w:qFormat/>
    <w:uiPriority w:val="0"/>
    <w:pPr>
      <w:snapToGrid w:val="0"/>
      <w:jc w:val="left"/>
    </w:pPr>
    <w:rPr>
      <w:sz w:val="18"/>
    </w:rPr>
  </w:style>
  <w:style w:type="paragraph" w:styleId="6">
    <w:name w:val="toc 3"/>
    <w:basedOn w:val="1"/>
    <w:next w:val="1"/>
    <w:semiHidden/>
    <w:unhideWhenUsed/>
    <w:qFormat/>
    <w:uiPriority w:val="39"/>
    <w:rPr>
      <w:rFonts w:eastAsia="仿宋_GB2312"/>
      <w:sz w:val="28"/>
    </w:rPr>
  </w:style>
  <w:style w:type="paragraph" w:styleId="7">
    <w:name w:val="Balloon Text"/>
    <w:basedOn w:val="1"/>
    <w:link w:val="22"/>
    <w:semiHidden/>
    <w:unhideWhenUsed/>
    <w:qFormat/>
    <w:uiPriority w:val="99"/>
    <w:rPr>
      <w:sz w:val="18"/>
      <w:szCs w:val="18"/>
    </w:rPr>
  </w:style>
  <w:style w:type="paragraph" w:styleId="8">
    <w:name w:val="footer"/>
    <w:basedOn w:val="1"/>
    <w:link w:val="21"/>
    <w:unhideWhenUsed/>
    <w:qFormat/>
    <w:uiPriority w:val="99"/>
    <w:pPr>
      <w:tabs>
        <w:tab w:val="center" w:pos="4153"/>
        <w:tab w:val="right" w:pos="8306"/>
      </w:tabs>
      <w:snapToGrid w:val="0"/>
      <w:jc w:val="left"/>
    </w:pPr>
    <w:rPr>
      <w:sz w:val="18"/>
      <w:szCs w:val="18"/>
    </w:rPr>
  </w:style>
  <w:style w:type="paragraph" w:styleId="9">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rPr>
      <w:rFonts w:eastAsia="仿宋_GB2312"/>
      <w:sz w:val="28"/>
    </w:rPr>
  </w:style>
  <w:style w:type="paragraph" w:styleId="11">
    <w:name w:val="toc 2"/>
    <w:basedOn w:val="1"/>
    <w:next w:val="1"/>
    <w:unhideWhenUsed/>
    <w:qFormat/>
    <w:uiPriority w:val="39"/>
    <w:rPr>
      <w:rFonts w:eastAsia="仿宋_GB2312"/>
      <w:sz w:val="2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4">
    <w:name w:val="Strong"/>
    <w:qFormat/>
    <w:uiPriority w:val="0"/>
    <w:rPr>
      <w:b/>
      <w:bCs/>
    </w:rPr>
  </w:style>
  <w:style w:type="character" w:styleId="15">
    <w:name w:val="Hyperlink"/>
    <w:basedOn w:val="13"/>
    <w:unhideWhenUsed/>
    <w:qFormat/>
    <w:uiPriority w:val="99"/>
    <w:rPr>
      <w:color w:val="0563C1" w:themeColor="hyperlink"/>
      <w:u w:val="single"/>
      <w14:textFill>
        <w14:solidFill>
          <w14:schemeClr w14:val="hlink"/>
        </w14:solidFill>
      </w14:textFill>
    </w:rPr>
  </w:style>
  <w:style w:type="table" w:styleId="17">
    <w:name w:val="Table Grid"/>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8">
    <w:name w:val="标题 1 字符"/>
    <w:basedOn w:val="13"/>
    <w:link w:val="3"/>
    <w:qFormat/>
    <w:uiPriority w:val="9"/>
    <w:rPr>
      <w:rFonts w:ascii="Times New Roman" w:hAnsi="Times New Roman" w:eastAsia="黑体" w:cs="Arial"/>
      <w:b/>
      <w:bCs/>
      <w:kern w:val="44"/>
      <w:sz w:val="28"/>
      <w:szCs w:val="44"/>
    </w:rPr>
  </w:style>
  <w:style w:type="paragraph" w:styleId="19">
    <w:name w:val="List Paragraph"/>
    <w:basedOn w:val="1"/>
    <w:qFormat/>
    <w:uiPriority w:val="34"/>
    <w:pPr>
      <w:ind w:firstLine="420" w:firstLineChars="200"/>
    </w:pPr>
  </w:style>
  <w:style w:type="character" w:customStyle="1" w:styleId="20">
    <w:name w:val="页眉 字符"/>
    <w:basedOn w:val="13"/>
    <w:link w:val="9"/>
    <w:qFormat/>
    <w:uiPriority w:val="99"/>
    <w:rPr>
      <w:sz w:val="18"/>
      <w:szCs w:val="18"/>
    </w:rPr>
  </w:style>
  <w:style w:type="character" w:customStyle="1" w:styleId="21">
    <w:name w:val="页脚 字符"/>
    <w:basedOn w:val="13"/>
    <w:link w:val="8"/>
    <w:qFormat/>
    <w:uiPriority w:val="99"/>
    <w:rPr>
      <w:sz w:val="18"/>
      <w:szCs w:val="18"/>
    </w:rPr>
  </w:style>
  <w:style w:type="character" w:customStyle="1" w:styleId="22">
    <w:name w:val="批注框文本 字符"/>
    <w:basedOn w:val="13"/>
    <w:link w:val="7"/>
    <w:semiHidden/>
    <w:qFormat/>
    <w:uiPriority w:val="99"/>
    <w:rPr>
      <w:sz w:val="18"/>
      <w:szCs w:val="18"/>
    </w:rPr>
  </w:style>
  <w:style w:type="paragraph" w:customStyle="1" w:styleId="23">
    <w:name w:val="标题1"/>
    <w:basedOn w:val="3"/>
    <w:qFormat/>
    <w:uiPriority w:val="0"/>
    <w:pPr>
      <w:spacing w:before="120" w:after="120" w:line="500" w:lineRule="exact"/>
      <w:ind w:firstLine="200" w:firstLineChars="200"/>
    </w:pPr>
    <w:rPr>
      <w:rFonts w:cs="Times New Roman"/>
      <w:sz w:val="32"/>
      <w:szCs w:val="32"/>
    </w:rPr>
  </w:style>
  <w:style w:type="character" w:customStyle="1" w:styleId="24">
    <w:name w:val="标题 2 字符"/>
    <w:basedOn w:val="13"/>
    <w:link w:val="4"/>
    <w:qFormat/>
    <w:uiPriority w:val="9"/>
    <w:rPr>
      <w:rFonts w:asciiTheme="majorHAnsi" w:hAnsiTheme="majorHAnsi" w:eastAsiaTheme="majorEastAsia" w:cstheme="majorBidi"/>
      <w:b/>
      <w:bCs/>
      <w:sz w:val="32"/>
      <w:szCs w:val="32"/>
    </w:rPr>
  </w:style>
  <w:style w:type="paragraph" w:customStyle="1" w:styleId="25">
    <w:name w:val="标题2"/>
    <w:basedOn w:val="4"/>
    <w:qFormat/>
    <w:uiPriority w:val="0"/>
    <w:pPr>
      <w:numPr>
        <w:ilvl w:val="0"/>
        <w:numId w:val="1"/>
      </w:numPr>
      <w:spacing w:before="120" w:after="120" w:line="500" w:lineRule="exact"/>
    </w:pPr>
    <w:rPr>
      <w:rFonts w:ascii="仿宋_GB2312" w:eastAsia="仿宋_GB2312" w:cs="Times New Roman"/>
    </w:rPr>
  </w:style>
  <w:style w:type="paragraph" w:customStyle="1" w:styleId="26">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27">
    <w:name w:val="闻政正文 Char"/>
    <w:link w:val="28"/>
    <w:qFormat/>
    <w:uiPriority w:val="0"/>
    <w:rPr>
      <w:rFonts w:ascii="Times New Roman" w:hAnsi="Times New Roman" w:eastAsia="仿宋_GB2312" w:cs="Times New Roman"/>
      <w:sz w:val="28"/>
      <w:szCs w:val="28"/>
    </w:rPr>
  </w:style>
  <w:style w:type="paragraph" w:customStyle="1" w:styleId="28">
    <w:name w:val="闻政正文"/>
    <w:basedOn w:val="1"/>
    <w:link w:val="27"/>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9">
    <w:name w:val="闻政表 Char"/>
    <w:link w:val="30"/>
    <w:qFormat/>
    <w:uiPriority w:val="0"/>
    <w:rPr>
      <w:rFonts w:ascii="Times New Roman" w:hAnsi="Times New Roman" w:eastAsia="仿宋_GB2312" w:cs="Times New Roman"/>
      <w:b/>
      <w:sz w:val="24"/>
      <w:szCs w:val="28"/>
    </w:rPr>
  </w:style>
  <w:style w:type="paragraph" w:customStyle="1" w:styleId="30">
    <w:name w:val="闻政表"/>
    <w:basedOn w:val="1"/>
    <w:link w:val="29"/>
    <w:qFormat/>
    <w:uiPriority w:val="0"/>
    <w:pPr>
      <w:spacing w:before="60" w:after="60"/>
      <w:jc w:val="center"/>
    </w:pPr>
    <w:rPr>
      <w:rFonts w:ascii="Times New Roman" w:hAnsi="Times New Roman" w:eastAsia="仿宋_GB2312" w:cs="Times New Roman"/>
      <w:b/>
      <w:sz w:val="24"/>
      <w:szCs w:val="28"/>
    </w:rPr>
  </w:style>
  <w:style w:type="paragraph" w:customStyle="1" w:styleId="31">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2">
    <w:name w:val="闻政标题3 Char"/>
    <w:link w:val="33"/>
    <w:qFormat/>
    <w:uiPriority w:val="0"/>
    <w:rPr>
      <w:rFonts w:ascii="黑体" w:hAnsi="黑体" w:eastAsia="黑体" w:cs="Times New Roman"/>
      <w:bCs/>
      <w:sz w:val="32"/>
      <w:szCs w:val="32"/>
    </w:rPr>
  </w:style>
  <w:style w:type="paragraph" w:customStyle="1" w:styleId="33">
    <w:name w:val="闻政标题3"/>
    <w:basedOn w:val="5"/>
    <w:link w:val="32"/>
    <w:qFormat/>
    <w:uiPriority w:val="99"/>
    <w:pPr>
      <w:spacing w:before="120" w:after="60" w:line="500" w:lineRule="exact"/>
      <w:jc w:val="left"/>
      <w:outlineLvl w:val="0"/>
    </w:pPr>
    <w:rPr>
      <w:rFonts w:ascii="黑体" w:hAnsi="黑体" w:eastAsia="黑体" w:cs="Times New Roman"/>
      <w:b w:val="0"/>
    </w:rPr>
  </w:style>
  <w:style w:type="character" w:customStyle="1" w:styleId="34">
    <w:name w:val="标题 3 字符"/>
    <w:basedOn w:val="13"/>
    <w:link w:val="5"/>
    <w:semiHidden/>
    <w:qFormat/>
    <w:uiPriority w:val="9"/>
    <w:rPr>
      <w:b/>
      <w:bCs/>
      <w:sz w:val="32"/>
      <w:szCs w:val="32"/>
    </w:rPr>
  </w:style>
  <w:style w:type="paragraph" w:customStyle="1" w:styleId="35">
    <w:name w:val="Body text|1"/>
    <w:basedOn w:val="1"/>
    <w:link w:val="36"/>
    <w:qFormat/>
    <w:uiPriority w:val="0"/>
    <w:pPr>
      <w:spacing w:after="40" w:line="334" w:lineRule="auto"/>
    </w:pPr>
    <w:rPr>
      <w:rFonts w:ascii="MingLiU" w:hAnsi="MingLiU" w:eastAsia="MingLiU" w:cs="MingLiU"/>
      <w:sz w:val="20"/>
      <w:szCs w:val="20"/>
      <w:lang w:val="zh-TW" w:eastAsia="zh-TW" w:bidi="zh-TW"/>
    </w:rPr>
  </w:style>
  <w:style w:type="character" w:customStyle="1" w:styleId="36">
    <w:name w:val="Body text|1_"/>
    <w:basedOn w:val="13"/>
    <w:link w:val="35"/>
    <w:unhideWhenUsed/>
    <w:qFormat/>
    <w:uiPriority w:val="0"/>
    <w:rPr>
      <w:rFonts w:ascii="MingLiU" w:hAnsi="MingLiU" w:eastAsia="MingLiU" w:cs="MingLiU"/>
      <w:sz w:val="20"/>
      <w:szCs w:val="2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512F1EB-F90A-43BA-ADA9-C32044478457}">
  <ds:schemaRefs/>
</ds:datastoreItem>
</file>

<file path=docProps/app.xml><?xml version="1.0" encoding="utf-8"?>
<Properties xmlns="http://schemas.openxmlformats.org/officeDocument/2006/extended-properties" xmlns:vt="http://schemas.openxmlformats.org/officeDocument/2006/docPropsVTypes">
  <Template>Normal.dotm</Template>
  <Pages>21</Pages>
  <Words>898</Words>
  <Characters>5120</Characters>
  <Lines>42</Lines>
  <Paragraphs>12</Paragraphs>
  <TotalTime>2</TotalTime>
  <ScaleCrop>false</ScaleCrop>
  <LinksUpToDate>false</LinksUpToDate>
  <CharactersWithSpaces>6006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ASUS</cp:lastModifiedBy>
  <dcterms:modified xsi:type="dcterms:W3CDTF">2020-09-05T05:58:35Z</dcterms:modified>
  <dc:title>新疆普天鹏华商务信息咨询有限公司</dc:title>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