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新疆喀什地区昆仑山国有林管理局2019年度部门决算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B42062">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B42062">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B42062">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hAnsi="仿宋_GB2312" w:cs="仿宋_GB2312" w:eastAsia="仿宋_GB2312"/>
          <w:sz w:val="32"/>
        </w:rPr>
        <w:t xml:space="preserve">    拟定、贯彻实施国有林场相关法律、法规；依法受委托对国有林场森林资源资产进行监管。培育和保护森林资源，维护国家生态安全和木材安全。开展科学试验和技术创新，推广先进技术；保护林业生态文化资源，促进人与自然和谐发展。</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新疆喀什地区昆仑山国有林管理局2019年度，实有人数33人，其中：在职人员30人，离休人员0人，退休人员3人。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从部门决算单位构成看，新疆喀什地区昆仑山国有林管理局部门决算包括：新疆喀什地区昆仑山国有林管理局决算。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1,408.26万元，与上年相比，增加202.95万元，增长16.84%，主要原因是：本年度下达中央林业改革补助项目收入资金额度增加。本年支出1,410.66万元，与上年相比，增加189.88万元，增长15.55%，主要原因是：本年度下达中央林业改革补助项目支出资金额度相应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2019年度本年收入1,408.26万元，其中：财政拨款收入1,408.26万元，占100%；上级补助收入0万元，占0%；事业收入0万元，占0%；经营收入0万元，占0%；附属单位上缴收入0万元，占0%；其他收入0万元，占0%。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2019年度本年支出1,410.66万元，其中：基本支出436.04万元，占30.91%；项目支出974.62万元，占69.09%；上缴上级支出0万元，占0%；经营支出0万元，占0%；对附属单位补助支出0万元，占0%。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1,408.26万元，与上年相比，增加206.95万元，增长17.23%，主要原因是：本年度下达中央林业改革补助项目收入资金额度增加。财政拨款支出1,408.26万元，与上年相比，增加193.82万元，增长15.96%，主要原因是：本年度下达中央林业改革补助项目支出资金额度相应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516.68万元，决算数1,408.26万元，预决算差异率172.56%，主要原因是：中央林业改革补助资金为当年度专项，年初财政拨款预算收入不包含当年度下达的中央林业改革补助项目专项资金。财政拨款支出年初预算数803万元，决算数1,408.26万元，预决算差异率75.37%，主要原因是：中央林业改革补助资金为当年度专项，年初财政拨款预算收入不包含当年度下达的中央林业改革补助项目专项资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2019年度一般公共预算财政拨款支出1,408.26万元。按功能分类科目项级科目公开，其中：</w:t>
      </w:r>
    </w:p>
    <w:p>
      <w:pPr>
        <w:ind w:firstLine="480"/>
        <w:jc w:val="both"/>
      </w:pPr>
      <w:r>
        <w:rPr>
          <w:rFonts w:ascii="仿宋_GB2312" w:hAnsi="仿宋_GB2312" w:cs="仿宋_GB2312" w:eastAsia="仿宋_GB2312"/>
          <w:b w:val="false"/>
          <w:sz w:val="32"/>
        </w:rPr>
        <w:t xml:space="preserve">   2210201住房公积金支出33.60万元。</w:t>
      </w:r>
    </w:p>
    <w:p>
      <w:pPr>
        <w:ind w:firstLine="480"/>
        <w:jc w:val="both"/>
      </w:pPr>
      <w:r>
        <w:rPr>
          <w:rFonts w:ascii="仿宋_GB2312" w:hAnsi="仿宋_GB2312" w:cs="仿宋_GB2312" w:eastAsia="仿宋_GB2312"/>
          <w:b w:val="false"/>
          <w:sz w:val="32"/>
        </w:rPr>
        <w:t xml:space="preserve">   2130504农村基础设施建设支出116.46万元；</w:t>
      </w:r>
    </w:p>
    <w:p>
      <w:pPr>
        <w:ind w:firstLine="480"/>
        <w:jc w:val="both"/>
      </w:pPr>
      <w:r>
        <w:rPr>
          <w:rFonts w:ascii="仿宋_GB2312" w:hAnsi="仿宋_GB2312" w:cs="仿宋_GB2312" w:eastAsia="仿宋_GB2312"/>
          <w:b w:val="false"/>
          <w:sz w:val="32"/>
        </w:rPr>
        <w:t xml:space="preserve">   2130299其他林业和草原支出5.16万元；</w:t>
      </w:r>
    </w:p>
    <w:p>
      <w:pPr>
        <w:ind w:firstLine="480"/>
        <w:jc w:val="both"/>
      </w:pPr>
      <w:r>
        <w:rPr>
          <w:rFonts w:ascii="仿宋_GB2312" w:hAnsi="仿宋_GB2312" w:cs="仿宋_GB2312" w:eastAsia="仿宋_GB2312"/>
          <w:b w:val="false"/>
          <w:sz w:val="32"/>
        </w:rPr>
        <w:t xml:space="preserve">   2130209森林生态效益补偿支出245.52万元；</w:t>
      </w:r>
    </w:p>
    <w:p>
      <w:pPr>
        <w:ind w:firstLine="480"/>
        <w:jc w:val="both"/>
      </w:pPr>
      <w:r>
        <w:rPr>
          <w:rFonts w:ascii="仿宋_GB2312" w:hAnsi="仿宋_GB2312" w:cs="仿宋_GB2312" w:eastAsia="仿宋_GB2312"/>
          <w:b w:val="false"/>
          <w:sz w:val="32"/>
        </w:rPr>
        <w:t xml:space="preserve">   2130207森林资源管理支出605.09万元；</w:t>
      </w:r>
    </w:p>
    <w:p>
      <w:pPr>
        <w:ind w:firstLine="480"/>
        <w:jc w:val="both"/>
      </w:pPr>
      <w:r>
        <w:rPr>
          <w:rFonts w:ascii="仿宋_GB2312" w:hAnsi="仿宋_GB2312" w:cs="仿宋_GB2312" w:eastAsia="仿宋_GB2312"/>
          <w:b w:val="false"/>
          <w:sz w:val="32"/>
        </w:rPr>
        <w:t xml:space="preserve">   2130204事业机构支出357.63万元；</w:t>
      </w:r>
    </w:p>
    <w:p>
      <w:pPr>
        <w:ind w:firstLine="480"/>
        <w:jc w:val="both"/>
      </w:pPr>
      <w:r>
        <w:rPr>
          <w:rFonts w:ascii="仿宋_GB2312" w:hAnsi="仿宋_GB2312" w:cs="仿宋_GB2312" w:eastAsia="仿宋_GB2312"/>
          <w:b w:val="false"/>
          <w:sz w:val="32"/>
        </w:rPr>
        <w:t xml:space="preserve">   2080506机关事业单位职业年金缴费支出0.51万元；</w:t>
      </w:r>
    </w:p>
    <w:p>
      <w:pPr>
        <w:ind w:firstLine="480"/>
        <w:jc w:val="both"/>
      </w:pPr>
      <w:r>
        <w:rPr>
          <w:rFonts w:ascii="仿宋_GB2312" w:hAnsi="仿宋_GB2312" w:cs="仿宋_GB2312" w:eastAsia="仿宋_GB2312"/>
          <w:b w:val="false"/>
          <w:sz w:val="32"/>
        </w:rPr>
        <w:t xml:space="preserve">   2080505机关事业单位基本养老保险缴费支出44.30万元；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2019年度一般公共预算财政拨款基本支出436.04万元，其中：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人员经费417.80万元，包括：基本工资、津贴补贴、奖金、绩效工资、机关事业单位基本养老保险缴费、职业年金缴费、职工基本医疗保险缴费、其他社会保障缴费、住房公积金、退休费、生活补助。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公用经费18.23万元，包括：办公费、电费、邮电费、取暖费、差旅费、维修（护）费、委托业务费、公务用车运行维护费、其他商品和服务支出。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5.40万元，比上年增加0万元，增长0%，主要原因是与上年相比无变动，与上年一致。其中，因公出国（境）费支出0万元，占0%，比上年增加0万元，增长0%，主要原因是与上年相比无变动，与上年一致；公务用车购置及运行维护费支出5.40万元，占100%，比上年增加0万元，增长0%，主要原因是与上年相比无变动，与上年一致；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5.40万元，其中，公务用车购置费0万元，公务用车运行维护费5.40万元。公务用车运行维护费开支内容包括汽车加油费、过路费、车辆保险费、车辆维修费等。公务用车购置数0辆，公务用车保有量3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5.40万元，决算数5.40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5.40万元，决算数5.40万元，预决算差异率0%，主要原因是：严格按照预算安排执行，无差异；公务接待费预算数0万元，决算数0万元，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新疆喀什地区昆仑山国有林管理局日常公用经费18.23万元，比上年减少1.56万元，降低7.88%，主要原因是单位本着节约办公理念，减少单位不必要的开支。</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2019年度政府采购支出总额580.04万元，其中：政府采购货物支出569.21万元、政府采购工程支出0万元、政府采购服务支出10.83万元。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授予中小企业合同金额569.22万元，占政府采购支出总额的98.13%，其中：授予小微企业合同金额0万元，占政府采购支出总额的0%。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4,408.28（平方米），价值944.93万元。车辆3辆，价值55.98万元，其中：副部（省）级及以上领导用车0辆、主要领导干部用车0辆、机要通信用车0辆、应急保障用车0辆、执法执勤用车0辆、特种专业技术用车0辆、离退休干部用车0辆、其他用车3辆，其他用车主要是：其他用车3辆，主要是森林消防用车、越野车、皮卡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7个，共涉及资金972.2196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的变化，有节约。二是效率性评价：各项工作计划按预期计划按时完成，效益按预期时间产生。三是效益性评价：预期的经济效益、社会效益、可持续的影响是产生，相关人员的满意度评价较好。发现的问题及原因：一是通过预算绩效管理，发现了工作中存在的不足，前期资金使用受地理位置、气候条件限制等原因未能在规定的时间完成项目执行进度，导致了资金滞缓，影响了项目资金支付进度，造成了部分资金的浪费。   对各项指标和指标值要进一步优化、完善，主要在细化、量化上改进，自评价工作还存在自我审定的局限性，会影响评价质量，容易造成问题的疏漏，在客观性和公正性上说服力不强，缺少带着问题去评价的意识，现场评价的工作量少，后续效益评价具体措施和方法较少。下一步改进措施：一是年初做好资金计划，按照项目进度及时拨付资金，使资金使用效益最大化，减少不必要的浪费，节约成本。项目前期做好可行性研究报告，更加细化实施方案，严格执行资金管理办法和财政资金管理制度，严格按照项目实施方案、招投标管理办法等稳步推进工作，年初做好资金计划，按照项目进度及时拨付资金，使资金使用效益最大化，减少不必要的浪费，节约成本。项目启动时同步做好档案的归纳与整理，及时整理、收集、汇总，健全档案资料。以后加强管理，及时掌握与之相关的各类信息，减少成本，使资金效益最大化。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FB77A" w14:textId="77777777" w:rsidR="00B42062" w:rsidRDefault="00B42062">
      <w:r>
        <w:separator/>
      </w:r>
    </w:p>
  </w:endnote>
  <w:endnote w:type="continuationSeparator" w:id="0">
    <w:p w14:paraId="78B14B17" w14:textId="77777777" w:rsidR="00B42062" w:rsidRDefault="00B4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06DA9" w14:textId="77777777" w:rsidR="00B42062" w:rsidRDefault="00B42062">
      <w:r>
        <w:separator/>
      </w:r>
    </w:p>
  </w:footnote>
  <w:footnote w:type="continuationSeparator" w:id="0">
    <w:p w14:paraId="51097E30" w14:textId="77777777" w:rsidR="00B42062" w:rsidRDefault="00B42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Y3IH229cFWwwq8fyjkbtLQ==" w:hash="hB9PgSIKlwtNgmDgHvv19nzUZKc="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1032</Words>
  <Characters>5883</Characters>
  <Application>Microsoft Office Word</Application>
  <DocSecurity>0</DocSecurity>
  <Lines>49</Lines>
  <Paragraphs>13</Paragraphs>
  <ScaleCrop>false</ScaleCrop>
  <Company/>
  <LinksUpToDate>false</LinksUpToDate>
  <CharactersWithSpaces>6902</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2020-09-09T10:24:00Z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