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bookmarkStart w:id="54" w:name="_GoBack"/>
      <w:bookmarkEnd w:id="54"/>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新疆喀什地区动物疾病控制与诊断中心2019年度部门决算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ascii="仿宋_GB2312" w:hAnsi="仿宋_GB2312" w:eastAsia="仿宋_GB2312" w:cs="仿宋_GB2312"/>
          <w:sz w:val="32"/>
        </w:rPr>
        <w:t xml:space="preserve">    一是以重大动物疫病为重点，认真开展动物强制免疫工作；二是认真做好动物病原监测、免疫动物抗体监测，做好预警预报工作；三是畜禽防疫、畜禽疫病诊断、畜禽疫情控制、畜禽疫情扑灭。四是畜禽疫情管理、重大畜禽疫病监测、实验室诊断、畜禽疫病普查、畜禽疫病情况统计报告、畜禽疫病测报站管理。</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新疆喀什地区动物疾病控制与诊断中心2019年度，实有人数35人，其中：在职人员19人，离休人员15人，退休人员1人。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从部门决算单位构成看，新疆喀什地区动物疾病控制与诊断中心部门决算包括：新疆喀什地区动物疾病控制与诊断中心决算。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397.22万元，与上年相比，减少10.11万元，下降2.48%，主要原因是：3名退休职工去世，退休员工的人员经费减少。本年支出397.22万元，与上年相比，减少10.11万元，下降2.48%，主要原因是：3名退休职工去世，退休员工的人员经费减少。</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2019年度本年收入397.22万元，其中：财政拨款收入397.22万元，占100%；上级补助收入0万元，占0%；事业收入0万元，占0%；经营收入0万元，占0%；附属单位上缴收入0万元，占0%；其他收入0万元，占0%。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2019年度本年支出397.22万元，其中：基本支出355.62万元，占89.53%；项目支出41.60万元，占10.47%；上缴上级支出0万元，占0%；经营支出0万元，占0%；对附属单位补助支出0万元，占0%。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397.22万元，与上年相比，减少10.11万元，下降2.48%，主要原因是：3名退休职工去世，退休员工的人员经费减少。财政拨款支出397.22万元，与上年相比，减少10.11万元，下降2.48%，主要原因是：3名退休职工去世，退休员工的人员经费减少。</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372.86万元，决算数397.22万元，预决算差异率6.53%，主要原因是：1、部分工作人员工资调整增加，相应的社保、住房公积金增加；2、新招人员增人增资。财政拨款支出年初预算数372.86万元，决算数397.22万元，预决算差异率6.53%，主要原因是：1、部分工作人员工资调整增加，相应的社保、住房公积金增加；2、新招人员增人增资。</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2019年度一般公共预算财政拨款支出397.22万元。按功能分类科目项级科目公开，其中：</w:t>
      </w:r>
    </w:p>
    <w:p>
      <w:pPr>
        <w:ind w:firstLine="480"/>
      </w:pPr>
      <w:r>
        <w:rPr>
          <w:rFonts w:ascii="仿宋_GB2312" w:hAnsi="仿宋_GB2312" w:eastAsia="仿宋_GB2312" w:cs="仿宋_GB2312"/>
          <w:sz w:val="32"/>
        </w:rPr>
        <w:t xml:space="preserve">   2299901其他支出14万元。</w:t>
      </w:r>
    </w:p>
    <w:p>
      <w:pPr>
        <w:ind w:firstLine="480"/>
      </w:pPr>
      <w:r>
        <w:rPr>
          <w:rFonts w:ascii="仿宋_GB2312" w:hAnsi="仿宋_GB2312" w:eastAsia="仿宋_GB2312" w:cs="仿宋_GB2312"/>
          <w:sz w:val="32"/>
        </w:rPr>
        <w:t xml:space="preserve">   2210201住房公积金支出22.14万元；</w:t>
      </w:r>
    </w:p>
    <w:p>
      <w:pPr>
        <w:ind w:firstLine="480"/>
      </w:pPr>
      <w:r>
        <w:rPr>
          <w:rFonts w:ascii="仿宋_GB2312" w:hAnsi="仿宋_GB2312" w:eastAsia="仿宋_GB2312" w:cs="仿宋_GB2312"/>
          <w:sz w:val="32"/>
        </w:rPr>
        <w:t xml:space="preserve">   2130199其他农业支出3.20万元；</w:t>
      </w:r>
    </w:p>
    <w:p>
      <w:pPr>
        <w:ind w:firstLine="480"/>
      </w:pPr>
      <w:r>
        <w:rPr>
          <w:rFonts w:ascii="仿宋_GB2312" w:hAnsi="仿宋_GB2312" w:eastAsia="仿宋_GB2312" w:cs="仿宋_GB2312"/>
          <w:sz w:val="32"/>
        </w:rPr>
        <w:t xml:space="preserve">   2130108病虫害控制支出24.40万元；</w:t>
      </w:r>
    </w:p>
    <w:p>
      <w:pPr>
        <w:ind w:firstLine="480"/>
      </w:pPr>
      <w:r>
        <w:rPr>
          <w:rFonts w:ascii="仿宋_GB2312" w:hAnsi="仿宋_GB2312" w:eastAsia="仿宋_GB2312" w:cs="仿宋_GB2312"/>
          <w:sz w:val="32"/>
        </w:rPr>
        <w:t xml:space="preserve">   2130104事业运行支出302.94万元；</w:t>
      </w:r>
    </w:p>
    <w:p>
      <w:pPr>
        <w:ind w:firstLine="480"/>
      </w:pPr>
      <w:r>
        <w:rPr>
          <w:rFonts w:ascii="仿宋_GB2312" w:hAnsi="仿宋_GB2312" w:eastAsia="仿宋_GB2312" w:cs="仿宋_GB2312"/>
          <w:sz w:val="32"/>
        </w:rPr>
        <w:t xml:space="preserve">   2080506机关事业单位职业年金缴费支出0.39万元；</w:t>
      </w:r>
    </w:p>
    <w:p>
      <w:pPr>
        <w:ind w:firstLine="480"/>
      </w:pPr>
      <w:r>
        <w:rPr>
          <w:rFonts w:ascii="仿宋_GB2312" w:hAnsi="仿宋_GB2312" w:eastAsia="仿宋_GB2312" w:cs="仿宋_GB2312"/>
          <w:sz w:val="32"/>
        </w:rPr>
        <w:t xml:space="preserve">   2080505机关事业单位基本养老保险缴费支出30.16万元；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2019年度一般公共预算财政拨款基本支出355.62万元，其中：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345.45万元，包括：基本工资、津贴补贴、奖金、绩效工资、机关事业单位基本养老保险缴费、职业年金缴费、职工基本医疗保险缴费、其他社会保障缴费、住房公积金、离休费、退休费、抚恤金、生活补助、奖励金。</w:t>
      </w:r>
    </w:p>
    <w:p>
      <w:pPr>
        <w:ind w:firstLine="640" w:firstLineChars="200"/>
        <w:rPr>
          <w:rFonts w:ascii="仿宋_GB2312" w:eastAsia="仿宋_GB2312"/>
          <w:sz w:val="32"/>
          <w:szCs w:val="32"/>
        </w:rPr>
      </w:pPr>
      <w:r>
        <w:rPr>
          <w:rFonts w:ascii="仿宋_GB2312" w:hAnsi="仿宋_GB2312" w:eastAsia="仿宋_GB2312" w:cs="仿宋_GB2312"/>
          <w:sz w:val="32"/>
        </w:rPr>
        <w:t>公用经费10.17万元，包括：办公费、电费、取暖费、差旅费、维修（护）费、公务用车运行维护费、其他商品和服务支出。</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1.30万元，比上年减少1.30万元，降低50%，主要原因是报废一辆车。其中，因公出国（境）费支出0万元，占0%，比上年增加0万元，增长0%，主要原因是与上年相比无变化，与上年一致；公务用车购置及运行维护费支出1.30万元，占100%，比上年减少1.30万元，降低50%，主要原因是报废一辆车；公务接待费支出0万元，占0%，比上年增加0万元，增长0%，主要原因是与上年相比无变化，与上年一致。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因公出国（境）费支出0万元，开支内容包括：预算未安排，无此项支出。单位全年安排的因公出国（境）团组0个，因公出国（境）0人次。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1.30万元，其中，公务用车购置费0万元，公务用车运行维护费1.30万元。公务用车运行维护费开支内容包括汽车油料加油、车辆维修、车辆保险、审验费等。公务用车购置数0辆，公务用车保有量2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1.30万元，决算数1.30万元，预决算差异率0%，主要原因是：严格按照预算安排执行，无差异。其中：因公出国（境）费预算数0万元，决算数0万元，预决算差异率0%，主要原因是：预算未安排，无此项支出；公务用车购置费预算数0万元，决算数0万元，预决算差异率0%，主要原因是：预算未安排，无此项支出；公务用车运行费预算数1.30万元，决算数1.30万元，预决算差异率0%，主要原因是：严格按照预算安排执行，无差异；公务接待费预算数0万元，决算数0万元，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新疆喀什地区动物疾病控制与诊断中心日常公用经费10.17万元，比上年减少8.73万元，降低46.19%，主要原因是减少</w:t>
      </w:r>
      <w:r>
        <w:rPr>
          <w:rFonts w:hint="eastAsia" w:ascii="仿宋_GB2312" w:hAnsi="仿宋_GB2312" w:eastAsia="仿宋_GB2312" w:cs="仿宋_GB2312"/>
          <w:sz w:val="32"/>
          <w:lang w:eastAsia="zh-CN"/>
        </w:rPr>
        <w:t>活动</w:t>
      </w:r>
      <w:r>
        <w:rPr>
          <w:rFonts w:ascii="仿宋_GB2312" w:hAnsi="仿宋_GB2312" w:eastAsia="仿宋_GB2312" w:cs="仿宋_GB2312"/>
          <w:sz w:val="32"/>
        </w:rPr>
        <w:t>工作经费。</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2019年度政府采购支出总额24.12万元，其中：政府采购货物支出23.79万元、政府采购工程支出0万元、政府采购服务支出0.33万元。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授予中小企业合同金额24.12万元，占政府采购支出总额的100%，其中：授予小微企业合同金额24.12万元，占政府采购支出总额的100%。</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275（平方米），价值7.70万元。车辆2辆，价值51.30万元，其中：副部（省）级及以上领导用车0辆、主要领导干部用车0辆、机要通信用车0辆、应急保障用车0辆、执法执勤用车0辆、特种专业技术用车0辆、离退休干部用车0辆、其他用车2辆，其他用车主要是：一般公务用车，用于开展动物疫情监测、督导等业务工作；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ascii="仿宋_GB2312" w:hAnsi="仿宋_GB2312" w:eastAsia="仿宋_GB2312" w:cs="仿宋_GB2312"/>
          <w:sz w:val="32"/>
        </w:rPr>
        <w:t>根据预算绩效管理要求，我单位2019年度开展预算绩效评价项目4个，共涉及资金41.6万元。预算绩效管理取得的成效：一是经济性评价：部门年度任务在预算资金额度内完成，并通过规范的招投标及严格的资金管理及项目管理及其他创新的管理措施实现了资金的节约。三公经费在预算范围内开支，开支范围较上年的变化，有节约。二是效率性评价：各项工作计划按预期计划按时完成，效益按预期时间产生。三是效益性评价：预期的经济效益、社会效益、可持续的影响产生，相关人员的满意度较好。发现的问题及原因：一是通过预算绩效管理，发现了工作中存在的不足，如前期资金使用受地理位置、气候条件限制等原因未能在规定的时间完成项目执行进度，导致了资金滞缓，影响了项目资金支付进度，造成了部分资金的浪费。下一步改进措施：今后工作中，严格按照年初预算执行，根据项目执行进度做好年中资金执行计划，切实加强预算管理。具体项目自评情况附项目支出绩效自评表。</w:t>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1" w:cryptProviderType="rsaFull" w:cryptAlgorithmClass="hash" w:cryptAlgorithmType="typeAny" w:cryptAlgorithmSid="4" w:cryptSpinCount="0" w:hash="QcGvkl/4b74LzdOyTIg0h4elAL4=" w:salt="nGg3lEfdNa3r2MrUko0FRg=="/>
  <w:defaultTabStop w:val="420"/>
  <w:drawingGridVerticalSpacing w:val="156"/>
  <w:displayHorizontalDrawingGridEvery w:val="0"/>
  <w:displayVerticalDrawingGridEvery w:val="2"/>
  <w:characterSpacingControl w:val="compressPunctuation"/>
  <w:hdrShapeDefaults>
    <o:shapelayout v:ext="edit">
      <o:idmap v:ext="edit" data="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A20B1"/>
    <w:rsid w:val="005B1DE6"/>
    <w:rsid w:val="005C11EB"/>
    <w:rsid w:val="005D38E0"/>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07741"/>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B1FF2"/>
    <w:rsid w:val="00EB42AF"/>
    <w:rsid w:val="00EB49C8"/>
    <w:rsid w:val="00EE3598"/>
    <w:rsid w:val="00EE791B"/>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47AE799D"/>
    <w:rsid w:val="50DB5F45"/>
    <w:rsid w:val="69AD798C"/>
    <w:rsid w:val="6A963D92"/>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840</Words>
  <Characters>4794</Characters>
  <Lines>39</Lines>
  <Paragraphs>11</Paragraphs>
  <TotalTime>12</TotalTime>
  <ScaleCrop>false</ScaleCrop>
  <LinksUpToDate>false</LinksUpToDate>
  <CharactersWithSpaces>5623</CharactersWithSpaces>
  <Application>WPS Office_11.8.2.8506_F1E327BC-269C-435d-A152-05C5408002CA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2021-05-21T11:21:36Z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