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附件1</w:t>
      </w:r>
      <w:bookmarkStart w:id="0" w:name="_GoBack"/>
      <w:bookmarkEnd w:id="0"/>
    </w:p>
    <w:p>
      <w:pPr>
        <w:keepNext w:val="0"/>
        <w:keepLines w:val="0"/>
        <w:pageBreakBefore w:val="0"/>
        <w:widowControl/>
        <w:kinsoku/>
        <w:wordWrap/>
        <w:overflowPunct/>
        <w:topLinePunct w:val="0"/>
        <w:autoSpaceDE/>
        <w:autoSpaceDN/>
        <w:bidi w:val="0"/>
        <w:adjustRightInd/>
        <w:snapToGrid/>
        <w:spacing w:line="570" w:lineRule="atLeast"/>
        <w:jc w:val="center"/>
        <w:textAlignment w:val="auto"/>
        <w:rPr>
          <w:rFonts w:hint="eastAsia" w:ascii="方正小标宋_GBK" w:hAnsi="方正小标宋_GBK" w:eastAsia="方正小标宋_GBK" w:cs="方正小标宋_GBK"/>
          <w:spacing w:val="6"/>
          <w:kern w:val="0"/>
          <w:sz w:val="36"/>
          <w:szCs w:val="36"/>
        </w:rPr>
      </w:pPr>
      <w:r>
        <w:rPr>
          <w:rFonts w:hint="eastAsia" w:ascii="方正小标宋_GBK" w:hAnsi="方正小标宋_GBK" w:eastAsia="方正小标宋_GBK" w:cs="方正小标宋_GBK"/>
          <w:spacing w:val="6"/>
          <w:kern w:val="0"/>
          <w:sz w:val="36"/>
          <w:szCs w:val="36"/>
        </w:rPr>
        <w:t>202</w:t>
      </w:r>
      <w:r>
        <w:rPr>
          <w:rFonts w:hint="eastAsia" w:ascii="方正小标宋_GBK" w:hAnsi="方正小标宋_GBK" w:eastAsia="方正小标宋_GBK" w:cs="方正小标宋_GBK"/>
          <w:spacing w:val="6"/>
          <w:kern w:val="0"/>
          <w:sz w:val="36"/>
          <w:szCs w:val="36"/>
          <w:lang w:val="en-US" w:eastAsia="zh-CN"/>
        </w:rPr>
        <w:t>4</w:t>
      </w:r>
      <w:r>
        <w:rPr>
          <w:rFonts w:hint="eastAsia" w:ascii="方正小标宋_GBK" w:hAnsi="方正小标宋_GBK" w:eastAsia="方正小标宋_GBK" w:cs="方正小标宋_GBK"/>
          <w:spacing w:val="6"/>
          <w:kern w:val="0"/>
          <w:sz w:val="36"/>
          <w:szCs w:val="36"/>
        </w:rPr>
        <w:t>年定向新疆喀什地区医学硕士专项招生计划</w:t>
      </w:r>
    </w:p>
    <w:p>
      <w:pPr>
        <w:widowControl/>
        <w:spacing w:line="570" w:lineRule="atLeast"/>
        <w:jc w:val="center"/>
        <w:rPr>
          <w:rFonts w:ascii="Times New Roman" w:hAnsi="仿宋_GB2312" w:eastAsia="仿宋_GB2312"/>
          <w:sz w:val="32"/>
          <w:szCs w:val="32"/>
        </w:rPr>
      </w:pPr>
    </w:p>
    <w:tbl>
      <w:tblPr>
        <w:tblStyle w:val="6"/>
        <w:tblW w:w="8540" w:type="dxa"/>
        <w:jc w:val="center"/>
        <w:tblInd w:w="0" w:type="dxa"/>
        <w:tblLayout w:type="fixed"/>
        <w:tblCellMar>
          <w:top w:w="0" w:type="dxa"/>
          <w:left w:w="108" w:type="dxa"/>
          <w:bottom w:w="0" w:type="dxa"/>
          <w:right w:w="108" w:type="dxa"/>
        </w:tblCellMar>
      </w:tblPr>
      <w:tblGrid>
        <w:gridCol w:w="836"/>
        <w:gridCol w:w="2384"/>
        <w:gridCol w:w="3544"/>
        <w:gridCol w:w="940"/>
        <w:gridCol w:w="836"/>
      </w:tblGrid>
      <w:tr>
        <w:tblPrEx>
          <w:tblLayout w:type="fixed"/>
          <w:tblCellMar>
            <w:top w:w="0" w:type="dxa"/>
            <w:left w:w="108" w:type="dxa"/>
            <w:bottom w:w="0" w:type="dxa"/>
            <w:right w:w="108" w:type="dxa"/>
          </w:tblCellMar>
        </w:tblPrEx>
        <w:trPr>
          <w:trHeight w:val="612" w:hRule="atLeast"/>
          <w:jc w:val="center"/>
        </w:trPr>
        <w:tc>
          <w:tcPr>
            <w:tcW w:w="8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kern w:val="0"/>
                <w:sz w:val="24"/>
              </w:rPr>
            </w:pPr>
            <w:r>
              <w:rPr>
                <w:rFonts w:hint="eastAsia" w:ascii="黑体" w:hAnsi="黑体" w:eastAsia="黑体" w:cs="宋体"/>
                <w:kern w:val="0"/>
                <w:sz w:val="24"/>
              </w:rPr>
              <w:t>序号</w:t>
            </w:r>
          </w:p>
        </w:tc>
        <w:tc>
          <w:tcPr>
            <w:tcW w:w="2384"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宋体"/>
                <w:kern w:val="0"/>
                <w:sz w:val="24"/>
              </w:rPr>
            </w:pPr>
            <w:r>
              <w:rPr>
                <w:rFonts w:hint="eastAsia" w:ascii="黑体" w:hAnsi="黑体" w:eastAsia="黑体" w:cs="宋体"/>
                <w:kern w:val="0"/>
                <w:sz w:val="24"/>
              </w:rPr>
              <w:t>招生单位</w:t>
            </w:r>
          </w:p>
        </w:tc>
        <w:tc>
          <w:tcPr>
            <w:tcW w:w="3544"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宋体"/>
                <w:kern w:val="0"/>
                <w:sz w:val="24"/>
              </w:rPr>
            </w:pPr>
            <w:r>
              <w:rPr>
                <w:rFonts w:hint="eastAsia" w:ascii="黑体" w:hAnsi="黑体" w:eastAsia="黑体" w:cs="宋体"/>
                <w:kern w:val="0"/>
                <w:sz w:val="24"/>
              </w:rPr>
              <w:t>招生专业</w:t>
            </w: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4"/>
              </w:rPr>
            </w:pPr>
            <w:r>
              <w:rPr>
                <w:rFonts w:hint="eastAsia" w:ascii="黑体" w:hAnsi="黑体" w:eastAsia="黑体" w:cs="宋体"/>
                <w:kern w:val="0"/>
                <w:sz w:val="24"/>
              </w:rPr>
              <w:t>招生</w:t>
            </w:r>
            <w:r>
              <w:rPr>
                <w:rFonts w:hint="eastAsia" w:ascii="黑体" w:hAnsi="黑体" w:eastAsia="黑体" w:cs="宋体"/>
                <w:kern w:val="0"/>
                <w:sz w:val="24"/>
              </w:rPr>
              <w:br w:type="textWrapping"/>
            </w:r>
            <w:r>
              <w:rPr>
                <w:rFonts w:hint="eastAsia" w:ascii="黑体" w:hAnsi="黑体" w:eastAsia="黑体" w:cs="宋体"/>
                <w:kern w:val="0"/>
                <w:sz w:val="24"/>
              </w:rPr>
              <w:t>人数</w:t>
            </w:r>
          </w:p>
        </w:tc>
        <w:tc>
          <w:tcPr>
            <w:tcW w:w="836" w:type="dxa"/>
            <w:tcBorders>
              <w:top w:val="single" w:color="auto" w:sz="4" w:space="0"/>
              <w:left w:val="nil"/>
              <w:bottom w:val="single" w:color="auto" w:sz="4" w:space="0"/>
              <w:right w:val="single" w:color="auto" w:sz="4" w:space="0"/>
            </w:tcBorders>
            <w:noWrap/>
            <w:vAlign w:val="center"/>
          </w:tcPr>
          <w:p>
            <w:pPr>
              <w:widowControl/>
              <w:jc w:val="center"/>
              <w:rPr>
                <w:rFonts w:ascii="黑体" w:hAnsi="黑体" w:eastAsia="黑体" w:cs="宋体"/>
                <w:kern w:val="0"/>
                <w:sz w:val="24"/>
              </w:rPr>
            </w:pPr>
            <w:r>
              <w:rPr>
                <w:rFonts w:hint="eastAsia" w:ascii="黑体" w:hAnsi="黑体" w:eastAsia="黑体" w:cs="宋体"/>
                <w:kern w:val="0"/>
                <w:sz w:val="24"/>
              </w:rPr>
              <w:t>小计</w:t>
            </w:r>
          </w:p>
        </w:tc>
      </w:tr>
      <w:tr>
        <w:tblPrEx>
          <w:tblLayout w:type="fixed"/>
          <w:tblCellMar>
            <w:top w:w="0" w:type="dxa"/>
            <w:left w:w="108" w:type="dxa"/>
            <w:bottom w:w="0" w:type="dxa"/>
            <w:right w:w="108" w:type="dxa"/>
          </w:tblCellMar>
        </w:tblPrEx>
        <w:trPr>
          <w:trHeight w:val="517" w:hRule="atLeast"/>
          <w:jc w:val="center"/>
        </w:trPr>
        <w:tc>
          <w:tcPr>
            <w:tcW w:w="836" w:type="dxa"/>
            <w:vMerge w:val="restart"/>
            <w:tcBorders>
              <w:top w:val="nil"/>
              <w:left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384" w:type="dxa"/>
            <w:vMerge w:val="restart"/>
            <w:tcBorders>
              <w:top w:val="nil"/>
              <w:left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复旦大学</w:t>
            </w: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临床医学</w:t>
            </w:r>
          </w:p>
        </w:tc>
        <w:tc>
          <w:tcPr>
            <w:tcW w:w="94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w:t>
            </w:r>
          </w:p>
        </w:tc>
        <w:tc>
          <w:tcPr>
            <w:tcW w:w="836" w:type="dxa"/>
            <w:vMerge w:val="restart"/>
            <w:tcBorders>
              <w:top w:val="nil"/>
              <w:left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12</w:t>
            </w:r>
          </w:p>
        </w:tc>
      </w:tr>
      <w:tr>
        <w:tblPrEx>
          <w:tblLayout w:type="fixed"/>
          <w:tblCellMar>
            <w:top w:w="0" w:type="dxa"/>
            <w:left w:w="108" w:type="dxa"/>
            <w:bottom w:w="0" w:type="dxa"/>
            <w:right w:w="108" w:type="dxa"/>
          </w:tblCellMar>
        </w:tblPrEx>
        <w:trPr>
          <w:trHeight w:val="517" w:hRule="atLeast"/>
          <w:jc w:val="center"/>
        </w:trPr>
        <w:tc>
          <w:tcPr>
            <w:tcW w:w="836"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公共卫生与预防医学</w:t>
            </w:r>
          </w:p>
        </w:tc>
        <w:tc>
          <w:tcPr>
            <w:tcW w:w="94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w:t>
            </w:r>
          </w:p>
        </w:tc>
        <w:tc>
          <w:tcPr>
            <w:tcW w:w="836"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7" w:hRule="atLeast"/>
          <w:jc w:val="center"/>
        </w:trPr>
        <w:tc>
          <w:tcPr>
            <w:tcW w:w="836"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药学</w:t>
            </w:r>
          </w:p>
        </w:tc>
        <w:tc>
          <w:tcPr>
            <w:tcW w:w="94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w:t>
            </w:r>
          </w:p>
        </w:tc>
        <w:tc>
          <w:tcPr>
            <w:tcW w:w="836"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7" w:hRule="atLeast"/>
          <w:jc w:val="center"/>
        </w:trPr>
        <w:tc>
          <w:tcPr>
            <w:tcW w:w="836"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护理学</w:t>
            </w:r>
          </w:p>
        </w:tc>
        <w:tc>
          <w:tcPr>
            <w:tcW w:w="94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p>
        </w:tc>
        <w:tc>
          <w:tcPr>
            <w:tcW w:w="836"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7" w:hRule="atLeast"/>
          <w:jc w:val="center"/>
        </w:trPr>
        <w:tc>
          <w:tcPr>
            <w:tcW w:w="836"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中西医结合</w:t>
            </w:r>
          </w:p>
        </w:tc>
        <w:tc>
          <w:tcPr>
            <w:tcW w:w="940" w:type="dxa"/>
            <w:tcBorders>
              <w:top w:val="nil"/>
              <w:left w:val="nil"/>
              <w:bottom w:val="single" w:color="auto" w:sz="4" w:space="0"/>
              <w:right w:val="single" w:color="auto" w:sz="4" w:space="0"/>
            </w:tcBorders>
            <w:noWrap/>
            <w:vAlign w:val="center"/>
          </w:tcPr>
          <w:p>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w:t>
            </w:r>
          </w:p>
        </w:tc>
        <w:tc>
          <w:tcPr>
            <w:tcW w:w="83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7" w:hRule="atLeast"/>
          <w:jc w:val="center"/>
        </w:trPr>
        <w:tc>
          <w:tcPr>
            <w:tcW w:w="83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384"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上海交通大学</w:t>
            </w: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临床医学</w:t>
            </w:r>
          </w:p>
        </w:tc>
        <w:tc>
          <w:tcPr>
            <w:tcW w:w="940" w:type="dxa"/>
            <w:tcBorders>
              <w:top w:val="nil"/>
              <w:left w:val="nil"/>
              <w:bottom w:val="single" w:color="auto" w:sz="4" w:space="0"/>
              <w:right w:val="single" w:color="auto" w:sz="4" w:space="0"/>
            </w:tcBorders>
            <w:noWrap/>
            <w:vAlign w:val="center"/>
          </w:tcPr>
          <w:p>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9</w:t>
            </w:r>
          </w:p>
        </w:tc>
        <w:tc>
          <w:tcPr>
            <w:tcW w:w="83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14</w:t>
            </w:r>
          </w:p>
        </w:tc>
      </w:tr>
      <w:tr>
        <w:tblPrEx>
          <w:tblLayout w:type="fixed"/>
          <w:tblCellMar>
            <w:top w:w="0" w:type="dxa"/>
            <w:left w:w="108" w:type="dxa"/>
            <w:bottom w:w="0" w:type="dxa"/>
            <w:right w:w="108" w:type="dxa"/>
          </w:tblCellMar>
        </w:tblPrEx>
        <w:trPr>
          <w:trHeight w:val="517" w:hRule="atLeast"/>
          <w:jc w:val="center"/>
        </w:trPr>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口腔医学</w:t>
            </w:r>
          </w:p>
        </w:tc>
        <w:tc>
          <w:tcPr>
            <w:tcW w:w="940" w:type="dxa"/>
            <w:tcBorders>
              <w:top w:val="nil"/>
              <w:left w:val="nil"/>
              <w:bottom w:val="single" w:color="auto" w:sz="4" w:space="0"/>
              <w:right w:val="single" w:color="auto" w:sz="4" w:space="0"/>
            </w:tcBorders>
            <w:noWrap/>
            <w:vAlign w:val="center"/>
          </w:tcPr>
          <w:p>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w:t>
            </w:r>
          </w:p>
        </w:tc>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7" w:hRule="atLeast"/>
          <w:jc w:val="center"/>
        </w:trPr>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护理学</w:t>
            </w:r>
          </w:p>
        </w:tc>
        <w:tc>
          <w:tcPr>
            <w:tcW w:w="94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w:t>
            </w:r>
          </w:p>
        </w:tc>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7" w:hRule="atLeast"/>
          <w:jc w:val="center"/>
        </w:trPr>
        <w:tc>
          <w:tcPr>
            <w:tcW w:w="83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384"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同济大学</w:t>
            </w: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临床医学</w:t>
            </w:r>
          </w:p>
        </w:tc>
        <w:tc>
          <w:tcPr>
            <w:tcW w:w="940" w:type="dxa"/>
            <w:tcBorders>
              <w:top w:val="nil"/>
              <w:left w:val="nil"/>
              <w:bottom w:val="single" w:color="auto" w:sz="4" w:space="0"/>
              <w:right w:val="single" w:color="auto" w:sz="4" w:space="0"/>
            </w:tcBorders>
            <w:noWrap/>
            <w:vAlign w:val="center"/>
          </w:tcPr>
          <w:p>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83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12</w:t>
            </w:r>
          </w:p>
        </w:tc>
      </w:tr>
      <w:tr>
        <w:tblPrEx>
          <w:tblLayout w:type="fixed"/>
          <w:tblCellMar>
            <w:top w:w="0" w:type="dxa"/>
            <w:left w:w="108" w:type="dxa"/>
            <w:bottom w:w="0" w:type="dxa"/>
            <w:right w:w="108" w:type="dxa"/>
          </w:tblCellMar>
        </w:tblPrEx>
        <w:trPr>
          <w:trHeight w:val="517" w:hRule="atLeast"/>
          <w:jc w:val="center"/>
        </w:trPr>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口腔医学</w:t>
            </w:r>
          </w:p>
        </w:tc>
        <w:tc>
          <w:tcPr>
            <w:tcW w:w="94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w:t>
            </w:r>
          </w:p>
        </w:tc>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7" w:hRule="atLeast"/>
          <w:jc w:val="center"/>
        </w:trPr>
        <w:tc>
          <w:tcPr>
            <w:tcW w:w="83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2384"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中山大学</w:t>
            </w: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临床医学</w:t>
            </w:r>
          </w:p>
        </w:tc>
        <w:tc>
          <w:tcPr>
            <w:tcW w:w="940" w:type="dxa"/>
            <w:tcBorders>
              <w:top w:val="nil"/>
              <w:left w:val="nil"/>
              <w:bottom w:val="single" w:color="auto" w:sz="4" w:space="0"/>
              <w:right w:val="single" w:color="auto" w:sz="4" w:space="0"/>
            </w:tcBorders>
            <w:noWrap/>
            <w:vAlign w:val="center"/>
          </w:tcPr>
          <w:p>
            <w:pPr>
              <w:widowControl/>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15</w:t>
            </w:r>
          </w:p>
        </w:tc>
        <w:tc>
          <w:tcPr>
            <w:tcW w:w="836"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rPr>
              <w:t>2</w:t>
            </w:r>
            <w:r>
              <w:rPr>
                <w:rFonts w:hint="eastAsia" w:ascii="宋体" w:hAnsi="宋体" w:cs="宋体"/>
                <w:kern w:val="0"/>
                <w:sz w:val="24"/>
                <w:lang w:val="en-US" w:eastAsia="zh-CN"/>
              </w:rPr>
              <w:t>4</w:t>
            </w:r>
          </w:p>
        </w:tc>
      </w:tr>
      <w:tr>
        <w:tblPrEx>
          <w:tblLayout w:type="fixed"/>
          <w:tblCellMar>
            <w:top w:w="0" w:type="dxa"/>
            <w:left w:w="108" w:type="dxa"/>
            <w:bottom w:w="0" w:type="dxa"/>
            <w:right w:w="108" w:type="dxa"/>
          </w:tblCellMar>
        </w:tblPrEx>
        <w:trPr>
          <w:trHeight w:val="517" w:hRule="atLeast"/>
          <w:jc w:val="center"/>
        </w:trPr>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口腔医学</w:t>
            </w:r>
          </w:p>
        </w:tc>
        <w:tc>
          <w:tcPr>
            <w:tcW w:w="94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p>
        </w:tc>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7" w:hRule="atLeast"/>
          <w:jc w:val="center"/>
        </w:trPr>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公共卫生与预防医学</w:t>
            </w:r>
          </w:p>
        </w:tc>
        <w:tc>
          <w:tcPr>
            <w:tcW w:w="94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w:t>
            </w:r>
          </w:p>
        </w:tc>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7" w:hRule="atLeast"/>
          <w:jc w:val="center"/>
        </w:trPr>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药学</w:t>
            </w:r>
          </w:p>
        </w:tc>
        <w:tc>
          <w:tcPr>
            <w:tcW w:w="94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w:t>
            </w:r>
          </w:p>
        </w:tc>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17" w:hRule="atLeast"/>
          <w:jc w:val="center"/>
        </w:trPr>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医学技术</w:t>
            </w:r>
          </w:p>
        </w:tc>
        <w:tc>
          <w:tcPr>
            <w:tcW w:w="94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p>
        </w:tc>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32" w:hRule="atLeast"/>
          <w:jc w:val="center"/>
        </w:trPr>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238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4"/>
              </w:rPr>
            </w:pPr>
          </w:p>
        </w:tc>
        <w:tc>
          <w:tcPr>
            <w:tcW w:w="354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护理学</w:t>
            </w:r>
          </w:p>
        </w:tc>
        <w:tc>
          <w:tcPr>
            <w:tcW w:w="94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p>
        </w:tc>
        <w:tc>
          <w:tcPr>
            <w:tcW w:w="8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bl>
    <w:p>
      <w:pPr>
        <w:overflowPunct w:val="0"/>
        <w:topLinePunct/>
        <w:spacing w:line="560" w:lineRule="exact"/>
        <w:rPr>
          <w:rFonts w:hint="eastAsia" w:ascii="仿宋_GB2312" w:hAnsi="Times New Roman" w:eastAsia="仿宋_GB2312"/>
          <w:sz w:val="32"/>
          <w:szCs w:val="32"/>
          <w:lang w:eastAsia="zh-CN"/>
        </w:rPr>
      </w:pPr>
      <w:r>
        <w:rPr>
          <w:rFonts w:hint="eastAsia" w:ascii="方正仿宋_GBK" w:hAnsi="方正仿宋_GBK" w:eastAsia="方正仿宋_GBK" w:cs="方正仿宋_GBK"/>
          <w:sz w:val="32"/>
          <w:szCs w:val="32"/>
          <w:lang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20" w:lineRule="atLeast"/>
        <w:ind w:left="0" w:right="0"/>
        <w:textAlignment w:val="baseline"/>
        <w:rPr>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line="20" w:lineRule="atLeast"/>
        <w:ind w:left="0" w:right="0"/>
        <w:textAlignment w:val="baseline"/>
        <w:rPr>
          <w:sz w:val="32"/>
          <w:szCs w:val="32"/>
        </w:rPr>
      </w:pPr>
    </w:p>
    <w:p>
      <w:pPr>
        <w:pStyle w:val="3"/>
        <w:keepNext w:val="0"/>
        <w:keepLines w:val="0"/>
        <w:pageBreakBefore w:val="0"/>
        <w:widowControl w:val="0"/>
        <w:kinsoku/>
        <w:wordWrap/>
        <w:overflowPunct/>
        <w:topLinePunct w:val="0"/>
        <w:autoSpaceDE/>
        <w:autoSpaceDN/>
        <w:bidi w:val="0"/>
        <w:adjustRightInd/>
        <w:snapToGrid/>
        <w:spacing w:line="520" w:lineRule="exact"/>
        <w:ind w:right="-170"/>
        <w:jc w:val="lef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附件2</w:t>
      </w:r>
    </w:p>
    <w:p>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i w:val="0"/>
          <w:caps w:val="0"/>
          <w:color w:val="000000"/>
          <w:spacing w:val="0"/>
          <w:sz w:val="36"/>
          <w:szCs w:val="36"/>
          <w:u w:val="none"/>
          <w:shd w:val="clear" w:fill="FFFFFF"/>
          <w:vertAlign w:val="baseline"/>
        </w:rPr>
        <w:fldChar w:fldCharType="begin"/>
      </w:r>
      <w:r>
        <w:rPr>
          <w:rFonts w:hint="eastAsia" w:ascii="方正小标宋_GBK" w:hAnsi="方正小标宋_GBK" w:eastAsia="方正小标宋_GBK" w:cs="方正小标宋_GBK"/>
          <w:i w:val="0"/>
          <w:caps w:val="0"/>
          <w:color w:val="000000"/>
          <w:spacing w:val="0"/>
          <w:sz w:val="36"/>
          <w:szCs w:val="36"/>
          <w:u w:val="none"/>
          <w:shd w:val="clear" w:fill="FFFFFF"/>
          <w:vertAlign w:val="baseline"/>
        </w:rPr>
        <w:instrText xml:space="preserve"> HYPERLINK "http://www.kashi.gov.cn/ksdqxzgs/uploads/20211014192731ygaiu3on23k.doc" </w:instrText>
      </w:r>
      <w:r>
        <w:rPr>
          <w:rFonts w:hint="eastAsia" w:ascii="方正小标宋_GBK" w:hAnsi="方正小标宋_GBK" w:eastAsia="方正小标宋_GBK" w:cs="方正小标宋_GBK"/>
          <w:i w:val="0"/>
          <w:caps w:val="0"/>
          <w:color w:val="000000"/>
          <w:spacing w:val="0"/>
          <w:sz w:val="36"/>
          <w:szCs w:val="36"/>
          <w:u w:val="none"/>
          <w:shd w:val="clear" w:fill="FFFFFF"/>
          <w:vertAlign w:val="baseline"/>
        </w:rPr>
        <w:fldChar w:fldCharType="separate"/>
      </w:r>
      <w:r>
        <w:rPr>
          <w:rStyle w:val="8"/>
          <w:rFonts w:hint="eastAsia" w:ascii="方正小标宋_GBK" w:hAnsi="方正小标宋_GBK" w:eastAsia="方正小标宋_GBK" w:cs="方正小标宋_GBK"/>
          <w:i w:val="0"/>
          <w:caps w:val="0"/>
          <w:color w:val="000000"/>
          <w:spacing w:val="0"/>
          <w:sz w:val="36"/>
          <w:szCs w:val="36"/>
          <w:u w:val="none"/>
          <w:shd w:val="clear" w:fill="FFFFFF"/>
          <w:vertAlign w:val="baseline"/>
        </w:rPr>
        <w:t>定向新疆喀什地区医学硕士专项计划报考人员推荐表</w:t>
      </w:r>
      <w:r>
        <w:rPr>
          <w:rFonts w:hint="eastAsia" w:ascii="方正小标宋_GBK" w:hAnsi="方正小标宋_GBK" w:eastAsia="方正小标宋_GBK" w:cs="方正小标宋_GBK"/>
          <w:i w:val="0"/>
          <w:caps w:val="0"/>
          <w:color w:val="000000"/>
          <w:spacing w:val="0"/>
          <w:sz w:val="36"/>
          <w:szCs w:val="36"/>
          <w:u w:val="none"/>
          <w:shd w:val="clear" w:fill="FFFFFF"/>
          <w:vertAlign w:val="baseline"/>
        </w:rPr>
        <w:fldChar w:fldCharType="end"/>
      </w:r>
    </w:p>
    <w:p>
      <w:pPr>
        <w:spacing w:line="5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黑体" w:eastAsia="方正小标宋简体" w:cs="宋体"/>
          <w:kern w:val="0"/>
          <w:sz w:val="36"/>
          <w:szCs w:val="36"/>
          <w:lang w:val="en-US" w:eastAsia="zh-CN"/>
        </w:rPr>
        <w:t xml:space="preserve"> </w:t>
      </w:r>
    </w:p>
    <w:tbl>
      <w:tblPr>
        <w:tblStyle w:val="6"/>
        <w:tblW w:w="9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312"/>
        <w:gridCol w:w="1662"/>
        <w:gridCol w:w="1294"/>
        <w:gridCol w:w="1294"/>
        <w:gridCol w:w="1295"/>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性别</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民族</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55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2寸正面彩色近照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出生年月</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籍贯</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出生地</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5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学历</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295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毕业院校及专业</w:t>
            </w:r>
          </w:p>
        </w:tc>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5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295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授予单位及时间</w:t>
            </w:r>
          </w:p>
        </w:tc>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5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从事专业</w:t>
            </w:r>
          </w:p>
        </w:tc>
        <w:tc>
          <w:tcPr>
            <w:tcW w:w="2974"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专业技术职务</w:t>
            </w:r>
          </w:p>
        </w:tc>
        <w:tc>
          <w:tcPr>
            <w:tcW w:w="414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82"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工作单位及职务</w:t>
            </w:r>
          </w:p>
        </w:tc>
        <w:tc>
          <w:tcPr>
            <w:tcW w:w="544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通讯地址</w:t>
            </w:r>
          </w:p>
        </w:tc>
        <w:tc>
          <w:tcPr>
            <w:tcW w:w="425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手机</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电子邮件</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报考院校</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（限1个）</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9" w:hRule="atLeast"/>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学习工作简历</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8"/>
                <w:szCs w:val="28"/>
              </w:rPr>
              <w:t>参加定向培养的意愿（应届毕业生及异地在职人员应同时说明本人或亲属是否曾经在新疆工作，是否有长期在喀什工作意愿等内容）</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1" w:hRule="atLeast"/>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本人所在单位意见（应届高校毕业生由所在高校就业部门填写意见）</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7" w:hRule="atLeast"/>
          <w:jc w:val="center"/>
        </w:trPr>
        <w:tc>
          <w:tcPr>
            <w:tcW w:w="222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喀什地区初审</w:t>
            </w:r>
          </w:p>
          <w:p>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意见</w:t>
            </w:r>
          </w:p>
        </w:tc>
        <w:tc>
          <w:tcPr>
            <w:tcW w:w="710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方正仿宋_GBK" w:hAnsi="方正仿宋_GBK" w:eastAsia="方正仿宋_GBK" w:cs="方正仿宋_GBK"/>
                <w:sz w:val="28"/>
                <w:szCs w:val="28"/>
              </w:rPr>
            </w:pPr>
          </w:p>
          <w:p>
            <w:pPr>
              <w:spacing w:line="500" w:lineRule="exact"/>
              <w:rPr>
                <w:rFonts w:hint="eastAsia" w:ascii="方正仿宋_GBK" w:hAnsi="方正仿宋_GBK" w:eastAsia="方正仿宋_GBK" w:cs="方正仿宋_GBK"/>
                <w:sz w:val="28"/>
                <w:szCs w:val="28"/>
              </w:rPr>
            </w:pPr>
          </w:p>
          <w:p>
            <w:pPr>
              <w:spacing w:line="500" w:lineRule="exact"/>
              <w:rPr>
                <w:rFonts w:hint="eastAsia" w:ascii="方正仿宋_GBK" w:hAnsi="方正仿宋_GBK" w:eastAsia="方正仿宋_GBK" w:cs="方正仿宋_GBK"/>
                <w:spacing w:val="-20"/>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pacing w:val="-20"/>
                <w:sz w:val="28"/>
                <w:szCs w:val="28"/>
              </w:rPr>
              <w:t>新疆喀什地区医学硕士专项工作领导小组办公室</w:t>
            </w:r>
          </w:p>
          <w:p>
            <w:pPr>
              <w:spacing w:line="500" w:lineRule="exact"/>
              <w:rPr>
                <w:rFonts w:hint="eastAsia" w:ascii="方正仿宋_GBK" w:hAnsi="方正仿宋_GBK" w:eastAsia="方正仿宋_GBK" w:cs="方正仿宋_GBK"/>
                <w:spacing w:val="-20"/>
                <w:sz w:val="28"/>
                <w:szCs w:val="28"/>
              </w:rPr>
            </w:pPr>
            <w:r>
              <w:rPr>
                <w:rFonts w:hint="eastAsia" w:ascii="方正仿宋_GBK" w:hAnsi="方正仿宋_GBK" w:eastAsia="方正仿宋_GBK" w:cs="方正仿宋_GBK"/>
                <w:spacing w:val="-20"/>
                <w:sz w:val="28"/>
                <w:szCs w:val="28"/>
              </w:rPr>
              <w:t xml:space="preserve">                          （</w:t>
            </w:r>
            <w:r>
              <w:rPr>
                <w:rFonts w:hint="eastAsia" w:ascii="方正仿宋_GBK" w:hAnsi="方正仿宋_GBK" w:eastAsia="方正仿宋_GBK" w:cs="方正仿宋_GBK"/>
                <w:spacing w:val="-20"/>
                <w:sz w:val="28"/>
                <w:szCs w:val="28"/>
                <w:lang w:val="en-US" w:eastAsia="zh-CN"/>
              </w:rPr>
              <w:t>喀什地区卫生健康委员会</w:t>
            </w:r>
            <w:r>
              <w:rPr>
                <w:rFonts w:hint="eastAsia" w:ascii="方正仿宋_GBK" w:hAnsi="方正仿宋_GBK" w:eastAsia="方正仿宋_GBK" w:cs="方正仿宋_GBK"/>
                <w:spacing w:val="-20"/>
                <w:sz w:val="28"/>
                <w:szCs w:val="28"/>
              </w:rPr>
              <w:t>代章）</w:t>
            </w:r>
          </w:p>
          <w:p>
            <w:pPr>
              <w:spacing w:line="500" w:lineRule="exact"/>
              <w:rPr>
                <w:rFonts w:hint="eastAsia" w:ascii="方正仿宋_GBK" w:hAnsi="方正仿宋_GBK" w:eastAsia="方正仿宋_GBK" w:cs="方正仿宋_GBK"/>
                <w:spacing w:val="-20"/>
                <w:sz w:val="28"/>
                <w:szCs w:val="28"/>
              </w:rPr>
            </w:pPr>
            <w:r>
              <w:rPr>
                <w:rFonts w:hint="eastAsia" w:ascii="方正仿宋_GBK" w:hAnsi="方正仿宋_GBK" w:eastAsia="方正仿宋_GBK" w:cs="方正仿宋_GBK"/>
                <w:spacing w:val="-20"/>
                <w:sz w:val="28"/>
                <w:szCs w:val="28"/>
              </w:rPr>
              <w:t xml:space="preserve">                              年        月       日</w:t>
            </w:r>
          </w:p>
        </w:tc>
      </w:tr>
    </w:tbl>
    <w:p>
      <w:pPr>
        <w:snapToGrid w:val="0"/>
        <w:rPr>
          <w:rFonts w:hint="eastAsia" w:ascii="方正仿宋_GBK" w:hAnsi="方正仿宋_GBK" w:eastAsia="方正仿宋_GBK" w:cs="方正仿宋_GBK"/>
          <w:b w:val="0"/>
          <w:bCs/>
          <w:spacing w:val="6"/>
          <w:w w:val="100"/>
          <w:sz w:val="32"/>
          <w:szCs w:val="32"/>
          <w:lang w:eastAsia="zh-CN"/>
        </w:rPr>
      </w:pPr>
      <w:r>
        <w:rPr>
          <w:rFonts w:hint="eastAsia" w:ascii="方正仿宋_GBK" w:hAnsi="方正仿宋_GBK" w:eastAsia="方正仿宋_GBK" w:cs="方正仿宋_GBK"/>
          <w:b w:val="0"/>
          <w:bCs/>
          <w:spacing w:val="6"/>
          <w:w w:val="100"/>
          <w:sz w:val="32"/>
          <w:szCs w:val="32"/>
        </w:rPr>
        <w:t>附件</w:t>
      </w:r>
      <w:r>
        <w:rPr>
          <w:rFonts w:hint="eastAsia" w:ascii="方正仿宋_GBK" w:hAnsi="方正仿宋_GBK" w:eastAsia="方正仿宋_GBK" w:cs="方正仿宋_GBK"/>
          <w:b w:val="0"/>
          <w:bCs/>
          <w:spacing w:val="6"/>
          <w:w w:val="100"/>
          <w:sz w:val="32"/>
          <w:szCs w:val="32"/>
          <w:lang w:val="en-US" w:eastAsia="zh-CN"/>
        </w:rPr>
        <w:t>3</w:t>
      </w:r>
    </w:p>
    <w:p>
      <w:pPr>
        <w:snapToGrid w:val="0"/>
        <w:spacing w:line="600" w:lineRule="exact"/>
        <w:jc w:val="center"/>
        <w:rPr>
          <w:rFonts w:hint="eastAsia" w:ascii="方正小标宋_GBK" w:hAnsi="方正小标宋_GBK" w:eastAsia="方正小标宋_GBK" w:cs="方正小标宋_GBK"/>
          <w:b w:val="0"/>
          <w:bCs/>
          <w:spacing w:val="-6"/>
          <w:w w:val="100"/>
          <w:sz w:val="36"/>
          <w:szCs w:val="36"/>
        </w:rPr>
      </w:pPr>
      <w:r>
        <w:rPr>
          <w:rFonts w:hint="eastAsia" w:ascii="方正小标宋_GBK" w:hAnsi="方正小标宋_GBK" w:eastAsia="方正小标宋_GBK" w:cs="方正小标宋_GBK"/>
          <w:b w:val="0"/>
          <w:bCs/>
          <w:spacing w:val="-6"/>
          <w:w w:val="100"/>
          <w:sz w:val="36"/>
          <w:szCs w:val="36"/>
        </w:rPr>
        <w:t>202</w:t>
      </w:r>
      <w:r>
        <w:rPr>
          <w:rFonts w:hint="eastAsia" w:ascii="方正小标宋_GBK" w:hAnsi="方正小标宋_GBK" w:eastAsia="方正小标宋_GBK" w:cs="方正小标宋_GBK"/>
          <w:b w:val="0"/>
          <w:bCs/>
          <w:spacing w:val="-6"/>
          <w:w w:val="100"/>
          <w:sz w:val="36"/>
          <w:szCs w:val="36"/>
          <w:lang w:val="en-US" w:eastAsia="zh-CN"/>
        </w:rPr>
        <w:t>4</w:t>
      </w:r>
      <w:r>
        <w:rPr>
          <w:rFonts w:hint="eastAsia" w:ascii="方正小标宋_GBK" w:hAnsi="方正小标宋_GBK" w:eastAsia="方正小标宋_GBK" w:cs="方正小标宋_GBK"/>
          <w:b w:val="0"/>
          <w:bCs/>
          <w:spacing w:val="-6"/>
          <w:w w:val="100"/>
          <w:sz w:val="36"/>
          <w:szCs w:val="36"/>
        </w:rPr>
        <w:t>年少数民族高层次骨干人才计划考生登记表</w:t>
      </w:r>
    </w:p>
    <w:p>
      <w:pPr>
        <w:snapToGrid w:val="0"/>
        <w:spacing w:line="240" w:lineRule="exact"/>
        <w:jc w:val="both"/>
        <w:rPr>
          <w:rFonts w:hint="default" w:ascii="Times New Roman" w:hAnsi="Times New Roman" w:eastAsia="方正小标宋简体" w:cs="Times New Roman"/>
          <w:b/>
          <w:sz w:val="36"/>
          <w:szCs w:val="36"/>
        </w:rPr>
      </w:pPr>
    </w:p>
    <w:tbl>
      <w:tblPr>
        <w:tblStyle w:val="6"/>
        <w:tblW w:w="89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姓　　名</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性　　别</w:t>
            </w: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出生年月</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婚姻状况</w:t>
            </w: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政治面貌</w:t>
            </w:r>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籍　　贯</w:t>
            </w: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民　　族</w:t>
            </w:r>
          </w:p>
        </w:tc>
        <w:tc>
          <w:tcPr>
            <w:tcW w:w="15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111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身份证号</w:t>
            </w:r>
          </w:p>
        </w:tc>
        <w:tc>
          <w:tcPr>
            <w:tcW w:w="29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户口所在地详细地址</w:t>
            </w:r>
          </w:p>
        </w:tc>
        <w:tc>
          <w:tcPr>
            <w:tcW w:w="6828"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w w:val="95"/>
              </w:rPr>
            </w:pPr>
            <w:r>
              <w:rPr>
                <w:rFonts w:hint="eastAsia" w:ascii="方正仿宋_GBK" w:hAnsi="方正仿宋_GBK" w:eastAsia="方正仿宋_GBK" w:cs="方正仿宋_GBK"/>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方正仿宋_GBK" w:hAnsi="方正仿宋_GBK" w:eastAsia="方正仿宋_GBK" w:cs="方正仿宋_GBK"/>
              </w:rPr>
            </w:pPr>
            <w:r>
              <w:rPr>
                <w:rFonts w:hint="eastAsia" w:ascii="方正仿宋_GBK" w:hAnsi="方正仿宋_GBK" w:eastAsia="方正仿宋_GBK" w:cs="方正仿宋_GBK"/>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rPr>
            </w:pPr>
          </w:p>
        </w:tc>
        <w:tc>
          <w:tcPr>
            <w:tcW w:w="75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c>
          <w:tcPr>
            <w:tcW w:w="207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本人联系电话</w:t>
            </w:r>
          </w:p>
        </w:tc>
        <w:tc>
          <w:tcPr>
            <w:tcW w:w="2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毕业学校及专业</w:t>
            </w:r>
          </w:p>
        </w:tc>
        <w:tc>
          <w:tcPr>
            <w:tcW w:w="6828"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150" w:lineRule="atLeast"/>
              <w:jc w:val="center"/>
              <w:rPr>
                <w:rFonts w:hint="eastAsia" w:ascii="方正仿宋_GBK" w:hAnsi="方正仿宋_GBK" w:eastAsia="方正仿宋_GBK" w:cs="方正仿宋_GBK"/>
              </w:rPr>
            </w:pPr>
            <w:r>
              <w:rPr>
                <w:rFonts w:hint="eastAsia" w:ascii="方正仿宋_GBK" w:hAnsi="方正仿宋_GBK" w:eastAsia="方正仿宋_GBK" w:cs="方正仿宋_GBK"/>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16"/>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150" w:lineRule="atLeast"/>
              <w:jc w:val="center"/>
              <w:rPr>
                <w:rFonts w:hint="eastAsia" w:ascii="方正仿宋_GBK" w:hAnsi="方正仿宋_GBK" w:eastAsia="方正仿宋_GBK" w:cs="方正仿宋_GBK"/>
              </w:rPr>
            </w:pPr>
            <w:r>
              <w:rPr>
                <w:rFonts w:hint="eastAsia" w:ascii="方正仿宋_GBK" w:hAnsi="方正仿宋_GBK" w:eastAsia="方正仿宋_GBK" w:cs="方正仿宋_GBK"/>
              </w:rPr>
              <w:t>最后学位</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rPr>
            </w:pPr>
          </w:p>
        </w:tc>
        <w:tc>
          <w:tcPr>
            <w:tcW w:w="2664"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16"/>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最后学历</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报  考  类  型</w:t>
            </w:r>
          </w:p>
        </w:tc>
        <w:tc>
          <w:tcPr>
            <w:tcW w:w="6828"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1489"/>
              </w:tabs>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 xml:space="preserve">博士研究生           </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报考单位</w:t>
            </w:r>
          </w:p>
        </w:tc>
        <w:tc>
          <w:tcPr>
            <w:tcW w:w="266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16"/>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报考专业</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6" w:hRule="atLeast"/>
        </w:trPr>
        <w:tc>
          <w:tcPr>
            <w:tcW w:w="4824" w:type="dxa"/>
            <w:gridSpan w:val="7"/>
            <w:tcBorders>
              <w:top w:val="single" w:color="auto" w:sz="4" w:space="0"/>
              <w:left w:val="single" w:color="auto" w:sz="4" w:space="0"/>
              <w:bottom w:val="single" w:color="auto" w:sz="4" w:space="0"/>
              <w:right w:val="single" w:color="auto" w:sz="4" w:space="0"/>
            </w:tcBorders>
            <w:noWrap w:val="0"/>
            <w:vAlign w:val="top"/>
          </w:tcPr>
          <w:p>
            <w:pPr>
              <w:rPr>
                <w:rFonts w:hint="eastAsia" w:ascii="方正仿宋_GBK" w:hAnsi="方正仿宋_GBK" w:eastAsia="方正仿宋_GBK" w:cs="方正仿宋_GBK"/>
                <w:w w:val="90"/>
                <w:szCs w:val="21"/>
              </w:rPr>
            </w:pPr>
            <w:r>
              <w:rPr>
                <w:rFonts w:hint="eastAsia" w:ascii="方正仿宋_GBK" w:hAnsi="方正仿宋_GBK" w:eastAsia="方正仿宋_GBK" w:cs="方正仿宋_GBK"/>
                <w:w w:val="90"/>
                <w:szCs w:val="21"/>
              </w:rPr>
              <w:t>1．自愿报考本计划、签定定向协议书并严格遵守协议。</w:t>
            </w:r>
          </w:p>
          <w:p>
            <w:pPr>
              <w:rPr>
                <w:rFonts w:hint="eastAsia" w:ascii="方正仿宋_GBK" w:hAnsi="方正仿宋_GBK" w:eastAsia="方正仿宋_GBK" w:cs="方正仿宋_GBK"/>
                <w:w w:val="90"/>
                <w:szCs w:val="21"/>
              </w:rPr>
            </w:pPr>
            <w:r>
              <w:rPr>
                <w:rFonts w:hint="eastAsia" w:ascii="方正仿宋_GBK" w:hAnsi="方正仿宋_GBK" w:eastAsia="方正仿宋_GBK" w:cs="方正仿宋_GBK"/>
                <w:w w:val="90"/>
                <w:szCs w:val="21"/>
              </w:rPr>
              <w:t>2．毕业后，在职考生回本人原工作单位就业；非在职考生回本人生源地省份或内蒙古、广西、贵州、云南、西藏、青海、宁夏、新疆（含兵团）就业。硕士毕业至少服务5年（含5年</w:t>
            </w:r>
            <w:r>
              <w:rPr>
                <w:rFonts w:hint="eastAsia" w:ascii="方正仿宋_GBK" w:hAnsi="方正仿宋_GBK" w:eastAsia="方正仿宋_GBK" w:cs="方正仿宋_GBK"/>
                <w:w w:val="90"/>
                <w:szCs w:val="21"/>
                <w:lang w:eastAsia="zh-CN"/>
              </w:rPr>
              <w:t>，其中内地西藏班、新疆班教师和管理人员为8年</w:t>
            </w:r>
            <w:r>
              <w:rPr>
                <w:rFonts w:hint="eastAsia" w:ascii="方正仿宋_GBK" w:hAnsi="方正仿宋_GBK" w:eastAsia="方正仿宋_GBK" w:cs="方正仿宋_GBK"/>
                <w:w w:val="90"/>
                <w:szCs w:val="21"/>
              </w:rPr>
              <w:t>），博士毕业至少服务8年（含8年）。</w:t>
            </w:r>
          </w:p>
          <w:p>
            <w:pPr>
              <w:rPr>
                <w:rFonts w:hint="eastAsia" w:ascii="方正仿宋_GBK" w:hAnsi="方正仿宋_GBK" w:eastAsia="方正仿宋_GBK" w:cs="方正仿宋_GBK"/>
                <w:w w:val="90"/>
                <w:szCs w:val="21"/>
              </w:rPr>
            </w:pPr>
            <w:r>
              <w:rPr>
                <w:rFonts w:hint="eastAsia" w:ascii="方正仿宋_GBK" w:hAnsi="方正仿宋_GBK" w:eastAsia="方正仿宋_GBK" w:cs="方正仿宋_GBK"/>
                <w:w w:val="90"/>
                <w:szCs w:val="21"/>
              </w:rPr>
              <w:t>3．毕业后，在职考生派遣回原工作单位，非在职考生派遣回定向省份毕业生就业工作主管部门</w:t>
            </w:r>
            <w:r>
              <w:rPr>
                <w:rFonts w:hint="eastAsia" w:ascii="方正仿宋_GBK" w:hAnsi="方正仿宋_GBK" w:eastAsia="方正仿宋_GBK" w:cs="方正仿宋_GBK"/>
                <w:w w:val="90"/>
                <w:szCs w:val="21"/>
                <w:lang w:eastAsia="zh-CN"/>
              </w:rPr>
              <w:t>或定向地区就业单位</w:t>
            </w:r>
            <w:r>
              <w:rPr>
                <w:rFonts w:hint="eastAsia" w:ascii="方正仿宋_GBK" w:hAnsi="方正仿宋_GBK" w:eastAsia="方正仿宋_GBK" w:cs="方正仿宋_GBK"/>
                <w:w w:val="90"/>
                <w:szCs w:val="21"/>
              </w:rPr>
              <w:t xml:space="preserve">。由培养单位将考生毕业证书、学位证书和学生档案，根据定向协议转回原工作单位或定向省份毕业生就业工作主管部门。 </w:t>
            </w:r>
          </w:p>
          <w:p>
            <w:pPr>
              <w:rPr>
                <w:rFonts w:hint="eastAsia" w:ascii="方正仿宋_GBK" w:hAnsi="方正仿宋_GBK" w:eastAsia="方正仿宋_GBK" w:cs="方正仿宋_GBK"/>
                <w:w w:val="90"/>
                <w:szCs w:val="21"/>
              </w:rPr>
            </w:pPr>
            <w:r>
              <w:rPr>
                <w:rFonts w:hint="eastAsia" w:ascii="方正仿宋_GBK" w:hAnsi="方正仿宋_GBK" w:eastAsia="方正仿宋_GBK" w:cs="方正仿宋_GBK"/>
                <w:w w:val="90"/>
                <w:szCs w:val="21"/>
              </w:rPr>
              <w:t>注：考生若同意上述3项内容，可在考生签字栏中签字，经省级教育行政主管部门盖章后确认报考资格。</w:t>
            </w:r>
          </w:p>
          <w:p>
            <w:pPr>
              <w:rPr>
                <w:rFonts w:hint="eastAsia" w:ascii="方正仿宋_GBK" w:hAnsi="方正仿宋_GBK" w:eastAsia="方正仿宋_GBK" w:cs="方正仿宋_GBK"/>
                <w:w w:val="90"/>
                <w:szCs w:val="21"/>
              </w:rPr>
            </w:pPr>
          </w:p>
          <w:p>
            <w:pPr>
              <w:ind w:left="0" w:firstLine="0" w:firstLineChars="0"/>
              <w:rPr>
                <w:rFonts w:hint="eastAsia" w:ascii="方正仿宋_GBK" w:hAnsi="方正仿宋_GBK" w:eastAsia="方正仿宋_GBK" w:cs="方正仿宋_GBK"/>
                <w:w w:val="90"/>
                <w:szCs w:val="21"/>
              </w:rPr>
            </w:pPr>
            <w:r>
              <w:rPr>
                <w:rFonts w:hint="eastAsia" w:ascii="方正仿宋_GBK" w:hAnsi="方正仿宋_GBK" w:eastAsia="方正仿宋_GBK" w:cs="方正仿宋_GBK"/>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仿宋_GBK" w:hAnsi="方正仿宋_GBK" w:eastAsia="方正仿宋_GBK" w:cs="方正仿宋_GBK"/>
              </w:rPr>
            </w:pPr>
          </w:p>
          <w:p>
            <w:pPr>
              <w:rPr>
                <w:rFonts w:hint="eastAsia" w:ascii="方正仿宋_GBK" w:hAnsi="方正仿宋_GBK" w:eastAsia="方正仿宋_GBK" w:cs="方正仿宋_GBK"/>
                <w:spacing w:val="-10"/>
              </w:rPr>
            </w:pPr>
            <w:r>
              <w:rPr>
                <w:rFonts w:hint="eastAsia" w:ascii="方正仿宋_GBK" w:hAnsi="方正仿宋_GBK" w:eastAsia="方正仿宋_GBK" w:cs="方正仿宋_GBK"/>
                <w:spacing w:val="-10"/>
              </w:rPr>
              <w:t>在职考生单位意见：</w:t>
            </w:r>
          </w:p>
          <w:p>
            <w:pPr>
              <w:rPr>
                <w:rFonts w:hint="eastAsia" w:ascii="方正仿宋_GBK" w:hAnsi="方正仿宋_GBK" w:eastAsia="方正仿宋_GBK" w:cs="方正仿宋_GBK"/>
              </w:rPr>
            </w:pPr>
            <w:r>
              <w:rPr>
                <w:rFonts w:hint="eastAsia" w:ascii="方正仿宋_GBK" w:hAnsi="方正仿宋_GBK" w:eastAsia="方正仿宋_GBK" w:cs="方正仿宋_GBK"/>
              </w:rPr>
              <w:t>　　　</w:t>
            </w: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ind w:firstLine="500" w:firstLineChars="250"/>
              <w:rPr>
                <w:rFonts w:hint="eastAsia" w:ascii="方正仿宋_GBK" w:hAnsi="方正仿宋_GBK" w:eastAsia="方正仿宋_GBK" w:cs="方正仿宋_GBK"/>
                <w:sz w:val="20"/>
                <w:szCs w:val="20"/>
              </w:rPr>
            </w:pPr>
          </w:p>
          <w:p>
            <w:pPr>
              <w:ind w:firstLine="500" w:firstLineChars="250"/>
              <w:rPr>
                <w:rFonts w:hint="eastAsia" w:ascii="方正仿宋_GBK" w:hAnsi="方正仿宋_GBK" w:eastAsia="方正仿宋_GBK" w:cs="方正仿宋_GBK"/>
                <w:sz w:val="20"/>
                <w:szCs w:val="20"/>
              </w:rPr>
            </w:pPr>
          </w:p>
          <w:p>
            <w:pPr>
              <w:ind w:firstLine="500" w:firstLineChars="250"/>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jc w:val="both"/>
              <w:rPr>
                <w:rFonts w:hint="eastAsia" w:ascii="方正仿宋_GBK" w:hAnsi="方正仿宋_GBK" w:eastAsia="方正仿宋_GBK" w:cs="方正仿宋_GBK"/>
              </w:rPr>
            </w:pPr>
            <w:r>
              <w:rPr>
                <w:rFonts w:hint="eastAsia" w:ascii="方正仿宋_GBK" w:hAnsi="方正仿宋_GBK" w:eastAsia="方正仿宋_GBK" w:cs="方正仿宋_GBK"/>
              </w:rPr>
              <w:t>（盖章）</w:t>
            </w:r>
          </w:p>
          <w:p>
            <w:pPr>
              <w:ind w:firstLine="500" w:firstLineChars="250"/>
              <w:rPr>
                <w:rFonts w:hint="eastAsia" w:ascii="方正仿宋_GBK" w:hAnsi="方正仿宋_GBK" w:eastAsia="方正仿宋_GBK" w:cs="方正仿宋_GBK"/>
                <w:sz w:val="20"/>
                <w:szCs w:val="20"/>
              </w:rPr>
            </w:pPr>
          </w:p>
          <w:p>
            <w:pPr>
              <w:ind w:firstLine="500" w:firstLineChars="250"/>
              <w:rPr>
                <w:rFonts w:hint="eastAsia" w:ascii="方正仿宋_GBK" w:hAnsi="方正仿宋_GBK" w:eastAsia="方正仿宋_GBK" w:cs="方正仿宋_GBK"/>
                <w:sz w:val="20"/>
                <w:szCs w:val="20"/>
              </w:rPr>
            </w:pPr>
          </w:p>
          <w:p>
            <w:pPr>
              <w:ind w:firstLine="525" w:firstLineChars="250"/>
              <w:rPr>
                <w:rFonts w:hint="eastAsia" w:ascii="方正仿宋_GBK" w:hAnsi="方正仿宋_GBK" w:eastAsia="方正仿宋_GBK" w:cs="方正仿宋_GBK"/>
              </w:rPr>
            </w:pPr>
            <w:r>
              <w:rPr>
                <w:rFonts w:hint="eastAsia" w:ascii="方正仿宋_GBK" w:hAnsi="方正仿宋_GBK" w:eastAsia="方正仿宋_GBK" w:cs="方正仿宋_GBK"/>
              </w:rPr>
              <w:t>年  月  日</w:t>
            </w:r>
          </w:p>
        </w:tc>
        <w:tc>
          <w:tcPr>
            <w:tcW w:w="232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rPr>
            </w:pPr>
            <w:r>
              <w:rPr>
                <w:rFonts w:hint="eastAsia" w:ascii="方正仿宋_GBK" w:hAnsi="方正仿宋_GBK" w:eastAsia="方正仿宋_GBK" w:cs="方正仿宋_GBK"/>
              </w:rPr>
              <w:t>省、自治区、直辖市教育厅（教委）、新疆生产建设兵团教育局意见：　</w:t>
            </w: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rPr>
            </w:pPr>
            <w:r>
              <w:rPr>
                <w:rFonts w:hint="eastAsia" w:ascii="方正仿宋_GBK" w:hAnsi="方正仿宋_GBK" w:eastAsia="方正仿宋_GBK" w:cs="方正仿宋_GBK"/>
              </w:rPr>
              <w:t>　　　</w:t>
            </w: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sz w:val="20"/>
                <w:szCs w:val="20"/>
              </w:rPr>
            </w:pPr>
          </w:p>
          <w:p>
            <w:pPr>
              <w:rPr>
                <w:rFonts w:hint="eastAsia" w:ascii="方正仿宋_GBK" w:hAnsi="方正仿宋_GBK" w:eastAsia="方正仿宋_GBK" w:cs="方正仿宋_GBK"/>
              </w:rPr>
            </w:pPr>
            <w:r>
              <w:rPr>
                <w:rFonts w:hint="eastAsia" w:ascii="方正仿宋_GBK" w:hAnsi="方正仿宋_GBK" w:eastAsia="方正仿宋_GBK" w:cs="方正仿宋_GBK"/>
              </w:rPr>
              <w:t>　　　</w:t>
            </w:r>
          </w:p>
          <w:p>
            <w:pPr>
              <w:jc w:val="both"/>
              <w:rPr>
                <w:rFonts w:hint="eastAsia" w:ascii="方正仿宋_GBK" w:hAnsi="方正仿宋_GBK" w:eastAsia="方正仿宋_GBK" w:cs="方正仿宋_GBK"/>
              </w:rPr>
            </w:pPr>
            <w:r>
              <w:rPr>
                <w:rFonts w:hint="eastAsia" w:ascii="方正仿宋_GBK" w:hAnsi="方正仿宋_GBK" w:eastAsia="方正仿宋_GBK" w:cs="方正仿宋_GBK"/>
              </w:rPr>
              <w:t>（盖章）</w:t>
            </w:r>
          </w:p>
          <w:p>
            <w:pPr>
              <w:ind w:firstLine="400" w:firstLineChars="200"/>
              <w:rPr>
                <w:rFonts w:hint="eastAsia" w:ascii="方正仿宋_GBK" w:hAnsi="方正仿宋_GBK" w:eastAsia="方正仿宋_GBK" w:cs="方正仿宋_GBK"/>
                <w:sz w:val="20"/>
                <w:szCs w:val="20"/>
              </w:rPr>
            </w:pPr>
          </w:p>
          <w:p>
            <w:pPr>
              <w:ind w:firstLine="400" w:firstLineChars="200"/>
              <w:rPr>
                <w:rFonts w:hint="eastAsia" w:ascii="方正仿宋_GBK" w:hAnsi="方正仿宋_GBK" w:eastAsia="方正仿宋_GBK" w:cs="方正仿宋_GBK"/>
                <w:sz w:val="20"/>
                <w:szCs w:val="20"/>
              </w:rPr>
            </w:pPr>
          </w:p>
          <w:p>
            <w:pPr>
              <w:ind w:firstLine="525" w:firstLineChars="250"/>
              <w:rPr>
                <w:rFonts w:hint="eastAsia" w:ascii="方正仿宋_GBK" w:hAnsi="方正仿宋_GBK" w:eastAsia="方正仿宋_GBK" w:cs="方正仿宋_GBK"/>
                <w:szCs w:val="21"/>
              </w:rPr>
            </w:pPr>
            <w:r>
              <w:rPr>
                <w:rFonts w:hint="eastAsia" w:ascii="方正仿宋_GBK" w:hAnsi="方正仿宋_GBK" w:eastAsia="方正仿宋_GBK" w:cs="方正仿宋_GBK"/>
              </w:rPr>
              <w:t>年　月　日</w:t>
            </w:r>
          </w:p>
        </w:tc>
      </w:tr>
    </w:tbl>
    <w:p>
      <w:pPr>
        <w:jc w:val="both"/>
        <w:rPr>
          <w:rFonts w:hint="eastAsia" w:ascii="方正仿宋_GBK" w:hAnsi="方正仿宋_GBK" w:eastAsia="方正仿宋_GBK" w:cs="方正仿宋_GBK"/>
          <w:spacing w:val="6"/>
        </w:rPr>
      </w:pPr>
      <w:r>
        <w:rPr>
          <w:rFonts w:hint="eastAsia" w:ascii="方正仿宋_GBK" w:hAnsi="方正仿宋_GBK" w:eastAsia="方正仿宋_GBK" w:cs="方正仿宋_GBK"/>
        </w:rPr>
        <w:t>注：</w:t>
      </w:r>
      <w:r>
        <w:rPr>
          <w:rFonts w:hint="eastAsia" w:ascii="方正仿宋_GBK" w:hAnsi="方正仿宋_GBK" w:eastAsia="方正仿宋_GBK" w:cs="方正仿宋_GBK"/>
          <w:spacing w:val="6"/>
        </w:rPr>
        <w:t>1.本表一式三份，省级教育行政部门、省招办、招生单位各留存一份；</w:t>
      </w:r>
    </w:p>
    <w:p>
      <w:pPr>
        <w:numPr>
          <w:ilvl w:val="0"/>
          <w:numId w:val="1"/>
        </w:numPr>
        <w:ind w:left="444" w:leftChars="0" w:firstLine="0" w:firstLineChars="0"/>
        <w:jc w:val="both"/>
        <w:rPr>
          <w:rFonts w:hint="eastAsia" w:ascii="方正仿宋_GBK" w:hAnsi="方正仿宋_GBK" w:eastAsia="方正仿宋_GBK" w:cs="方正仿宋_GBK"/>
          <w:spacing w:val="6"/>
        </w:rPr>
      </w:pPr>
      <w:r>
        <w:rPr>
          <w:rFonts w:hint="eastAsia" w:ascii="方正仿宋_GBK" w:hAnsi="方正仿宋_GBK" w:eastAsia="方正仿宋_GBK" w:cs="方正仿宋_GBK"/>
          <w:spacing w:val="6"/>
        </w:rPr>
        <w:t>跨省跨地区应届毕业生可用传真方式与生源地省级教育行政部门进行资格确认。</w:t>
      </w:r>
    </w:p>
    <w:p>
      <w:pPr>
        <w:pStyle w:val="3"/>
        <w:spacing w:line="440" w:lineRule="exact"/>
        <w:ind w:right="-17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4</w:t>
      </w:r>
    </w:p>
    <w:p>
      <w:pPr>
        <w:pStyle w:val="3"/>
        <w:keepNext w:val="0"/>
        <w:keepLines w:val="0"/>
        <w:pageBreakBefore w:val="0"/>
        <w:widowControl w:val="0"/>
        <w:kinsoku/>
        <w:wordWrap/>
        <w:overflowPunct/>
        <w:topLinePunct w:val="0"/>
        <w:autoSpaceDE/>
        <w:autoSpaceDN/>
        <w:bidi w:val="0"/>
        <w:adjustRightInd/>
        <w:snapToGrid/>
        <w:spacing w:line="520" w:lineRule="exact"/>
        <w:ind w:right="-170"/>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少数民族高层次骨干人才计划定向新疆喀什地区</w:t>
      </w:r>
    </w:p>
    <w:p>
      <w:pPr>
        <w:pStyle w:val="3"/>
        <w:keepNext w:val="0"/>
        <w:keepLines w:val="0"/>
        <w:pageBreakBefore w:val="0"/>
        <w:widowControl w:val="0"/>
        <w:kinsoku/>
        <w:wordWrap/>
        <w:overflowPunct/>
        <w:topLinePunct w:val="0"/>
        <w:autoSpaceDE/>
        <w:autoSpaceDN/>
        <w:bidi w:val="0"/>
        <w:adjustRightInd/>
        <w:snapToGrid/>
        <w:spacing w:line="520" w:lineRule="exact"/>
        <w:ind w:right="-170"/>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医学硕士专项(在职考生)补充协议书</w:t>
      </w:r>
    </w:p>
    <w:p>
      <w:pPr>
        <w:pStyle w:val="3"/>
        <w:keepNext w:val="0"/>
        <w:keepLines w:val="0"/>
        <w:pageBreakBefore w:val="0"/>
        <w:widowControl w:val="0"/>
        <w:kinsoku/>
        <w:wordWrap/>
        <w:overflowPunct/>
        <w:topLinePunct w:val="0"/>
        <w:autoSpaceDE/>
        <w:autoSpaceDN/>
        <w:bidi w:val="0"/>
        <w:snapToGrid/>
        <w:spacing w:line="520" w:lineRule="exact"/>
        <w:ind w:right="-170"/>
        <w:jc w:val="center"/>
        <w:textAlignment w:val="auto"/>
        <w:rPr>
          <w:rFonts w:ascii="黑体" w:hAnsi="宋体" w:eastAsia="黑体"/>
          <w:b/>
          <w:sz w:val="44"/>
          <w:szCs w:val="44"/>
        </w:rPr>
      </w:pPr>
    </w:p>
    <w:p>
      <w:pPr>
        <w:pStyle w:val="3"/>
        <w:keepNext w:val="0"/>
        <w:keepLines w:val="0"/>
        <w:pageBreakBefore w:val="0"/>
        <w:widowControl w:val="0"/>
        <w:kinsoku/>
        <w:wordWrap/>
        <w:overflowPunct/>
        <w:topLinePunct w:val="0"/>
        <w:autoSpaceDE/>
        <w:autoSpaceDN/>
        <w:bidi w:val="0"/>
        <w:snapToGrid/>
        <w:spacing w:line="520" w:lineRule="exact"/>
        <w:ind w:left="0" w:right="0" w:firstLine="774" w:firstLineChars="242"/>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甲方(定向生本人)：</w:t>
      </w:r>
      <w:r>
        <w:rPr>
          <w:rFonts w:hint="eastAsia" w:ascii="方正仿宋_GBK" w:hAnsi="方正仿宋_GBK" w:eastAsia="方正仿宋_GBK" w:cs="方正仿宋_GBK"/>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left="0" w:right="0" w:firstLine="774" w:firstLineChars="24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乙方(定向单位)：</w:t>
      </w:r>
      <w:r>
        <w:rPr>
          <w:rFonts w:hint="eastAsia" w:ascii="方正仿宋_GBK" w:hAnsi="方正仿宋_GBK" w:eastAsia="方正仿宋_GBK" w:cs="方正仿宋_GBK"/>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left="0" w:right="0" w:firstLine="774" w:firstLineChars="24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丙方(定向单位所在的卫生主管部门)：</w:t>
      </w:r>
      <w:r>
        <w:rPr>
          <w:rFonts w:hint="eastAsia" w:ascii="方正仿宋_GBK" w:hAnsi="方正仿宋_GBK" w:eastAsia="方正仿宋_GBK" w:cs="方正仿宋_GBK"/>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left="0" w:right="0" w:firstLine="774" w:firstLineChars="242"/>
        <w:textAlignment w:val="auto"/>
        <w:rPr>
          <w:rFonts w:hint="eastAsia" w:ascii="方正仿宋_GBK" w:hAnsi="方正仿宋_GBK" w:eastAsia="方正仿宋_GBK" w:cs="方正仿宋_GBK"/>
          <w:sz w:val="32"/>
          <w:szCs w:val="32"/>
        </w:rPr>
      </w:pPr>
    </w:p>
    <w:p>
      <w:pPr>
        <w:pStyle w:val="3"/>
        <w:keepNext w:val="0"/>
        <w:keepLines w:val="0"/>
        <w:pageBreakBefore w:val="0"/>
        <w:widowControl w:val="0"/>
        <w:kinsoku/>
        <w:wordWrap/>
        <w:overflowPunct/>
        <w:topLinePunct w:val="0"/>
        <w:autoSpaceDE/>
        <w:autoSpaceDN/>
        <w:bidi w:val="0"/>
        <w:snapToGrid/>
        <w:spacing w:line="520" w:lineRule="exact"/>
        <w:ind w:left="0" w:right="0" w:firstLine="774" w:firstLineChars="24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lang w:val="en-US" w:eastAsia="zh-CN"/>
        </w:rPr>
        <w:t>教育</w:t>
      </w:r>
      <w:r>
        <w:rPr>
          <w:rFonts w:hint="eastAsia" w:ascii="方正仿宋_GBK" w:hAnsi="方正仿宋_GBK" w:eastAsia="方正仿宋_GBK" w:cs="方正仿宋_GBK"/>
          <w:sz w:val="32"/>
          <w:szCs w:val="32"/>
        </w:rPr>
        <w:t>厅《202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年新疆维吾尔自治区少数民族高层次骨干人才计划报考资格审核确认工作的公告》，就甲方攻读硕士研究生事宜，甲、乙、丙三方经协商达成如下协议：</w:t>
      </w:r>
    </w:p>
    <w:p>
      <w:pPr>
        <w:pStyle w:val="3"/>
        <w:keepNext w:val="0"/>
        <w:keepLines w:val="0"/>
        <w:pageBreakBefore w:val="0"/>
        <w:widowControl w:val="0"/>
        <w:kinsoku/>
        <w:wordWrap/>
        <w:overflowPunct/>
        <w:topLinePunct w:val="0"/>
        <w:autoSpaceDE/>
        <w:autoSpaceDN/>
        <w:bidi w:val="0"/>
        <w:snapToGrid/>
        <w:spacing w:line="520" w:lineRule="exact"/>
        <w:ind w:left="0" w:right="0" w:firstLine="774"/>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一、甲方录取为__________________</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学校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 ____________专业硕士研究生。</w:t>
      </w:r>
    </w:p>
    <w:p>
      <w:pPr>
        <w:pStyle w:val="3"/>
        <w:keepNext w:val="0"/>
        <w:keepLines w:val="0"/>
        <w:pageBreakBefore w:val="0"/>
        <w:widowControl w:val="0"/>
        <w:kinsoku/>
        <w:wordWrap/>
        <w:overflowPunct/>
        <w:topLinePunct w:val="0"/>
        <w:autoSpaceDE/>
        <w:autoSpaceDN/>
        <w:bidi w:val="0"/>
        <w:snapToGrid/>
        <w:spacing w:line="520" w:lineRule="exact"/>
        <w:ind w:left="0" w:right="0" w:firstLine="774"/>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二、如甲方为喀什地区以外疆内各地任职人员，应在签署本协议前，完成调动手续，由喀什地区人社局、卫生健康委等部门参照原所在单位的岗位和职级，确定岗位和职级。</w:t>
      </w:r>
    </w:p>
    <w:p>
      <w:pPr>
        <w:adjustRightIn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三、甲方学习期间，学费和住宿费由乙方解决，主要包含学费、住宿费、每年往返一次交通费（按照乙方差旅费标准执行），预算为每位学员1.5-2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万元/年（三年共计约</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7.5</w:t>
      </w:r>
      <w:r>
        <w:rPr>
          <w:rFonts w:hint="eastAsia" w:ascii="方正仿宋_GBK" w:hAnsi="方正仿宋_GBK" w:eastAsia="方正仿宋_GBK" w:cs="方正仿宋_GBK"/>
          <w:sz w:val="32"/>
          <w:szCs w:val="32"/>
        </w:rPr>
        <w:t>万元，根据各高校的学费标准,实报实销），乙方将为甲方发放工资作为生活补助（全勤奖除外），福利待遇和职务（职称）晋升等原待遇不变，不发放绩效。</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val="en-US" w:eastAsia="zh-CN"/>
        </w:rPr>
        <w:t>甲方在校期间考核结果达不到学校授予毕业证书、学位证书条件或因可归咎于甲方的其他原因(本协议另有明确约定除外)，致使无法按时取得（按时取得是指在本协议约定的学制期限内）毕业资格的，视为甲方违约，乙、丙方有权选择：</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（一）解除本协议，要求甲方立即退还3年研究生</w:t>
      </w:r>
      <w:r>
        <w:rPr>
          <w:rFonts w:hint="eastAsia" w:ascii="方正仿宋_GBK" w:hAnsi="方正仿宋_GBK" w:eastAsia="方正仿宋_GBK" w:cs="方正仿宋_GBK"/>
          <w:sz w:val="32"/>
          <w:szCs w:val="32"/>
          <w:lang w:val="en-GB"/>
        </w:rPr>
        <w:t>教育阶段</w:t>
      </w:r>
      <w:r>
        <w:rPr>
          <w:rFonts w:hint="eastAsia" w:ascii="方正仿宋_GBK" w:hAnsi="方正仿宋_GBK" w:eastAsia="方正仿宋_GBK" w:cs="方正仿宋_GBK"/>
          <w:sz w:val="32"/>
          <w:szCs w:val="32"/>
        </w:rPr>
        <w:t>培养费用和享受的生活补助等经费</w:t>
      </w:r>
      <w:r>
        <w:rPr>
          <w:rFonts w:hint="eastAsia" w:ascii="方正仿宋_GBK" w:hAnsi="方正仿宋_GBK" w:eastAsia="方正仿宋_GBK" w:cs="方正仿宋_GBK"/>
          <w:sz w:val="32"/>
          <w:szCs w:val="32"/>
          <w:lang w:val="en-US" w:eastAsia="zh-CN"/>
        </w:rPr>
        <w:t>，并承担全部所有教育和生活补助费用50%的违约金，同时乙、丙方有权根据本协议的约定追究甲方其他违约责任。</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（二）在学校允许延期毕业的情况下，可以要求甲方尽快取得毕业资格，15日内到丙方报到。</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如丙方选择上述第（二）种方式，甲方承诺超过学制年限的费用由甲方自行承担，甲方</w:t>
      </w:r>
      <w:r>
        <w:rPr>
          <w:rFonts w:hint="eastAsia" w:ascii="方正仿宋_GBK" w:hAnsi="方正仿宋_GBK" w:eastAsia="方正仿宋_GBK" w:cs="方正仿宋_GBK"/>
          <w:sz w:val="32"/>
          <w:szCs w:val="32"/>
        </w:rPr>
        <w:t>每延期1年取得毕业证、学位证，则延长其2年的服务期</w:t>
      </w:r>
      <w:r>
        <w:rPr>
          <w:rFonts w:hint="eastAsia" w:ascii="方正仿宋_GBK" w:hAnsi="方正仿宋_GBK" w:eastAsia="方正仿宋_GBK" w:cs="方正仿宋_GBK"/>
          <w:sz w:val="32"/>
          <w:szCs w:val="32"/>
          <w:lang w:val="en-US" w:eastAsia="zh-CN"/>
        </w:rPr>
        <w:t>。且如甲方未能在允许的延长期限内取得毕业资格，或者出现其他丙方认为不适宜到定向服务单位服务的情形，丙方仍有权选择按本条第（一）种方式处理。</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五、乙方</w:t>
      </w:r>
      <w:r>
        <w:rPr>
          <w:rFonts w:hint="eastAsia" w:ascii="方正仿宋_GBK" w:hAnsi="方正仿宋_GBK" w:eastAsia="方正仿宋_GBK" w:cs="方正仿宋_GBK"/>
          <w:sz w:val="32"/>
          <w:szCs w:val="32"/>
        </w:rPr>
        <w:t>依据《事业单位人事管理条例》，要加强对</w:t>
      </w:r>
      <w:r>
        <w:rPr>
          <w:rFonts w:hint="eastAsia" w:ascii="方正仿宋_GBK" w:hAnsi="方正仿宋_GBK" w:eastAsia="方正仿宋_GBK" w:cs="方正仿宋_GBK"/>
          <w:sz w:val="32"/>
          <w:szCs w:val="32"/>
          <w:lang w:val="en-US" w:eastAsia="zh-CN"/>
        </w:rPr>
        <w:t>甲方教育阶段</w:t>
      </w:r>
      <w:r>
        <w:rPr>
          <w:rFonts w:hint="eastAsia" w:ascii="方正仿宋_GBK" w:hAnsi="方正仿宋_GBK" w:eastAsia="方正仿宋_GBK" w:cs="方正仿宋_GBK"/>
          <w:sz w:val="32"/>
          <w:szCs w:val="32"/>
        </w:rPr>
        <w:t>全过程管理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每年年底向丙方提交对甲方的管理情况。甲方</w:t>
      </w:r>
      <w:r>
        <w:rPr>
          <w:rFonts w:hint="eastAsia" w:ascii="方正仿宋_GBK" w:hAnsi="方正仿宋_GBK" w:eastAsia="方正仿宋_GBK" w:cs="方正仿宋_GBK"/>
          <w:sz w:val="32"/>
          <w:szCs w:val="32"/>
        </w:rPr>
        <w:t>如有1门课程不及格，培养单位需进行约谈提醒，2门及以上课程不及格，年度考核定等为“不合格”，并记入档案。</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如甲方未完全履行5年约定服务期限，从离开岗位之日起，须返还</w:t>
      </w:r>
      <w:r>
        <w:rPr>
          <w:rFonts w:hint="eastAsia" w:ascii="方正仿宋_GBK" w:hAnsi="方正仿宋_GBK" w:eastAsia="方正仿宋_GBK" w:cs="方正仿宋_GBK"/>
          <w:sz w:val="32"/>
          <w:szCs w:val="32"/>
          <w:lang w:val="en-US" w:eastAsia="zh-CN"/>
        </w:rPr>
        <w:t>3年研究生</w:t>
      </w:r>
      <w:r>
        <w:rPr>
          <w:rFonts w:hint="eastAsia" w:ascii="方正仿宋_GBK" w:hAnsi="方正仿宋_GBK" w:eastAsia="方正仿宋_GBK" w:cs="方正仿宋_GBK"/>
          <w:sz w:val="32"/>
          <w:szCs w:val="32"/>
          <w:lang w:val="en-GB"/>
        </w:rPr>
        <w:t>教育阶段</w:t>
      </w:r>
      <w:r>
        <w:rPr>
          <w:rFonts w:hint="eastAsia" w:ascii="方正仿宋_GBK" w:hAnsi="方正仿宋_GBK" w:eastAsia="方正仿宋_GBK" w:cs="方正仿宋_GBK"/>
          <w:sz w:val="32"/>
          <w:szCs w:val="32"/>
        </w:rPr>
        <w:t>培养费用和享受的生活补助等经费，并按每少服务1年向乙方赔付1/5享受培养费用和生活补助等经费总额（不满1年的按1年计算）的违约金。</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rPr>
        <w:t>、服务期内，乙方有权保管甲方的毕业证书、学位证书、医师资格证书、医师执业证书和住院医师规范化培训合格证书等医学教育和执业证件原件。</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GB"/>
        </w:rPr>
        <w:t>协议终止与解除</w:t>
      </w:r>
      <w:r>
        <w:rPr>
          <w:rFonts w:hint="eastAsia" w:ascii="方正仿宋_GBK" w:hAnsi="方正仿宋_GBK" w:eastAsia="方正仿宋_GBK" w:cs="方正仿宋_GBK"/>
          <w:sz w:val="32"/>
          <w:szCs w:val="32"/>
          <w:lang w:val="en-GB" w:eastAsia="zh-CN"/>
        </w:rPr>
        <w:t>。</w:t>
      </w:r>
      <w:r>
        <w:rPr>
          <w:rFonts w:hint="eastAsia" w:ascii="方正仿宋_GBK" w:hAnsi="方正仿宋_GBK" w:eastAsia="方正仿宋_GBK" w:cs="方正仿宋_GBK"/>
          <w:sz w:val="32"/>
          <w:szCs w:val="32"/>
          <w:lang w:val="en-US" w:eastAsia="zh-CN"/>
        </w:rPr>
        <w:t>按照自治区事业单位面向社会公开招聘工作人员体检通用标准要求，体检和考察不合格者均视为违约，乙、丙方有权终止解除协议。</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有下列情形之一的，如甲方提出终止本协议申请，乙、丙方应予同意：</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（一）在校期间，经校方指定的三级甲等医院专家集体诊断，并出具书面诊断书，确因身体原因不能完成学业；</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（二）在服务期内，经省级卫生行政部门指定的三级甲等医院专家集体诊断，并出具书面诊断书，确因身体原因不宜从事医疗卫生职业。</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九、</w:t>
      </w:r>
      <w:r>
        <w:rPr>
          <w:rFonts w:hint="eastAsia" w:ascii="方正仿宋_GBK" w:hAnsi="方正仿宋_GBK" w:eastAsia="方正仿宋_GBK" w:cs="方正仿宋_GBK"/>
          <w:sz w:val="32"/>
          <w:szCs w:val="32"/>
        </w:rPr>
        <w:t>本协议一式四份，经甲、乙、丙三方签字并签章后，自</w:t>
      </w:r>
      <w:r>
        <w:rPr>
          <w:rFonts w:hint="eastAsia" w:ascii="方正仿宋_GBK" w:hAnsi="方正仿宋_GBK" w:eastAsia="方正仿宋_GBK" w:cs="方正仿宋_GBK"/>
          <w:sz w:val="32"/>
          <w:szCs w:val="32"/>
          <w:lang w:val="en-US" w:eastAsia="zh-CN"/>
        </w:rPr>
        <w:t>甲</w:t>
      </w:r>
      <w:r>
        <w:rPr>
          <w:rFonts w:hint="eastAsia" w:ascii="方正仿宋_GBK" w:hAnsi="方正仿宋_GBK" w:eastAsia="方正仿宋_GBK" w:cs="方正仿宋_GBK"/>
          <w:sz w:val="32"/>
          <w:szCs w:val="32"/>
        </w:rPr>
        <w:t>方</w:t>
      </w:r>
      <w:r>
        <w:rPr>
          <w:rFonts w:hint="eastAsia" w:ascii="方正仿宋_GBK" w:hAnsi="方正仿宋_GBK" w:eastAsia="方正仿宋_GBK" w:cs="方正仿宋_GBK"/>
          <w:iCs/>
          <w:sz w:val="32"/>
          <w:szCs w:val="32"/>
        </w:rPr>
        <w:t>取得正式学籍</w:t>
      </w:r>
      <w:r>
        <w:rPr>
          <w:rFonts w:hint="eastAsia" w:ascii="方正仿宋_GBK" w:hAnsi="方正仿宋_GBK" w:eastAsia="方正仿宋_GBK" w:cs="方正仿宋_GBK"/>
          <w:sz w:val="32"/>
          <w:szCs w:val="32"/>
        </w:rPr>
        <w:t>之日起生效。甲、乙、丙三方各持有一份，一份存入甲方个人档案，具有同等法律效力。</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bCs/>
          <w:iCs/>
          <w:sz w:val="32"/>
          <w:szCs w:val="32"/>
        </w:rPr>
      </w:pPr>
      <w:r>
        <w:rPr>
          <w:rFonts w:hint="eastAsia" w:ascii="方正仿宋_GBK" w:hAnsi="方正仿宋_GBK" w:eastAsia="方正仿宋_GBK" w:cs="方正仿宋_GBK"/>
          <w:sz w:val="32"/>
          <w:szCs w:val="32"/>
          <w:lang w:val="en-US" w:eastAsia="zh-CN"/>
        </w:rPr>
        <w:t>十</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iCs/>
          <w:sz w:val="32"/>
          <w:szCs w:val="32"/>
        </w:rPr>
        <w:t>未尽事宜，由甲、乙、丙三方</w:t>
      </w:r>
      <w:r>
        <w:rPr>
          <w:rFonts w:hint="eastAsia" w:ascii="方正仿宋_GBK" w:hAnsi="方正仿宋_GBK" w:eastAsia="方正仿宋_GBK" w:cs="方正仿宋_GBK"/>
          <w:sz w:val="32"/>
          <w:szCs w:val="32"/>
        </w:rPr>
        <w:t>协商解决</w:t>
      </w:r>
      <w:r>
        <w:rPr>
          <w:rFonts w:hint="eastAsia" w:ascii="方正仿宋_GBK" w:hAnsi="方正仿宋_GBK" w:eastAsia="方正仿宋_GBK" w:cs="方正仿宋_GBK"/>
          <w:bCs/>
          <w:iCs/>
          <w:sz w:val="32"/>
          <w:szCs w:val="32"/>
        </w:rPr>
        <w:t>。</w:t>
      </w:r>
    </w:p>
    <w:p>
      <w:pPr>
        <w:pStyle w:val="3"/>
        <w:keepNext w:val="0"/>
        <w:keepLines w:val="0"/>
        <w:pageBreakBefore w:val="0"/>
        <w:widowControl w:val="0"/>
        <w:kinsoku/>
        <w:wordWrap/>
        <w:overflowPunct/>
        <w:topLinePunct w:val="0"/>
        <w:autoSpaceDE/>
        <w:autoSpaceDN/>
        <w:bidi w:val="0"/>
        <w:snapToGrid/>
        <w:spacing w:line="530" w:lineRule="exact"/>
        <w:ind w:left="0" w:right="0"/>
        <w:jc w:val="left"/>
        <w:textAlignment w:val="auto"/>
        <w:rPr>
          <w:rFonts w:hint="eastAsia" w:ascii="方正仿宋_GBK" w:hAnsi="方正仿宋_GBK" w:eastAsia="方正仿宋_GBK" w:cs="方正仿宋_GBK"/>
          <w:sz w:val="32"/>
          <w:szCs w:val="32"/>
        </w:rPr>
      </w:pPr>
    </w:p>
    <w:p>
      <w:pPr>
        <w:pStyle w:val="3"/>
        <w:keepNext w:val="0"/>
        <w:keepLines w:val="0"/>
        <w:pageBreakBefore w:val="0"/>
        <w:widowControl w:val="0"/>
        <w:kinsoku/>
        <w:wordWrap/>
        <w:overflowPunct/>
        <w:topLinePunct w:val="0"/>
        <w:autoSpaceDE/>
        <w:autoSpaceDN/>
        <w:bidi w:val="0"/>
        <w:snapToGrid/>
        <w:spacing w:line="530" w:lineRule="exact"/>
        <w:ind w:left="0"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甲方签字：                  乙方单位公章：</w:t>
      </w:r>
    </w:p>
    <w:p>
      <w:pPr>
        <w:pStyle w:val="3"/>
        <w:keepNext w:val="0"/>
        <w:keepLines w:val="0"/>
        <w:pageBreakBefore w:val="0"/>
        <w:widowControl w:val="0"/>
        <w:kinsoku/>
        <w:wordWrap/>
        <w:overflowPunct/>
        <w:topLinePunct w:val="0"/>
        <w:autoSpaceDE/>
        <w:autoSpaceDN/>
        <w:bidi w:val="0"/>
        <w:snapToGrid/>
        <w:spacing w:line="530" w:lineRule="exact"/>
        <w:ind w:left="5439" w:leftChars="152" w:right="0" w:hanging="5120" w:hangingChars="16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年    月    日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乙方负责人签字： </w:t>
      </w:r>
      <w:r>
        <w:rPr>
          <w:rFonts w:hint="eastAsia" w:ascii="方正仿宋_GBK" w:hAnsi="方正仿宋_GBK" w:eastAsia="方正仿宋_GBK" w:cs="方正仿宋_GBK"/>
          <w:sz w:val="32"/>
          <w:szCs w:val="32"/>
          <w:lang w:val="en-US" w:eastAsia="zh-CN"/>
        </w:rPr>
        <w:t xml:space="preserve">  </w:t>
      </w:r>
    </w:p>
    <w:p>
      <w:pPr>
        <w:pStyle w:val="3"/>
        <w:keepNext w:val="0"/>
        <w:keepLines w:val="0"/>
        <w:pageBreakBefore w:val="0"/>
        <w:widowControl w:val="0"/>
        <w:kinsoku/>
        <w:wordWrap/>
        <w:overflowPunct/>
        <w:topLinePunct w:val="0"/>
        <w:autoSpaceDE/>
        <w:autoSpaceDN/>
        <w:bidi w:val="0"/>
        <w:snapToGrid/>
        <w:spacing w:line="530" w:lineRule="exact"/>
        <w:ind w:left="5427" w:leftChars="2432" w:right="0" w:hanging="320" w:hanging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年    月    日   </w:t>
      </w:r>
    </w:p>
    <w:p>
      <w:pPr>
        <w:pStyle w:val="3"/>
        <w:keepNext w:val="0"/>
        <w:keepLines w:val="0"/>
        <w:pageBreakBefore w:val="0"/>
        <w:widowControl w:val="0"/>
        <w:kinsoku/>
        <w:wordWrap/>
        <w:overflowPunct/>
        <w:topLinePunct w:val="0"/>
        <w:autoSpaceDE/>
        <w:autoSpaceDN/>
        <w:bidi w:val="0"/>
        <w:snapToGrid/>
        <w:spacing w:line="530" w:lineRule="exact"/>
        <w:ind w:left="0" w:right="0" w:hanging="5440" w:hangingChars="17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丙方单位公章：</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丙方负责人签字：</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pPr>
        <w:pStyle w:val="3"/>
        <w:keepNext w:val="0"/>
        <w:keepLines w:val="0"/>
        <w:pageBreakBefore w:val="0"/>
        <w:widowControl w:val="0"/>
        <w:kinsoku/>
        <w:wordWrap/>
        <w:overflowPunct/>
        <w:topLinePunct w:val="0"/>
        <w:autoSpaceDE/>
        <w:autoSpaceDN/>
        <w:bidi w:val="0"/>
        <w:adjustRightInd/>
        <w:snapToGrid/>
        <w:spacing w:line="520" w:lineRule="exact"/>
        <w:ind w:right="-170"/>
        <w:jc w:val="center"/>
        <w:textAlignment w:val="auto"/>
        <w:rPr>
          <w:sz w:val="32"/>
          <w:szCs w:val="32"/>
        </w:rPr>
      </w:pPr>
      <w:r>
        <w:rPr>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line="520" w:lineRule="exact"/>
        <w:ind w:right="-170"/>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少数民族高层次骨干人才计划定向新疆喀什地区</w:t>
      </w:r>
    </w:p>
    <w:p>
      <w:pPr>
        <w:pStyle w:val="3"/>
        <w:keepNext w:val="0"/>
        <w:keepLines w:val="0"/>
        <w:pageBreakBefore w:val="0"/>
        <w:widowControl w:val="0"/>
        <w:kinsoku/>
        <w:wordWrap/>
        <w:overflowPunct/>
        <w:topLinePunct w:val="0"/>
        <w:autoSpaceDE/>
        <w:autoSpaceDN/>
        <w:bidi w:val="0"/>
        <w:adjustRightInd/>
        <w:snapToGrid/>
        <w:spacing w:line="520" w:lineRule="exact"/>
        <w:ind w:right="-170"/>
        <w:jc w:val="center"/>
        <w:textAlignment w:val="auto"/>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rPr>
        <w:t>医学硕士专项(非在职考生)补充协议书</w:t>
      </w:r>
    </w:p>
    <w:p>
      <w:pPr>
        <w:pStyle w:val="3"/>
        <w:keepNext w:val="0"/>
        <w:keepLines w:val="0"/>
        <w:pageBreakBefore w:val="0"/>
        <w:widowControl w:val="0"/>
        <w:kinsoku/>
        <w:wordWrap/>
        <w:overflowPunct/>
        <w:topLinePunct w:val="0"/>
        <w:autoSpaceDE/>
        <w:autoSpaceDN/>
        <w:bidi w:val="0"/>
        <w:snapToGrid/>
        <w:spacing w:line="520" w:lineRule="exact"/>
        <w:ind w:right="-170"/>
        <w:jc w:val="center"/>
        <w:textAlignment w:val="auto"/>
        <w:rPr>
          <w:rFonts w:ascii="黑体" w:hAnsi="宋体" w:eastAsia="黑体"/>
          <w:b/>
          <w:sz w:val="44"/>
          <w:szCs w:val="44"/>
        </w:rPr>
      </w:pPr>
    </w:p>
    <w:p>
      <w:pPr>
        <w:pStyle w:val="3"/>
        <w:keepNext w:val="0"/>
        <w:keepLines w:val="0"/>
        <w:pageBreakBefore w:val="0"/>
        <w:widowControl w:val="0"/>
        <w:kinsoku/>
        <w:wordWrap/>
        <w:overflowPunct/>
        <w:topLinePunct w:val="0"/>
        <w:autoSpaceDE/>
        <w:autoSpaceDN/>
        <w:bidi w:val="0"/>
        <w:snapToGrid/>
        <w:spacing w:line="520" w:lineRule="exact"/>
        <w:ind w:right="-170" w:firstLine="774" w:firstLineChars="242"/>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甲方(定向生本人)：</w:t>
      </w:r>
      <w:r>
        <w:rPr>
          <w:rFonts w:hint="eastAsia" w:ascii="方正仿宋_GBK" w:hAnsi="方正仿宋_GBK" w:eastAsia="方正仿宋_GBK" w:cs="方正仿宋_GBK"/>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right="-170" w:firstLine="774" w:firstLineChars="24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乙方(定向单位)：</w:t>
      </w:r>
      <w:r>
        <w:rPr>
          <w:rFonts w:hint="eastAsia" w:ascii="方正仿宋_GBK" w:hAnsi="方正仿宋_GBK" w:eastAsia="方正仿宋_GBK" w:cs="方正仿宋_GBK"/>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right="-170" w:firstLine="774" w:firstLineChars="24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丙方(定向单位所在的卫生主管部门)：</w:t>
      </w:r>
      <w:r>
        <w:rPr>
          <w:rFonts w:hint="eastAsia" w:ascii="方正仿宋_GBK" w:hAnsi="方正仿宋_GBK" w:eastAsia="方正仿宋_GBK" w:cs="方正仿宋_GBK"/>
          <w:sz w:val="32"/>
          <w:szCs w:val="32"/>
          <w:u w:val="single"/>
        </w:rPr>
        <w:t xml:space="preserve">          </w:t>
      </w:r>
    </w:p>
    <w:p>
      <w:pPr>
        <w:pStyle w:val="3"/>
        <w:keepNext w:val="0"/>
        <w:keepLines w:val="0"/>
        <w:pageBreakBefore w:val="0"/>
        <w:widowControl w:val="0"/>
        <w:kinsoku/>
        <w:wordWrap/>
        <w:overflowPunct/>
        <w:topLinePunct w:val="0"/>
        <w:autoSpaceDE/>
        <w:autoSpaceDN/>
        <w:bidi w:val="0"/>
        <w:snapToGrid/>
        <w:spacing w:line="520" w:lineRule="exact"/>
        <w:ind w:right="-170" w:firstLine="774" w:firstLineChars="242"/>
        <w:textAlignment w:val="auto"/>
        <w:rPr>
          <w:rFonts w:hint="eastAsia" w:ascii="方正仿宋_GBK" w:hAnsi="方正仿宋_GBK" w:eastAsia="方正仿宋_GBK" w:cs="方正仿宋_GBK"/>
          <w:sz w:val="32"/>
          <w:szCs w:val="32"/>
        </w:rPr>
      </w:pPr>
    </w:p>
    <w:p>
      <w:pPr>
        <w:pStyle w:val="3"/>
        <w:keepNext w:val="0"/>
        <w:keepLines w:val="0"/>
        <w:pageBreakBefore w:val="0"/>
        <w:widowControl w:val="0"/>
        <w:kinsoku/>
        <w:wordWrap/>
        <w:overflowPunct/>
        <w:topLinePunct w:val="0"/>
        <w:autoSpaceDE/>
        <w:autoSpaceDN/>
        <w:bidi w:val="0"/>
        <w:snapToGrid/>
        <w:spacing w:line="520" w:lineRule="exact"/>
        <w:ind w:right="-170" w:firstLine="774" w:firstLineChars="24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lang w:val="en-US" w:eastAsia="zh-CN"/>
        </w:rPr>
        <w:t>教育</w:t>
      </w:r>
      <w:r>
        <w:rPr>
          <w:rFonts w:hint="eastAsia" w:ascii="方正仿宋_GBK" w:hAnsi="方正仿宋_GBK" w:eastAsia="方正仿宋_GBK" w:cs="方正仿宋_GBK"/>
          <w:sz w:val="32"/>
          <w:szCs w:val="32"/>
        </w:rPr>
        <w:t>厅《202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年新疆维吾尔自治区少数民族高层次骨干人才计划报考资格审核确认工作的公告》，就甲方攻读硕士研究生事宜，甲、乙、丙三方经协商达成如下协议：</w:t>
      </w:r>
    </w:p>
    <w:p>
      <w:pPr>
        <w:pStyle w:val="3"/>
        <w:keepNext w:val="0"/>
        <w:keepLines w:val="0"/>
        <w:pageBreakBefore w:val="0"/>
        <w:widowControl w:val="0"/>
        <w:kinsoku/>
        <w:wordWrap/>
        <w:overflowPunct/>
        <w:topLinePunct w:val="0"/>
        <w:autoSpaceDE/>
        <w:autoSpaceDN/>
        <w:bidi w:val="0"/>
        <w:snapToGrid/>
        <w:spacing w:line="520" w:lineRule="exact"/>
        <w:ind w:left="0" w:right="0" w:firstLine="774"/>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一、甲方录取为__________________</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学校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 ____________专业硕士研究生。</w:t>
      </w:r>
    </w:p>
    <w:p>
      <w:pPr>
        <w:pStyle w:val="3"/>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二、甲方根据个人意愿和喀什地区用人需求，选择喀什地区医疗卫生单位作为定向单位（乙方）。</w:t>
      </w:r>
    </w:p>
    <w:p>
      <w:pPr>
        <w:keepNext w:val="0"/>
        <w:keepLines w:val="0"/>
        <w:pageBreakBefore w:val="0"/>
        <w:widowControl w:val="0"/>
        <w:kinsoku/>
        <w:wordWrap/>
        <w:overflowPunct/>
        <w:topLinePunct w:val="0"/>
        <w:autoSpaceDE/>
        <w:autoSpaceDN/>
        <w:bidi w:val="0"/>
        <w:adjustRightInd w:val="0"/>
        <w:snapToGrid/>
        <w:spacing w:line="56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三、甲方学习期间，学费和住宿费由乙方解决，主要包含学费、住宿费、每年往返一次交通费（按照乙方差旅费标准执行），预算为每位学员1.5-2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万元/年（三年共计约</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7.5</w:t>
      </w:r>
      <w:r>
        <w:rPr>
          <w:rFonts w:hint="eastAsia" w:ascii="方正仿宋_GBK" w:hAnsi="方正仿宋_GBK" w:eastAsia="方正仿宋_GBK" w:cs="方正仿宋_GBK"/>
          <w:sz w:val="32"/>
          <w:szCs w:val="32"/>
        </w:rPr>
        <w:t>万元，根据各高校的学费标准,实报实销），同时，乙方为甲方按照事业单位新招聘人员工资标准发放生活补助。</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val="en-US" w:eastAsia="zh-CN"/>
        </w:rPr>
        <w:t>甲方在校期间考核结果达不到学校授予毕业证书、学位证书条件或因可归咎于甲方的其他原因(本协议另有明确约定除外)，致使无法按时取得（按时取得是指在本协议约定的学制期限内）毕业资格的，视为甲方违约，乙、丙方有权选择：</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（一）解除本协议，要求甲方立即退还3年研究生</w:t>
      </w:r>
      <w:r>
        <w:rPr>
          <w:rFonts w:hint="eastAsia" w:ascii="方正仿宋_GBK" w:hAnsi="方正仿宋_GBK" w:eastAsia="方正仿宋_GBK" w:cs="方正仿宋_GBK"/>
          <w:sz w:val="32"/>
          <w:szCs w:val="32"/>
          <w:lang w:val="en-GB"/>
        </w:rPr>
        <w:t>教育阶段</w:t>
      </w:r>
      <w:r>
        <w:rPr>
          <w:rFonts w:hint="eastAsia" w:ascii="方正仿宋_GBK" w:hAnsi="方正仿宋_GBK" w:eastAsia="方正仿宋_GBK" w:cs="方正仿宋_GBK"/>
          <w:sz w:val="32"/>
          <w:szCs w:val="32"/>
        </w:rPr>
        <w:t>培养费用和享受的生活补助等经费</w:t>
      </w:r>
      <w:r>
        <w:rPr>
          <w:rFonts w:hint="eastAsia" w:ascii="方正仿宋_GBK" w:hAnsi="方正仿宋_GBK" w:eastAsia="方正仿宋_GBK" w:cs="方正仿宋_GBK"/>
          <w:sz w:val="32"/>
          <w:szCs w:val="32"/>
          <w:lang w:val="en-US" w:eastAsia="zh-CN"/>
        </w:rPr>
        <w:t>，并承担全部所有教育和生活补助费用50%的违约金，同时乙、丙方有权根据本协议的约定追究甲方其他违约责任。</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（二）在学校允许延期毕业的情况下，可以要求甲方尽快取得毕业资格，15日内到丙方报到。</w:t>
      </w:r>
    </w:p>
    <w:p>
      <w:pPr>
        <w:keepNext w:val="0"/>
        <w:keepLines w:val="0"/>
        <w:pageBreakBefore w:val="0"/>
        <w:widowControl w:val="0"/>
        <w:kinsoku/>
        <w:wordWrap/>
        <w:overflowPunct/>
        <w:topLinePunct w:val="0"/>
        <w:autoSpaceDE/>
        <w:autoSpaceDN/>
        <w:bidi w:val="0"/>
        <w:snapToGrid/>
        <w:spacing w:line="560" w:lineRule="exact"/>
        <w:ind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如丙方选择上述第（二）种方式，甲方承诺超过学制年限的费用由甲方自行承担，甲方</w:t>
      </w:r>
      <w:r>
        <w:rPr>
          <w:rFonts w:hint="eastAsia" w:ascii="方正仿宋_GBK" w:hAnsi="方正仿宋_GBK" w:eastAsia="方正仿宋_GBK" w:cs="方正仿宋_GBK"/>
          <w:sz w:val="32"/>
          <w:szCs w:val="32"/>
        </w:rPr>
        <w:t>每延期1年取得毕业证、学位证，则延长其2年的服务期</w:t>
      </w:r>
      <w:r>
        <w:rPr>
          <w:rFonts w:hint="eastAsia" w:ascii="方正仿宋_GBK" w:hAnsi="方正仿宋_GBK" w:eastAsia="方正仿宋_GBK" w:cs="方正仿宋_GBK"/>
          <w:sz w:val="32"/>
          <w:szCs w:val="32"/>
          <w:lang w:val="en-US" w:eastAsia="zh-CN"/>
        </w:rPr>
        <w:t>。且如甲方未能在允许的延长期限内取得毕业资格，或者出现其他丙方认为不适宜到定向服务单位服务的情形，丙方仍有权选择按本条第（一）种方式处理。</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五、乙方</w:t>
      </w:r>
      <w:r>
        <w:rPr>
          <w:rFonts w:hint="eastAsia" w:ascii="方正仿宋_GBK" w:hAnsi="方正仿宋_GBK" w:eastAsia="方正仿宋_GBK" w:cs="方正仿宋_GBK"/>
          <w:sz w:val="32"/>
          <w:szCs w:val="32"/>
        </w:rPr>
        <w:t>依据《事业单位人事管理条例》，要加强对</w:t>
      </w:r>
      <w:r>
        <w:rPr>
          <w:rFonts w:hint="eastAsia" w:ascii="方正仿宋_GBK" w:hAnsi="方正仿宋_GBK" w:eastAsia="方正仿宋_GBK" w:cs="方正仿宋_GBK"/>
          <w:sz w:val="32"/>
          <w:szCs w:val="32"/>
          <w:lang w:val="en-US" w:eastAsia="zh-CN"/>
        </w:rPr>
        <w:t>甲方教育阶段</w:t>
      </w:r>
      <w:r>
        <w:rPr>
          <w:rFonts w:hint="eastAsia" w:ascii="方正仿宋_GBK" w:hAnsi="方正仿宋_GBK" w:eastAsia="方正仿宋_GBK" w:cs="方正仿宋_GBK"/>
          <w:sz w:val="32"/>
          <w:szCs w:val="32"/>
        </w:rPr>
        <w:t>全过程管理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每年年底向丙方提交对甲方的管理情况。甲方</w:t>
      </w:r>
      <w:r>
        <w:rPr>
          <w:rFonts w:hint="eastAsia" w:ascii="方正仿宋_GBK" w:hAnsi="方正仿宋_GBK" w:eastAsia="方正仿宋_GBK" w:cs="方正仿宋_GBK"/>
          <w:sz w:val="32"/>
          <w:szCs w:val="32"/>
        </w:rPr>
        <w:t>如有1门课程不及格，培养单位需进行约谈提醒，2门及以上课程不及格，年度考核定等为“不合格”，并记入档案。</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如甲方未完全履行5年约定服务期限，从离开岗位之日起，须返还</w:t>
      </w:r>
      <w:r>
        <w:rPr>
          <w:rFonts w:hint="eastAsia" w:ascii="方正仿宋_GBK" w:hAnsi="方正仿宋_GBK" w:eastAsia="方正仿宋_GBK" w:cs="方正仿宋_GBK"/>
          <w:sz w:val="32"/>
          <w:szCs w:val="32"/>
          <w:lang w:val="en-US" w:eastAsia="zh-CN"/>
        </w:rPr>
        <w:t>3年研究生</w:t>
      </w:r>
      <w:r>
        <w:rPr>
          <w:rFonts w:hint="eastAsia" w:ascii="方正仿宋_GBK" w:hAnsi="方正仿宋_GBK" w:eastAsia="方正仿宋_GBK" w:cs="方正仿宋_GBK"/>
          <w:sz w:val="32"/>
          <w:szCs w:val="32"/>
          <w:lang w:val="en-GB"/>
        </w:rPr>
        <w:t>教育阶段</w:t>
      </w:r>
      <w:r>
        <w:rPr>
          <w:rFonts w:hint="eastAsia" w:ascii="方正仿宋_GBK" w:hAnsi="方正仿宋_GBK" w:eastAsia="方正仿宋_GBK" w:cs="方正仿宋_GBK"/>
          <w:sz w:val="32"/>
          <w:szCs w:val="32"/>
        </w:rPr>
        <w:t>培养费用和享受的生活补助等经费，并按每少服务1年向乙方赔付1/5享受培养费用和生活补助等经费总额（不满1年的按1年计算）的违约金。</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rPr>
        <w:t>、服务期内，乙方有权保管甲方的毕业证书、学位证书、医师资格证书、医师执业证书和住院医师规范化培训合格证书等医学教育和执业证件原件。</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GB"/>
        </w:rPr>
        <w:t>协议终止与解除</w:t>
      </w:r>
      <w:r>
        <w:rPr>
          <w:rFonts w:hint="eastAsia" w:ascii="方正仿宋_GBK" w:hAnsi="方正仿宋_GBK" w:eastAsia="方正仿宋_GBK" w:cs="方正仿宋_GBK"/>
          <w:sz w:val="32"/>
          <w:szCs w:val="32"/>
          <w:lang w:val="en-GB" w:eastAsia="zh-CN"/>
        </w:rPr>
        <w:t>。</w:t>
      </w:r>
      <w:r>
        <w:rPr>
          <w:rFonts w:hint="eastAsia" w:ascii="方正仿宋_GBK" w:hAnsi="方正仿宋_GBK" w:eastAsia="方正仿宋_GBK" w:cs="方正仿宋_GBK"/>
          <w:sz w:val="32"/>
          <w:szCs w:val="32"/>
          <w:lang w:val="en-US" w:eastAsia="zh-CN"/>
        </w:rPr>
        <w:t>按照自治区事业单位面向社会公开招聘工作人员体检通用标准要求，体检和考察不合格者均视为违约，乙、丙方有权终止解除协议。</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有下列情形之一的，如甲方提出终止本协议申请，乙、丙方应予同意：</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（一）在校期间，经校方指定的三级甲等医院专家集体诊断，并出具书面诊断书，确因身体原因不能完成学业；</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（二）在服务期内，经省级卫生行政部门指定的三级甲等医院专家集体诊断，并出具书面诊断书，确因身体原因不宜从事医疗卫生职业。</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九、</w:t>
      </w:r>
      <w:r>
        <w:rPr>
          <w:rFonts w:hint="eastAsia" w:ascii="方正仿宋_GBK" w:hAnsi="方正仿宋_GBK" w:eastAsia="方正仿宋_GBK" w:cs="方正仿宋_GBK"/>
          <w:sz w:val="32"/>
          <w:szCs w:val="32"/>
        </w:rPr>
        <w:t>本协议一式四份，经甲、乙、丙三方签字并签章后，自</w:t>
      </w:r>
      <w:r>
        <w:rPr>
          <w:rFonts w:hint="eastAsia" w:ascii="方正仿宋_GBK" w:hAnsi="方正仿宋_GBK" w:eastAsia="方正仿宋_GBK" w:cs="方正仿宋_GBK"/>
          <w:sz w:val="32"/>
          <w:szCs w:val="32"/>
          <w:lang w:val="en-US" w:eastAsia="zh-CN"/>
        </w:rPr>
        <w:t>甲</w:t>
      </w:r>
      <w:r>
        <w:rPr>
          <w:rFonts w:hint="eastAsia" w:ascii="方正仿宋_GBK" w:hAnsi="方正仿宋_GBK" w:eastAsia="方正仿宋_GBK" w:cs="方正仿宋_GBK"/>
          <w:sz w:val="32"/>
          <w:szCs w:val="32"/>
        </w:rPr>
        <w:t>方</w:t>
      </w:r>
      <w:r>
        <w:rPr>
          <w:rFonts w:hint="eastAsia" w:ascii="方正仿宋_GBK" w:hAnsi="方正仿宋_GBK" w:eastAsia="方正仿宋_GBK" w:cs="方正仿宋_GBK"/>
          <w:iCs/>
          <w:sz w:val="32"/>
          <w:szCs w:val="32"/>
        </w:rPr>
        <w:t>取得正式学籍</w:t>
      </w:r>
      <w:r>
        <w:rPr>
          <w:rFonts w:hint="eastAsia" w:ascii="方正仿宋_GBK" w:hAnsi="方正仿宋_GBK" w:eastAsia="方正仿宋_GBK" w:cs="方正仿宋_GBK"/>
          <w:sz w:val="32"/>
          <w:szCs w:val="32"/>
        </w:rPr>
        <w:t>之日起生效。甲、乙、丙三方各持有一份，一份存入甲方个人档案，具有同等法律效力。</w:t>
      </w:r>
    </w:p>
    <w:p>
      <w:pPr>
        <w:pStyle w:val="3"/>
        <w:keepNext w:val="0"/>
        <w:keepLines w:val="0"/>
        <w:pageBreakBefore w:val="0"/>
        <w:widowControl w:val="0"/>
        <w:kinsoku/>
        <w:wordWrap/>
        <w:overflowPunct/>
        <w:topLinePunct w:val="0"/>
        <w:autoSpaceDE/>
        <w:autoSpaceDN/>
        <w:bidi w:val="0"/>
        <w:snapToGrid/>
        <w:spacing w:line="560" w:lineRule="exact"/>
        <w:ind w:left="0" w:right="0" w:firstLine="774" w:firstLineChars="242"/>
        <w:textAlignment w:val="auto"/>
        <w:rPr>
          <w:rFonts w:hint="eastAsia" w:ascii="方正仿宋_GBK" w:hAnsi="方正仿宋_GBK" w:eastAsia="方正仿宋_GBK" w:cs="方正仿宋_GBK"/>
          <w:bCs/>
          <w:iCs/>
          <w:sz w:val="32"/>
          <w:szCs w:val="32"/>
        </w:rPr>
      </w:pPr>
      <w:r>
        <w:rPr>
          <w:rFonts w:hint="eastAsia" w:ascii="方正仿宋_GBK" w:hAnsi="方正仿宋_GBK" w:eastAsia="方正仿宋_GBK" w:cs="方正仿宋_GBK"/>
          <w:sz w:val="32"/>
          <w:szCs w:val="32"/>
          <w:lang w:val="en-US" w:eastAsia="zh-CN"/>
        </w:rPr>
        <w:t>十</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iCs/>
          <w:sz w:val="32"/>
          <w:szCs w:val="32"/>
        </w:rPr>
        <w:t>未尽事宜，由甲、乙、丙三方</w:t>
      </w:r>
      <w:r>
        <w:rPr>
          <w:rFonts w:hint="eastAsia" w:ascii="方正仿宋_GBK" w:hAnsi="方正仿宋_GBK" w:eastAsia="方正仿宋_GBK" w:cs="方正仿宋_GBK"/>
          <w:sz w:val="32"/>
          <w:szCs w:val="32"/>
        </w:rPr>
        <w:t>协商解决</w:t>
      </w:r>
      <w:r>
        <w:rPr>
          <w:rFonts w:hint="eastAsia" w:ascii="方正仿宋_GBK" w:hAnsi="方正仿宋_GBK" w:eastAsia="方正仿宋_GBK" w:cs="方正仿宋_GBK"/>
          <w:bCs/>
          <w:iCs/>
          <w:sz w:val="32"/>
          <w:szCs w:val="32"/>
        </w:rPr>
        <w:t>。</w:t>
      </w:r>
    </w:p>
    <w:p>
      <w:pPr>
        <w:pStyle w:val="3"/>
        <w:keepNext w:val="0"/>
        <w:keepLines w:val="0"/>
        <w:pageBreakBefore w:val="0"/>
        <w:widowControl w:val="0"/>
        <w:kinsoku/>
        <w:wordWrap/>
        <w:overflowPunct/>
        <w:topLinePunct w:val="0"/>
        <w:autoSpaceDE/>
        <w:autoSpaceDN/>
        <w:bidi w:val="0"/>
        <w:snapToGrid/>
        <w:spacing w:line="530" w:lineRule="exact"/>
        <w:ind w:left="0" w:right="0"/>
        <w:jc w:val="left"/>
        <w:textAlignment w:val="auto"/>
        <w:rPr>
          <w:rFonts w:hint="eastAsia" w:ascii="方正仿宋_GBK" w:hAnsi="方正仿宋_GBK" w:eastAsia="方正仿宋_GBK" w:cs="方正仿宋_GBK"/>
          <w:sz w:val="32"/>
          <w:szCs w:val="32"/>
        </w:rPr>
      </w:pPr>
    </w:p>
    <w:p>
      <w:pPr>
        <w:pStyle w:val="3"/>
        <w:keepNext w:val="0"/>
        <w:keepLines w:val="0"/>
        <w:pageBreakBefore w:val="0"/>
        <w:widowControl w:val="0"/>
        <w:kinsoku/>
        <w:wordWrap/>
        <w:overflowPunct/>
        <w:topLinePunct w:val="0"/>
        <w:autoSpaceDE/>
        <w:autoSpaceDN/>
        <w:bidi w:val="0"/>
        <w:snapToGrid/>
        <w:spacing w:line="530" w:lineRule="exact"/>
        <w:ind w:left="0" w:right="0"/>
        <w:jc w:val="left"/>
        <w:textAlignment w:val="auto"/>
        <w:rPr>
          <w:rFonts w:hint="eastAsia" w:ascii="方正仿宋_GBK" w:hAnsi="方正仿宋_GBK" w:eastAsia="方正仿宋_GBK" w:cs="方正仿宋_GBK"/>
          <w:sz w:val="32"/>
          <w:szCs w:val="32"/>
        </w:rPr>
      </w:pPr>
    </w:p>
    <w:p>
      <w:pPr>
        <w:pStyle w:val="3"/>
        <w:keepNext w:val="0"/>
        <w:keepLines w:val="0"/>
        <w:pageBreakBefore w:val="0"/>
        <w:widowControl w:val="0"/>
        <w:kinsoku/>
        <w:wordWrap/>
        <w:overflowPunct/>
        <w:topLinePunct w:val="0"/>
        <w:autoSpaceDE/>
        <w:autoSpaceDN/>
        <w:bidi w:val="0"/>
        <w:snapToGrid/>
        <w:spacing w:line="530" w:lineRule="exact"/>
        <w:ind w:left="0" w:righ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甲方签字：                  乙方单位公章：</w:t>
      </w:r>
    </w:p>
    <w:p>
      <w:pPr>
        <w:pStyle w:val="3"/>
        <w:keepNext w:val="0"/>
        <w:keepLines w:val="0"/>
        <w:pageBreakBefore w:val="0"/>
        <w:widowControl w:val="0"/>
        <w:kinsoku/>
        <w:wordWrap/>
        <w:overflowPunct/>
        <w:topLinePunct w:val="0"/>
        <w:autoSpaceDE/>
        <w:autoSpaceDN/>
        <w:bidi w:val="0"/>
        <w:snapToGrid/>
        <w:spacing w:line="530" w:lineRule="exact"/>
        <w:ind w:left="5439" w:leftChars="152" w:right="0" w:hanging="5120" w:hangingChars="16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年    月    日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乙方负责人签字： </w:t>
      </w:r>
      <w:r>
        <w:rPr>
          <w:rFonts w:hint="eastAsia" w:ascii="方正仿宋_GBK" w:hAnsi="方正仿宋_GBK" w:eastAsia="方正仿宋_GBK" w:cs="方正仿宋_GBK"/>
          <w:sz w:val="32"/>
          <w:szCs w:val="32"/>
          <w:lang w:val="en-US" w:eastAsia="zh-CN"/>
        </w:rPr>
        <w:t xml:space="preserve">  </w:t>
      </w:r>
    </w:p>
    <w:p>
      <w:pPr>
        <w:pStyle w:val="3"/>
        <w:keepNext w:val="0"/>
        <w:keepLines w:val="0"/>
        <w:pageBreakBefore w:val="0"/>
        <w:widowControl w:val="0"/>
        <w:kinsoku/>
        <w:wordWrap/>
        <w:overflowPunct/>
        <w:topLinePunct w:val="0"/>
        <w:autoSpaceDE/>
        <w:autoSpaceDN/>
        <w:bidi w:val="0"/>
        <w:snapToGrid/>
        <w:spacing w:line="530" w:lineRule="exact"/>
        <w:ind w:left="5427" w:leftChars="2432" w:right="0" w:hanging="320" w:hanging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年    月    日   </w:t>
      </w:r>
    </w:p>
    <w:p>
      <w:pPr>
        <w:pStyle w:val="3"/>
        <w:keepNext w:val="0"/>
        <w:keepLines w:val="0"/>
        <w:pageBreakBefore w:val="0"/>
        <w:widowControl w:val="0"/>
        <w:kinsoku/>
        <w:wordWrap/>
        <w:overflowPunct/>
        <w:topLinePunct w:val="0"/>
        <w:autoSpaceDE/>
        <w:autoSpaceDN/>
        <w:bidi w:val="0"/>
        <w:snapToGrid/>
        <w:spacing w:line="530" w:lineRule="exact"/>
        <w:ind w:left="0" w:right="0" w:hanging="5440" w:hangingChars="17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丙方单位公章：</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丙方负责人签字：</w:t>
      </w:r>
    </w:p>
    <w:p>
      <w:pPr>
        <w:pStyle w:val="3"/>
        <w:keepNext w:val="0"/>
        <w:keepLines w:val="0"/>
        <w:pageBreakBefore w:val="0"/>
        <w:widowControl w:val="0"/>
        <w:kinsoku/>
        <w:wordWrap/>
        <w:overflowPunct/>
        <w:topLinePunct w:val="0"/>
        <w:autoSpaceDE/>
        <w:autoSpaceDN/>
        <w:bidi w:val="0"/>
        <w:snapToGrid/>
        <w:spacing w:line="530" w:lineRule="exact"/>
        <w:ind w:right="0" w:firstLine="2560" w:firstLineChars="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pPr>
        <w:spacing w:line="500" w:lineRule="exact"/>
        <w:jc w:val="both"/>
        <w:rPr>
          <w:rFonts w:hint="eastAsia" w:ascii="方正小标宋_GBK" w:hAnsi="方正小标宋_GBK" w:eastAsia="方正小标宋_GBK" w:cs="方正小标宋_GBK"/>
          <w:i w:val="0"/>
          <w:caps w:val="0"/>
          <w:color w:val="000000"/>
          <w:spacing w:val="0"/>
          <w:sz w:val="36"/>
          <w:szCs w:val="36"/>
          <w:u w:val="none"/>
          <w:shd w:val="clear" w:fill="FFFFFF"/>
          <w:vertAlign w:val="baseline"/>
        </w:rPr>
      </w:pP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40ECB"/>
    <w:multiLevelType w:val="singleLevel"/>
    <w:tmpl w:val="EAC40ECB"/>
    <w:lvl w:ilvl="0" w:tentative="0">
      <w:start w:val="2"/>
      <w:numFmt w:val="decimal"/>
      <w:lvlText w:val="%1."/>
      <w:lvlJc w:val="left"/>
      <w:pPr>
        <w:tabs>
          <w:tab w:val="left" w:pos="312"/>
        </w:tabs>
        <w:ind w:left="444"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4D02"/>
    <w:rsid w:val="01621E70"/>
    <w:rsid w:val="01E5617A"/>
    <w:rsid w:val="02D105AA"/>
    <w:rsid w:val="030757BC"/>
    <w:rsid w:val="038B605A"/>
    <w:rsid w:val="03C37693"/>
    <w:rsid w:val="045D7B8C"/>
    <w:rsid w:val="04B4591D"/>
    <w:rsid w:val="050861F1"/>
    <w:rsid w:val="05A42D49"/>
    <w:rsid w:val="06C21799"/>
    <w:rsid w:val="074F0809"/>
    <w:rsid w:val="076F0756"/>
    <w:rsid w:val="091C3B38"/>
    <w:rsid w:val="094F4490"/>
    <w:rsid w:val="095A378F"/>
    <w:rsid w:val="09663089"/>
    <w:rsid w:val="09DC732D"/>
    <w:rsid w:val="09FA7BCC"/>
    <w:rsid w:val="0A021AE3"/>
    <w:rsid w:val="0A5C3A47"/>
    <w:rsid w:val="0B51272B"/>
    <w:rsid w:val="0C073019"/>
    <w:rsid w:val="0E2156E8"/>
    <w:rsid w:val="0EA136D9"/>
    <w:rsid w:val="10A51321"/>
    <w:rsid w:val="10D06281"/>
    <w:rsid w:val="156B7635"/>
    <w:rsid w:val="17133FA1"/>
    <w:rsid w:val="17B469EA"/>
    <w:rsid w:val="1810648A"/>
    <w:rsid w:val="19995466"/>
    <w:rsid w:val="19E21BD9"/>
    <w:rsid w:val="19F128AE"/>
    <w:rsid w:val="1A5E3737"/>
    <w:rsid w:val="1B5E28BE"/>
    <w:rsid w:val="1B83076C"/>
    <w:rsid w:val="1BEB5BCB"/>
    <w:rsid w:val="1CA25DA2"/>
    <w:rsid w:val="1D5965B9"/>
    <w:rsid w:val="1DBD3ACE"/>
    <w:rsid w:val="1E010AA5"/>
    <w:rsid w:val="22D50375"/>
    <w:rsid w:val="22D711B9"/>
    <w:rsid w:val="232F4848"/>
    <w:rsid w:val="238F79E4"/>
    <w:rsid w:val="25A46FDE"/>
    <w:rsid w:val="26244DC1"/>
    <w:rsid w:val="27AB6BB6"/>
    <w:rsid w:val="294B461F"/>
    <w:rsid w:val="2A5B6C7D"/>
    <w:rsid w:val="2B0F44DB"/>
    <w:rsid w:val="2B8D7D51"/>
    <w:rsid w:val="2B98547B"/>
    <w:rsid w:val="2EDF0492"/>
    <w:rsid w:val="2F130C37"/>
    <w:rsid w:val="2F1A4A60"/>
    <w:rsid w:val="311C2A72"/>
    <w:rsid w:val="33247454"/>
    <w:rsid w:val="332862FD"/>
    <w:rsid w:val="367C65E8"/>
    <w:rsid w:val="36913A14"/>
    <w:rsid w:val="38337D0C"/>
    <w:rsid w:val="39205026"/>
    <w:rsid w:val="3AC90BED"/>
    <w:rsid w:val="3D493528"/>
    <w:rsid w:val="3E0B0EFC"/>
    <w:rsid w:val="3F15600E"/>
    <w:rsid w:val="42B45D25"/>
    <w:rsid w:val="43E7050A"/>
    <w:rsid w:val="43E75217"/>
    <w:rsid w:val="4449588E"/>
    <w:rsid w:val="46BA6A0D"/>
    <w:rsid w:val="473E5A55"/>
    <w:rsid w:val="475052CA"/>
    <w:rsid w:val="47730825"/>
    <w:rsid w:val="49832A57"/>
    <w:rsid w:val="4AF2741F"/>
    <w:rsid w:val="4B595509"/>
    <w:rsid w:val="4BB93D79"/>
    <w:rsid w:val="4C935CB0"/>
    <w:rsid w:val="4FEC1B89"/>
    <w:rsid w:val="510B78E9"/>
    <w:rsid w:val="52E14B88"/>
    <w:rsid w:val="54625FEE"/>
    <w:rsid w:val="551A05EA"/>
    <w:rsid w:val="55F97CFA"/>
    <w:rsid w:val="55FD2E9B"/>
    <w:rsid w:val="5634134A"/>
    <w:rsid w:val="57644050"/>
    <w:rsid w:val="57F85F01"/>
    <w:rsid w:val="582517C6"/>
    <w:rsid w:val="5A664BB0"/>
    <w:rsid w:val="5D176495"/>
    <w:rsid w:val="5DD97B43"/>
    <w:rsid w:val="5EE65BEB"/>
    <w:rsid w:val="5F5303DE"/>
    <w:rsid w:val="60A75A51"/>
    <w:rsid w:val="6288127A"/>
    <w:rsid w:val="62C46114"/>
    <w:rsid w:val="64B01165"/>
    <w:rsid w:val="65A33756"/>
    <w:rsid w:val="66264099"/>
    <w:rsid w:val="66B7767A"/>
    <w:rsid w:val="670246C4"/>
    <w:rsid w:val="679705C4"/>
    <w:rsid w:val="69CF6945"/>
    <w:rsid w:val="6BBA27A1"/>
    <w:rsid w:val="6C0B55CB"/>
    <w:rsid w:val="6C932665"/>
    <w:rsid w:val="6D0D5D6F"/>
    <w:rsid w:val="6D537A2E"/>
    <w:rsid w:val="6EB16FD6"/>
    <w:rsid w:val="6F0B2F74"/>
    <w:rsid w:val="73E0491A"/>
    <w:rsid w:val="73F72D18"/>
    <w:rsid w:val="77AE3B3D"/>
    <w:rsid w:val="794D3612"/>
    <w:rsid w:val="798D6482"/>
    <w:rsid w:val="7A125C24"/>
    <w:rsid w:val="7AD64C01"/>
    <w:rsid w:val="7CC3585D"/>
    <w:rsid w:val="7D1A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2022-08-23T03:02:00Z</dcterms:created>
  <dc:creator>Lenovo</dc:creator>
  <cp:lastModifiedBy>Administrator</cp:lastModifiedBy>
  <cp:lastPrinted>2022-10-01T17:13:00Z</cp:lastPrinted>
  <dcterms:modified xsi:type="dcterms:W3CDTF">2023-10-10T07:39:42Z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