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608A7">
      <w:pPr>
        <w:spacing w:line="570" w:lineRule="exact"/>
        <w:jc w:val="left"/>
        <w:outlineLvl w:val="1"/>
        <w:rPr>
          <w:rFonts w:ascii="方正仿宋_GBK" w:hAnsi="方正仿宋_GBK" w:eastAsia="方正仿宋_GBK" w:cs="方正仿宋_GBK"/>
          <w:spacing w:val="-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eastAsia="zh-Hans"/>
        </w:rPr>
        <w:t>附件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：</w:t>
      </w:r>
    </w:p>
    <w:p w14:paraId="584AFAF4">
      <w:pPr>
        <w:widowControl/>
        <w:spacing w:line="570" w:lineRule="exact"/>
        <w:ind w:firstLine="835" w:firstLineChars="200"/>
        <w:jc w:val="center"/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spacing w:val="-12"/>
          <w:sz w:val="44"/>
          <w:szCs w:val="44"/>
        </w:rPr>
        <w:t>部分不合格项目小知识</w:t>
      </w:r>
    </w:p>
    <w:p w14:paraId="39DB128D"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  <w:t>苯甲酸及其钠盐(以苯甲酸计)</w:t>
      </w:r>
    </w:p>
    <w:p w14:paraId="561CB398">
      <w:pPr>
        <w:pStyle w:val="2"/>
        <w:numPr>
          <w:ilvl w:val="0"/>
          <w:numId w:val="0"/>
        </w:numPr>
        <w:ind w:leftChars="200" w:firstLine="560" w:firstLineChars="200"/>
        <w:rPr>
          <w:rFonts w:hint="default" w:ascii="方正仿宋_GB2312" w:hAnsi="方正仿宋_GB2312" w:eastAsia="方正仿宋_GB2312" w:cs="方正仿宋_GB2312"/>
          <w:i w:val="0"/>
          <w:iCs w:val="0"/>
          <w:caps w:val="0"/>
          <w:spacing w:val="0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spacing w:val="0"/>
          <w:sz w:val="28"/>
          <w:szCs w:val="28"/>
          <w:lang w:val="en-US" w:eastAsia="zh-CN"/>
        </w:rPr>
        <w:t>辣椒酱中苯甲酸及其钠盐（以苯甲酸计）不合格，指的是其含量超过《食品安全国家标准 食品添加剂使用标准》（GB 2760-2024）规定的最大使</w:t>
      </w:r>
      <w:bookmarkStart w:id="0" w:name="_GoBack"/>
      <w:bookmarkEnd w:id="0"/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spacing w:val="0"/>
          <w:sz w:val="28"/>
          <w:szCs w:val="28"/>
          <w:lang w:val="en-US" w:eastAsia="zh-CN"/>
        </w:rPr>
        <w:t>用量（辣椒酱属于 “调味酱” 类别，苯甲酸及其钠盐的最大使用量为 1.0 g/kg）。若同时涉及多种防腐剂混合使用，还需满足 “各自用量占其最大使用量的比例之和≤1” 的要求。辣椒酱中苯甲酸及其钠盐不合格的核心原因是对标准认知不足、生产计量失控、原料污染或混合使用规则忽视。苯甲酸及其钠盐虽能抑制微生物生长，但过量摄入可能对人体健康产生潜在影响（如破坏肠道菌群平衡）。企业需加强对国家标准的学习，规范防腐剂添加流程，确保用量符合规定，同时提升生产卫生条件，从源头减少对防腐剂的依赖。</w:t>
      </w:r>
    </w:p>
    <w:p w14:paraId="640803CD">
      <w:pPr>
        <w:pStyle w:val="2"/>
        <w:numPr>
          <w:ilvl w:val="0"/>
          <w:numId w:val="0"/>
        </w:numPr>
        <w:ind w:leftChars="200" w:firstLine="640" w:firstLineChars="200"/>
        <w:rPr>
          <w:rFonts w:hint="default"/>
          <w:lang w:val="en-US" w:eastAsia="zh-CN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15E5250-F46F-4863-B84C-D52DDA78406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572E781-62A9-4CAC-8A40-91C604220D35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9C21ECF-5836-4268-931A-B90486AD81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90D3E"/>
    <w:rsid w:val="038A1F07"/>
    <w:rsid w:val="05AD709C"/>
    <w:rsid w:val="1BF70F5A"/>
    <w:rsid w:val="20E9563E"/>
    <w:rsid w:val="5D590D3E"/>
    <w:rsid w:val="6623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333</Characters>
  <Lines>0</Lines>
  <Paragraphs>0</Paragraphs>
  <TotalTime>3</TotalTime>
  <ScaleCrop>false</ScaleCrop>
  <LinksUpToDate>false</LinksUpToDate>
  <CharactersWithSpaces>341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2025-03-13T04:25:00Z</dcterms:created>
  <dc:creator>WPS_1593580216</dc:creator>
  <cp:lastModifiedBy>WPS_1593580216</cp:lastModifiedBy>
  <cp:lastPrinted>2025-03-13T04:28:00Z</cp:lastPrinted>
  <dcterms:modified xsi:type="dcterms:W3CDTF">2025-08-21T08:44:29Z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169A9E87F124467D8692C3AE8F4AF8D5_11</vt:lpwstr>
  </property>
  <property fmtid="{D5CDD505-2E9C-101B-9397-08002B2CF9AE}" pid="4" name="KSOTemplateDocerSaveRecord">
    <vt:lpwstr>eyJoZGlkIjoiYTAxM2E1N2NkMWU0MjMzOGI3NTUwZDZjYzhjYjg4ZWMiLCJ1c2VySWQiOiIxMDI2NDg4NTkxIn0=</vt:lpwstr>
  </property>
</Properties>
</file>