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  <w:lang w:val="en-US" w:eastAsia="zh-CN"/>
        </w:rPr>
      </w:pPr>
    </w:p>
    <w:p w14:paraId="0051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  <w:lang w:val="en-US" w:eastAsia="zh-CN"/>
        </w:rPr>
        <w:t>喀什地区农村公益性墓地建设管理</w:t>
      </w:r>
    </w:p>
    <w:p w14:paraId="19F5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  <w:lang w:val="en-US" w:eastAsia="zh-CN"/>
        </w:rPr>
        <w:t>指导意见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0"/>
          <w:szCs w:val="40"/>
          <w:highlight w:val="none"/>
          <w:lang w:val="en-US" w:eastAsia="zh-CN"/>
        </w:rPr>
        <w:t>（试行）</w:t>
      </w:r>
    </w:p>
    <w:p w14:paraId="72D0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（征求意见稿）</w:t>
      </w:r>
    </w:p>
    <w:p w14:paraId="3897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</w:p>
    <w:p w14:paraId="413E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为全面落实党中央、国务院和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自治区党委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关于殡葬改革的决策部署，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落实地委、行署关于喀什地区殡葬改革的工作要求，进一步加强农村公益性墓地建设管理，制止违规建设和经营现象，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根据国务院《殡葬管理条例》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民政部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公墓管理暂行办法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新疆维吾尔自治区实施〈殡葬管理条例〉若干规定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等相关规定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喀什地区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实际，现就进一步加强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建设管理提出如下指导意见。</w:t>
      </w:r>
    </w:p>
    <w:p w14:paraId="0F1A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一、总体要求</w:t>
      </w:r>
    </w:p>
    <w:p w14:paraId="43E9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以习近平新时代中国特色社会主义思想为指导，坚持新发展理念，坚持以人民为中心，紧紧围绕实施乡村振兴战略和促进生态文明建设，贯彻落实“节约土地、保护环境、移风易俗、减轻群众负担”的殡葬改革要求，按照“统筹规划、因地制宜、合理布局、凸显公益、逐步推进”原则，明确部门职责，坚持公益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属性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，加快推进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建设，提升殡葬基本公共服务水平，推进殡葬移风易俗，推动新时代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喀什地区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殡葬改革创新发展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7024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墓地建设</w:t>
      </w:r>
    </w:p>
    <w:p w14:paraId="06820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（一）坚持公益属性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是不以营利为目的，为当地村民提供安葬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服务的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公益性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服务设施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不得对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本乡镇或本村（社区）户籍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以外的其他人员提供墓穴用地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任何单位及个人未经批准，不得擅自兴建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。要坚持公益属性，严禁以营利为目的，由社会团体、企业或个人承租、承包经营、或变相经营。</w:t>
      </w:r>
    </w:p>
    <w:p w14:paraId="530E6EA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（二）合理规划布局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农村公益性墓地建设坚持政府主导、统筹规划、分布实施、逐步完善、节地生态的原则。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各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结合乡村振兴战略和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推行殡葬改革实际，充分考虑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存量、服务人口、祭扫安全管理服务等因素，统筹规划本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，合理确定设施数量、布局和规模。建设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要因地制宜，可采取以乡（镇）、村为单位建设或多村联建等方式实施。农村公益性安葬设施布局规划要与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乡（镇）国土空间总体规划和村庄规划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相衔接，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符合殡葬设施专项规划，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优先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使用现有合法合规墓地依法进行改建、扩建。</w:t>
      </w:r>
    </w:p>
    <w:p w14:paraId="7E1A42E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（三）规范设施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选址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农村公益性墓地由村民委员会或乡（镇）人民政府建设和管理。村民委员会、乡（镇）人民政府应当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按照各民族人口分布情况和需求,结合实际规划建设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具体选址应坚持充分尊重群众意愿和坚持依法依规的原则，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应通过召开村民大会或村民代表会议等方式确定具体选址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，严禁占用耕地，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严禁在法律法规禁止区域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</w:t>
      </w:r>
      <w:bookmarkStart w:id="1" w:name="OLE_LINK2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bookmarkEnd w:id="1"/>
    <w:p w14:paraId="732D10C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规范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建设标准。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应当按照下列标准建设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：</w:t>
      </w:r>
    </w:p>
    <w:p w14:paraId="550212B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土葬遗体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占地面积单穴不得超过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双穴不得超过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墓碑高度不超过0.8米。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骨灰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占地面积单穴不得超过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双穴不得超过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0.8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墓碑高度不超过0.8米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（暂按国务院《殡葬管理条例》（征求意见稿）制定</w:t>
      </w:r>
      <w:bookmarkStart w:id="12" w:name="_GoBack"/>
      <w:bookmarkEnd w:id="12"/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）</w:t>
      </w:r>
    </w:p>
    <w:p w14:paraId="63446F2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严格控制墓穴间距，各墓位之间不得设置围栏、围墙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60B96E2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墓区道路符合有关技术规范，设置标志标牌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结合实际配建祭扫场所，配备相应的殡葬设施设备。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已投入使用但尚未建好的墓区，应当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严格执行规范建设标准。</w:t>
      </w:r>
    </w:p>
    <w:p w14:paraId="0ECD7CE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（五）规范建设审批。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建设村级农村公益性墓地由村民委员会申请，经乡（镇）人民政府审核同意后，报</w:t>
      </w:r>
      <w:bookmarkStart w:id="2" w:name="OLE_LINK9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bookmarkEnd w:id="2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民政部门审批；建设</w:t>
      </w:r>
      <w:bookmarkStart w:id="3" w:name="OLE_LINK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乡（镇）</w:t>
      </w:r>
      <w:bookmarkEnd w:id="3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级农村公益性墓地由</w:t>
      </w:r>
      <w:bookmarkStart w:id="4" w:name="OLE_LINK8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乡（镇）</w:t>
      </w:r>
      <w:bookmarkEnd w:id="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人民政府提出申请，报</w:t>
      </w:r>
      <w:bookmarkStart w:id="5" w:name="OLE_LINK6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bookmarkEnd w:id="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民政部门审批。应当向民政部门提交如下材料：</w:t>
      </w:r>
    </w:p>
    <w:p w14:paraId="6F28EEA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1.建立墓地的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申请报告；</w:t>
      </w:r>
    </w:p>
    <w:p w14:paraId="33E6BE4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安葬设施建设规划方案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或可行性研究报告，包括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建设规划、建设资金、用地和规模等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；</w:t>
      </w:r>
    </w:p>
    <w:p w14:paraId="2348944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村民代表大会决议；</w:t>
      </w:r>
    </w:p>
    <w:p w14:paraId="4031B04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乡（镇）人民政府（街道办事处）审查意见；</w:t>
      </w:r>
    </w:p>
    <w:p w14:paraId="503AFE3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自然资源、林草、生态环境等部门的审查意见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；</w:t>
      </w:r>
    </w:p>
    <w:p w14:paraId="4B4FFF2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其他需要提供的材料。</w:t>
      </w:r>
    </w:p>
    <w:p w14:paraId="2CC5745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6" w:name="OLE_LINK7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县（市）民政部门收到申报材料后，应当在20个工作日内进行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材料审核、现场察看，对符合要求的项目予以通过，并书面批复，批复文件要明确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的四至界点、批复有效期、服务范围和服务人群等相关内容。凡不符合项目选址、规划布局、建设规模的，不得审批、不得开工建设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bookmarkEnd w:id="6"/>
    <w:p w14:paraId="01A6166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（六）规范建设资金。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建设农村公益性墓地的资金来源应为村集体经济收入；县（市）或乡（镇）人民政府投入资金；国内企事业单位、社会团体捐助资金；上级财政拨付补助资金和其他为民办实事资金。</w:t>
      </w:r>
    </w:p>
    <w:p w14:paraId="700BAB6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（七）相关建设要求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建设要保证道路通畅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农村公益性墓地墓穴（墓位）建设应按照年死亡人员测算量逐年建设。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倡导采取节地生态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、深埋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方式建设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。墓区内要因地制宜进行美化、绿化，有条件的地方要逐步实行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墓地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园林化。禁止建造超规定面积墓穴(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位)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禁止建造“住宅式”墓地、豪华墓、宗族墓、活人墓。</w:t>
      </w:r>
    </w:p>
    <w:p w14:paraId="5B135FB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三、墓地管理</w:t>
      </w:r>
    </w:p>
    <w:p w14:paraId="0C94CC6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（一）明确服务范围。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村（居）为单位建设的农村公益性墓地，服务对象为本村（居）群众。以乡（镇）为单位建设的农村公益性墓地，服务对象为本乡（镇）所辖村群众。多村联建的农村公益性墓地，服务对象为所涉村（居）群众。农村公益性墓地墓穴用于安葬时，应采取“自上而下”或“自下而上”的排序原则规范使用，杜绝“优先选位”或“加价选位”。</w:t>
      </w:r>
    </w:p>
    <w:p w14:paraId="3DA8E55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（二）明确管理主体。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按照“谁建设，谁管理”的原则，以乡（镇）为单位建设的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，由乡（镇）负责管理维护。以村为单位建设的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，由当地村委会或由其委托本村红白理事会负责管理。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多村联建的由联建村相互协商后，协议规定一方进行管理。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由村委会管理维护的，须通过村民代表会议、村民会议等形式，专题研究管理维护方案，形成决议后方可实施。由村红白理事会管理维护的，须由村委会与红白理事会协定管理内容和管理机制，通过签订协议或合同等方式，确保其履行相关职责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/>
        </w:rPr>
        <w:t>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管理单位应当建立完善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相关管理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制度。</w:t>
      </w:r>
    </w:p>
    <w:p w14:paraId="0235106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（三）规范收费标准。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农村公益性墓地要坚持公益属性，不得对外经营，墓地收费按照地区明确制定的公墓服务收费标准下浮执行，国家、自治区另有政策规定的，从其规定。农村公益性墓地建设管理单位应当依法依规使用和管理建墓资金，完整准确记录各项建设成本支出。竣工验收后，建设管理单位应当参照“四议两公开”程序，将单个墓穴（墓位）建设成本和财务收支情况应纳入村务公开、民主管理范围，接受群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众监督。单个墓穴</w:t>
      </w:r>
      <w:bookmarkStart w:id="7" w:name="OLE_LINK1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</w:t>
      </w:r>
      <w:bookmarkEnd w:id="7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建设成本包括：挖坑、建墓材料、人工、墓区道路、绿化、硬化等费用的分摊。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收费标准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应当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报县级民政部门、乡镇备案。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收取的墓穴</w:t>
      </w:r>
      <w:bookmarkStart w:id="8" w:name="OLE_LINK4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</w:t>
      </w:r>
      <w:bookmarkEnd w:id="8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建设成本费滚动用于农村公益性墓地的建设管理，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不得进行任何形式的分配。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应在醒目位置设立公示牌，将村民代表大会决议、收费标准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管理制度等进行公示。</w:t>
      </w:r>
    </w:p>
    <w:p w14:paraId="4C72585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（四）加强档案管理。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农村公益性墓地管理单位应当建立墓地使用台账。安葬过程中形成的下列材料应当及时归档：</w:t>
      </w:r>
    </w:p>
    <w:p w14:paraId="2A912A6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1.死亡证明原件或者复印件；</w:t>
      </w:r>
    </w:p>
    <w:p w14:paraId="5F6ACFB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2.墓穴（墓位）使用证明；</w:t>
      </w:r>
    </w:p>
    <w:p w14:paraId="4BB5C63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3.丧事承办人的有效身份证复印件；</w:t>
      </w:r>
    </w:p>
    <w:p w14:paraId="168C276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4.墓地购置协议；</w:t>
      </w:r>
    </w:p>
    <w:p w14:paraId="39E158C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5.其他应当归档的资料。</w:t>
      </w:r>
    </w:p>
    <w:p w14:paraId="1FE8DD2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档案资料应按年度装订成册，建档立卷。档案由专人保管，做好防火、防盗、防潮、防水等工作。</w:t>
      </w:r>
    </w:p>
    <w:p w14:paraId="31AD393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（五）加强服务监管。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管理单位要建立管理收费和墓穴使用台账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除可向夫妻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方健在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提供双穴墓、80周岁以上高龄老人、危重病人提供墓穴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确保自用外，对其他人员必须严格凭死亡证明或火化证明提供墓穴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，禁止违规销售、预售和倒卖。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集体经济收入较好的村，鼓励免费向本村村民提供墓穴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对本辖区户籍的特困供养人员，应当免费提供墓穴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（墓位）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予以安葬。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县级民政部门根据殡葬管理法规，对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建设和管理情况进行监督检查，对擅自兴建殡葬设施、超标准超范围建设、利用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从事经营活动等行为依法责令建设管理单位整改。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民政部门要会同自然资源、林业等部门定期开展联合检查，建立常态化监管机制。</w:t>
      </w:r>
      <w:bookmarkStart w:id="9" w:name="OLE_LINK12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</w:t>
      </w:r>
      <w:bookmarkStart w:id="10" w:name="OLE_LINK11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（市）</w:t>
      </w:r>
      <w:bookmarkEnd w:id="9"/>
      <w:bookmarkEnd w:id="1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民政部门负责制定本县（市）农村公益性墓地年度检查办法，并组织实施。</w:t>
      </w:r>
    </w:p>
    <w:p w14:paraId="28A0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、保障措施</w:t>
      </w:r>
    </w:p>
    <w:p w14:paraId="291BA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坚持“属地管理”原则，明确各级民政、自然资源、林业等部门的责任，明确乡（镇）党委政府和村委会的责任，组织做好规划编制、项目审批、土地划拨、财政投入、建设管理和日常监管等各项工作。</w:t>
      </w:r>
      <w:bookmarkStart w:id="11" w:name="OLE_LINK13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县（市）民政部门</w:t>
      </w:r>
      <w:bookmarkEnd w:id="11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要充分发挥殡葬主管部门的职能作用，会同有关部门做好公益性墓地建设指导。自然资源部门要做好农村公益性墓地用地保障。生态环境部门要加强农村公益性墓地建设项目环境影响评估，指导墓地建设管理单位在建设中抓好生态环境保护，严防水源污染。</w:t>
      </w:r>
    </w:p>
    <w:p w14:paraId="2125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（二）加强工作调度。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县（市）民政部门要会同自然资源、林草等部门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加强对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农村公益性墓地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建设管理的工作调度，县级根据工作需要，建立月调度、季通报工作机制，及时总结推广好的经验和做法，查找工作中存在的问题和风险隐患，及时加以解决。</w:t>
      </w:r>
    </w:p>
    <w:p w14:paraId="3953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</w:rPr>
        <w:t>）强化宣传引导。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县（市）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要切实加强对殡葬改革政策法规、移风易俗等的宣传，发挥党员干部带头示范作用和红白理事会等基层组织引导作用，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倡导文明、节俭举办丧葬活动，遵守环境卫生和交通管理规定，维护社会公共秩序和他人的合法权益，不得从事封建迷信活动，不得利用丧葬活动搞非法宗教活动，禁止在殡仪活动中沿途抛撒纸钱。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  <w:t>向群众讲清散埋乱葬、薄养厚葬的弊端，为群众算好“经济账、生态账、发展账”，引导树立厚养薄葬、文明节俭、节地生态的殡葬新风尚。</w:t>
      </w:r>
    </w:p>
    <w:p w14:paraId="6786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本文件自下发之日起执行，有效期五年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字魂104号-书信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魂104号-书信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4EE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B918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B918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I2NGRkODU5OTU4OWJhZTA4NTdiNzE2Mzc0NTcifQ=="/>
  </w:docVars>
  <w:rsids>
    <w:rsidRoot w:val="5FA77005"/>
    <w:rsid w:val="2F3FD54A"/>
    <w:rsid w:val="35BF4038"/>
    <w:rsid w:val="3BFEA56C"/>
    <w:rsid w:val="3EFF1EBD"/>
    <w:rsid w:val="3F6F1957"/>
    <w:rsid w:val="3FDB1F3A"/>
    <w:rsid w:val="3FFAC056"/>
    <w:rsid w:val="46FA87A1"/>
    <w:rsid w:val="5967894C"/>
    <w:rsid w:val="5FA77005"/>
    <w:rsid w:val="5FB7D9FC"/>
    <w:rsid w:val="6D652CED"/>
    <w:rsid w:val="7A7F978A"/>
    <w:rsid w:val="7BFA5CD0"/>
    <w:rsid w:val="7DFFCBEF"/>
    <w:rsid w:val="8EFF4262"/>
    <w:rsid w:val="8FF663F1"/>
    <w:rsid w:val="9BF3AC46"/>
    <w:rsid w:val="9FFD5685"/>
    <w:rsid w:val="D3D2A420"/>
    <w:rsid w:val="D7A61916"/>
    <w:rsid w:val="DD8662FD"/>
    <w:rsid w:val="DFFF9341"/>
    <w:rsid w:val="EDFF51D7"/>
    <w:rsid w:val="F58C9F68"/>
    <w:rsid w:val="F7F446E4"/>
    <w:rsid w:val="FADF4314"/>
    <w:rsid w:val="FBB8ED3B"/>
    <w:rsid w:val="FD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2025-04-30T00:39:00Z</dcterms:created>
  <dc:creator>艾尼</dc:creator>
  <cp:lastModifiedBy>user</cp:lastModifiedBy>
  <cp:lastPrinted>2025-10-10T00:46:00Z</cp:lastPrinted>
  <dcterms:modified xsi:type="dcterms:W3CDTF">2025-10-10T14:53:24Z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0066E40D2AD47B92E8824F68D6584F71_43</vt:lpwstr>
  </property>
</Properties>
</file>