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50" w:lineRule="exact"/>
        <w:jc w:val="center"/>
        <w:textAlignment w:val="auto"/>
        <w:rPr>
          <w:rFonts w:hint="eastAsia" w:ascii="方正小标宋简体" w:eastAsia="方正小标宋简体"/>
          <w:color w:val="auto"/>
          <w:sz w:val="36"/>
          <w:szCs w:val="36"/>
          <w:highlight w:val="none"/>
          <w:lang w:val="en-US" w:eastAsia="zh-CN"/>
        </w:rPr>
      </w:pPr>
      <w:bookmarkStart w:id="0" w:name="_GoBack"/>
      <w:r>
        <w:rPr>
          <w:rFonts w:hint="eastAsia" w:ascii="方正小标宋简体" w:eastAsia="方正小标宋简体"/>
          <w:color w:val="auto"/>
          <w:sz w:val="44"/>
          <w:szCs w:val="44"/>
          <w:highlight w:val="none"/>
          <w:lang w:eastAsia="zh-CN"/>
        </w:rPr>
        <w:t>疏附县</w:t>
      </w:r>
      <w:r>
        <w:rPr>
          <w:rFonts w:hint="eastAsia" w:ascii="方正小标宋简体" w:eastAsia="方正小标宋简体"/>
          <w:color w:val="auto"/>
          <w:sz w:val="44"/>
          <w:szCs w:val="44"/>
          <w:highlight w:val="none"/>
        </w:rPr>
        <w:t>烟草制品零售点合理布局规划</w:t>
      </w:r>
    </w:p>
    <w:bookmarkEnd w:id="0"/>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3" w:firstLineChars="200"/>
        <w:jc w:val="center"/>
        <w:textAlignment w:val="auto"/>
        <w:rPr>
          <w:rFonts w:hint="eastAsia" w:ascii="仿宋_GB2312" w:hAnsi="仿宋_GB2312" w:eastAsia="仿宋_GB2312" w:cs="仿宋_GB2312"/>
          <w:b/>
          <w:bCs/>
          <w:color w:val="auto"/>
          <w:sz w:val="32"/>
          <w:szCs w:val="32"/>
          <w:highlight w:val="none"/>
          <w:lang w:eastAsia="zh-CN"/>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jc w:val="center"/>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eastAsia="zh-CN"/>
        </w:rPr>
        <w:t>第一章</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总</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则</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第一条</w:t>
      </w:r>
      <w:r>
        <w:rPr>
          <w:rFonts w:hint="eastAsia" w:ascii="黑体" w:hAnsi="黑体" w:eastAsia="黑体" w:cs="黑体"/>
          <w:b w:val="0"/>
          <w:bCs w:val="0"/>
          <w:color w:val="auto"/>
          <w:sz w:val="32"/>
          <w:szCs w:val="32"/>
          <w:highlight w:val="none"/>
          <w:lang w:val="en-US" w:eastAsia="zh-CN"/>
        </w:rPr>
        <w:t xml:space="preserve"> </w:t>
      </w:r>
      <w:r>
        <w:rPr>
          <w:rFonts w:hint="eastAsia" w:ascii="仿宋_GB2312" w:hAnsi="仿宋_GB2312" w:eastAsia="仿宋_GB2312" w:cs="仿宋_GB2312"/>
          <w:sz w:val="32"/>
          <w:szCs w:val="32"/>
          <w:highlight w:val="none"/>
        </w:rPr>
        <w:t>为加强烟草专卖零售许可证管理，规范烟草制品零售市场经营秩序，进一步优化营商环境，根据《中华人民共和国烟草专卖法》《中华人民共和国未成年人保护法》《中华人民共和国烟草专卖法实施条例》《烟草专卖许可证管理办法》《烟草专卖许可证管理办法实施细则》等法律、法规、规章</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结合本</w:t>
      </w:r>
      <w:r>
        <w:rPr>
          <w:rFonts w:hint="eastAsia" w:ascii="仿宋_GB2312" w:hAnsi="仿宋_GB2312" w:eastAsia="仿宋_GB2312" w:cs="仿宋_GB2312"/>
          <w:sz w:val="32"/>
          <w:szCs w:val="32"/>
          <w:highlight w:val="none"/>
          <w:lang w:eastAsia="zh-CN"/>
        </w:rPr>
        <w:t>县</w:t>
      </w:r>
      <w:r>
        <w:rPr>
          <w:rFonts w:hint="eastAsia" w:ascii="仿宋_GB2312" w:hAnsi="仿宋_GB2312" w:eastAsia="仿宋_GB2312" w:cs="仿宋_GB2312"/>
          <w:sz w:val="32"/>
          <w:szCs w:val="32"/>
          <w:highlight w:val="none"/>
        </w:rPr>
        <w:t>实际，制定本规划</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黑体" w:hAnsi="黑体" w:eastAsia="黑体" w:cs="黑体"/>
          <w:b w:val="0"/>
          <w:bCs w:val="0"/>
          <w:color w:val="auto"/>
          <w:sz w:val="32"/>
          <w:szCs w:val="32"/>
          <w:highlight w:val="none"/>
        </w:rPr>
        <w:t>第二条</w:t>
      </w:r>
      <w:r>
        <w:rPr>
          <w:rFonts w:hint="eastAsia" w:ascii="黑体" w:hAnsi="黑体" w:eastAsia="黑体" w:cs="黑体"/>
          <w:b w:val="0"/>
          <w:bCs w:val="0"/>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本规划适用于</w:t>
      </w:r>
      <w:r>
        <w:rPr>
          <w:rFonts w:hint="eastAsia" w:ascii="仿宋_GB2312" w:hAnsi="仿宋_GB2312" w:eastAsia="仿宋_GB2312" w:cs="仿宋_GB2312"/>
          <w:color w:val="auto"/>
          <w:sz w:val="32"/>
          <w:szCs w:val="32"/>
          <w:highlight w:val="none"/>
          <w:lang w:eastAsia="zh-CN"/>
        </w:rPr>
        <w:t>疏附县</w:t>
      </w:r>
      <w:r>
        <w:rPr>
          <w:rFonts w:hint="eastAsia" w:ascii="仿宋_GB2312" w:hAnsi="仿宋_GB2312" w:eastAsia="仿宋_GB2312" w:cs="仿宋_GB2312"/>
          <w:color w:val="auto"/>
          <w:sz w:val="32"/>
          <w:szCs w:val="32"/>
          <w:highlight w:val="none"/>
        </w:rPr>
        <w:t>烟草专卖局辖区内所有烟草制品零售点(以下简称零售点)的设置。</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第三条</w:t>
      </w:r>
      <w:r>
        <w:rPr>
          <w:rFonts w:hint="eastAsia" w:ascii="黑体" w:hAnsi="黑体" w:eastAsia="黑体" w:cs="黑体"/>
          <w:b w:val="0"/>
          <w:bCs w:val="0"/>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本规划</w:t>
      </w:r>
      <w:r>
        <w:rPr>
          <w:rFonts w:hint="eastAsia" w:ascii="仿宋_GB2312" w:hAnsi="仿宋_GB2312" w:eastAsia="仿宋_GB2312" w:cs="仿宋_GB2312"/>
          <w:color w:val="auto"/>
          <w:sz w:val="32"/>
          <w:szCs w:val="32"/>
          <w:highlight w:val="none"/>
        </w:rPr>
        <w:t>所指零售点是指</w:t>
      </w:r>
      <w:r>
        <w:rPr>
          <w:rFonts w:hint="eastAsia" w:ascii="仿宋_GB2312" w:eastAsia="仿宋_GB2312"/>
          <w:color w:val="auto"/>
          <w:sz w:val="32"/>
          <w:szCs w:val="32"/>
          <w:highlight w:val="none"/>
          <w:lang w:eastAsia="zh-CN"/>
        </w:rPr>
        <w:t>经申请人申请，</w:t>
      </w:r>
      <w:r>
        <w:rPr>
          <w:rFonts w:hint="eastAsia" w:ascii="仿宋_GB2312" w:hAnsi="仿宋_GB2312" w:eastAsia="仿宋_GB2312" w:cs="仿宋_GB2312"/>
          <w:color w:val="auto"/>
          <w:sz w:val="32"/>
          <w:szCs w:val="32"/>
          <w:highlight w:val="none"/>
        </w:rPr>
        <w:t>依法取得烟草专卖零售许可证从事烟草制品零售业务的公民、法人及其他组织开展烟草制品零售经营业务的场所，其销售对象应为烟草制品的具体消费者。</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第四条</w:t>
      </w:r>
      <w:r>
        <w:rPr>
          <w:rFonts w:hint="eastAsia" w:ascii="仿宋_GB2312" w:hAnsi="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零售点合理布局遵循依法行政、科学规划、服务社会、均衡发</w:t>
      </w:r>
      <w:r>
        <w:rPr>
          <w:rFonts w:hint="eastAsia" w:ascii="仿宋_GB2312" w:hAnsi="仿宋_GB2312" w:eastAsia="仿宋_GB2312" w:cs="仿宋_GB2312"/>
          <w:strike w:val="0"/>
          <w:dstrike w:val="0"/>
          <w:color w:val="auto"/>
          <w:sz w:val="32"/>
          <w:szCs w:val="32"/>
          <w:highlight w:val="none"/>
        </w:rPr>
        <w:t>展</w:t>
      </w:r>
      <w:r>
        <w:rPr>
          <w:rFonts w:hint="eastAsia" w:ascii="仿宋_GB2312" w:hAnsi="仿宋_GB2312" w:eastAsia="仿宋_GB2312" w:cs="仿宋_GB2312"/>
          <w:strike w:val="0"/>
          <w:dstrike w:val="0"/>
          <w:color w:val="auto"/>
          <w:sz w:val="32"/>
          <w:szCs w:val="32"/>
          <w:highlight w:val="none"/>
          <w:lang w:eastAsia="zh-CN"/>
        </w:rPr>
        <w:t>、</w:t>
      </w:r>
      <w:r>
        <w:rPr>
          <w:rFonts w:hint="eastAsia" w:ascii="仿宋_GB2312" w:hAnsi="仿宋_GB2312" w:eastAsia="仿宋_GB2312" w:cs="仿宋_GB2312"/>
          <w:b w:val="0"/>
          <w:bCs w:val="0"/>
          <w:strike w:val="0"/>
          <w:dstrike w:val="0"/>
          <w:color w:val="auto"/>
          <w:sz w:val="32"/>
          <w:szCs w:val="32"/>
          <w:highlight w:val="none"/>
          <w:shd w:val="clear" w:color="auto" w:fill="FFFFFF"/>
          <w:lang w:val="en-US" w:eastAsia="zh-CN"/>
        </w:rPr>
        <w:t>尊重历史、方便消费</w:t>
      </w:r>
      <w:r>
        <w:rPr>
          <w:rFonts w:hint="eastAsia" w:ascii="仿宋_GB2312" w:hAnsi="仿宋_GB2312" w:eastAsia="仿宋_GB2312" w:cs="仿宋_GB2312"/>
          <w:strike w:val="0"/>
          <w:dstrike w:val="0"/>
          <w:color w:val="auto"/>
          <w:sz w:val="32"/>
          <w:szCs w:val="32"/>
          <w:highlight w:val="none"/>
        </w:rPr>
        <w:t>的原</w:t>
      </w:r>
      <w:r>
        <w:rPr>
          <w:rFonts w:hint="eastAsia" w:ascii="仿宋_GB2312" w:hAnsi="仿宋_GB2312" w:eastAsia="仿宋_GB2312" w:cs="仿宋_GB2312"/>
          <w:color w:val="auto"/>
          <w:sz w:val="32"/>
          <w:szCs w:val="32"/>
          <w:highlight w:val="none"/>
        </w:rPr>
        <w:t>则。将</w:t>
      </w:r>
      <w:r>
        <w:rPr>
          <w:rFonts w:hint="eastAsia" w:ascii="仿宋_GB2312" w:hAnsi="仿宋_GB2312" w:eastAsia="仿宋_GB2312" w:cs="仿宋_GB2312"/>
          <w:color w:val="auto"/>
          <w:sz w:val="32"/>
          <w:szCs w:val="32"/>
          <w:highlight w:val="none"/>
          <w:lang w:eastAsia="zh-CN"/>
        </w:rPr>
        <w:t>疏附县</w:t>
      </w:r>
      <w:r>
        <w:rPr>
          <w:rFonts w:hint="eastAsia" w:ascii="仿宋_GB2312" w:hAnsi="仿宋_GB2312" w:eastAsia="仿宋_GB2312" w:cs="仿宋_GB2312"/>
          <w:color w:val="auto"/>
          <w:sz w:val="32"/>
          <w:szCs w:val="32"/>
          <w:highlight w:val="none"/>
        </w:rPr>
        <w:t>行政区域划分为社区市场单元、行政</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自然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村市场单元、特殊区域市场</w:t>
      </w:r>
      <w:r>
        <w:rPr>
          <w:rFonts w:hint="eastAsia" w:ascii="仿宋_GB2312" w:hAnsi="仿宋_GB2312" w:eastAsia="仿宋_GB2312" w:cs="仿宋_GB2312"/>
          <w:color w:val="auto"/>
          <w:sz w:val="32"/>
          <w:szCs w:val="32"/>
          <w:highlight w:val="none"/>
          <w:lang w:eastAsia="zh-CN"/>
        </w:rPr>
        <w:t>单元</w:t>
      </w:r>
      <w:r>
        <w:rPr>
          <w:rFonts w:hint="eastAsia" w:ascii="仿宋_GB2312" w:hAnsi="仿宋_GB2312" w:eastAsia="仿宋_GB2312" w:cs="仿宋_GB2312"/>
          <w:color w:val="auto"/>
          <w:sz w:val="32"/>
          <w:szCs w:val="32"/>
          <w:highlight w:val="none"/>
        </w:rPr>
        <w:t>。根据辖区经济社会发展变化，定期开展评估，实行动态管理。市场单元为最终合理布局规划实施单元，采取“容量+间距+限制性条款”的管理模式。</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第五条</w:t>
      </w:r>
      <w:r>
        <w:rPr>
          <w:rFonts w:hint="eastAsia" w:ascii="仿宋_GB2312" w:hAnsi="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烟草专卖行政主管部门可结合实际，综合考虑辖区内人口、卷烟销量和盈利水平以及社会经济、持证户数量、烟草市场需求等与烟草制品零售相关的因素，科学测算零售点的合理容量，作为辖区零售点设置容量上限</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向社会公布后实施，实现零售点总量动态平衡。</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第六条</w:t>
      </w:r>
      <w:r>
        <w:rPr>
          <w:rFonts w:hint="eastAsia" w:ascii="黑体" w:hAnsi="黑体" w:eastAsia="黑体" w:cs="黑体"/>
          <w:b w:val="0"/>
          <w:bCs w:val="0"/>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市场单元内零售点数量达到容量上限的，实行轮候管理，轮候管理按照《</w:t>
      </w:r>
      <w:r>
        <w:rPr>
          <w:rFonts w:hint="eastAsia" w:ascii="仿宋_GB2312" w:hAnsi="仿宋_GB2312" w:eastAsia="仿宋_GB2312" w:cs="仿宋_GB2312"/>
          <w:color w:val="auto"/>
          <w:sz w:val="32"/>
          <w:szCs w:val="32"/>
          <w:highlight w:val="none"/>
          <w:lang w:eastAsia="zh-CN"/>
        </w:rPr>
        <w:t>疏附县</w:t>
      </w:r>
      <w:r>
        <w:rPr>
          <w:rFonts w:hint="eastAsia" w:ascii="仿宋_GB2312" w:hAnsi="仿宋_GB2312" w:eastAsia="仿宋_GB2312" w:cs="仿宋_GB2312"/>
          <w:color w:val="auto"/>
          <w:sz w:val="32"/>
          <w:szCs w:val="32"/>
          <w:highlight w:val="none"/>
        </w:rPr>
        <w:t>烟草制品零售点轮候管理办法》执行。</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第七条</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疏附县</w:t>
      </w:r>
      <w:r>
        <w:rPr>
          <w:rFonts w:hint="eastAsia" w:ascii="仿宋_GB2312" w:hAnsi="仿宋_GB2312" w:eastAsia="仿宋_GB2312" w:cs="仿宋_GB2312"/>
          <w:color w:val="auto"/>
          <w:sz w:val="32"/>
          <w:szCs w:val="32"/>
          <w:highlight w:val="none"/>
        </w:rPr>
        <w:t>烟草专卖局</w:t>
      </w:r>
      <w:r>
        <w:rPr>
          <w:rFonts w:hint="eastAsia" w:ascii="仿宋_GB2312" w:hAnsi="仿宋_GB2312" w:eastAsia="仿宋_GB2312" w:cs="仿宋_GB2312"/>
          <w:color w:val="auto"/>
          <w:sz w:val="32"/>
          <w:szCs w:val="32"/>
          <w:lang w:eastAsia="zh-CN"/>
        </w:rPr>
        <w:t>调整网格零售点容量、网格属性等内容原则上每半年不超过两次，</w:t>
      </w:r>
      <w:r>
        <w:rPr>
          <w:rFonts w:hint="eastAsia" w:ascii="仿宋_GB2312" w:hAnsi="仿宋_GB2312" w:eastAsia="仿宋_GB2312" w:cs="仿宋_GB2312"/>
          <w:color w:val="auto"/>
          <w:sz w:val="32"/>
          <w:szCs w:val="32"/>
        </w:rPr>
        <w:t>并通过政府网站</w:t>
      </w:r>
      <w:r>
        <w:rPr>
          <w:rFonts w:hint="eastAsia" w:ascii="仿宋_GB2312" w:hAnsi="仿宋_GB2312" w:eastAsia="仿宋_GB2312" w:cs="仿宋_GB2312"/>
          <w:color w:val="auto"/>
          <w:sz w:val="32"/>
          <w:szCs w:val="32"/>
          <w:lang w:eastAsia="zh-CN"/>
        </w:rPr>
        <w:t>或政务服务大厅或新烟政务通等</w:t>
      </w:r>
      <w:r>
        <w:rPr>
          <w:rFonts w:hint="eastAsia" w:ascii="仿宋_GB2312" w:hAnsi="仿宋_GB2312" w:eastAsia="仿宋_GB2312" w:cs="仿宋_GB2312"/>
          <w:color w:val="auto"/>
          <w:sz w:val="32"/>
          <w:szCs w:val="32"/>
        </w:rPr>
        <w:t>途径向社会公示。申请人可</w:t>
      </w:r>
      <w:r>
        <w:rPr>
          <w:rFonts w:hint="eastAsia" w:ascii="仿宋_GB2312" w:hAnsi="仿宋_GB2312" w:eastAsia="仿宋_GB2312" w:cs="仿宋_GB2312"/>
          <w:color w:val="auto"/>
          <w:sz w:val="32"/>
          <w:szCs w:val="32"/>
          <w:lang w:eastAsia="zh-CN"/>
        </w:rPr>
        <w:t>通过疏附县烟草专卖局或</w:t>
      </w:r>
      <w:r>
        <w:rPr>
          <w:rFonts w:hint="eastAsia" w:ascii="仿宋_GB2312" w:hAnsi="仿宋_GB2312" w:eastAsia="仿宋_GB2312" w:cs="仿宋_GB2312"/>
          <w:color w:val="auto"/>
          <w:sz w:val="32"/>
          <w:szCs w:val="32"/>
        </w:rPr>
        <w:t>新烟政</w:t>
      </w:r>
      <w:r>
        <w:rPr>
          <w:rFonts w:hint="eastAsia" w:ascii="仿宋_GB2312" w:hAnsi="仿宋_GB2312" w:eastAsia="仿宋_GB2312" w:cs="仿宋_GB2312"/>
          <w:sz w:val="32"/>
          <w:szCs w:val="32"/>
        </w:rPr>
        <w:t>务通等媒介查询</w:t>
      </w:r>
      <w:r>
        <w:rPr>
          <w:rFonts w:hint="eastAsia" w:ascii="仿宋_GB2312" w:hAnsi="仿宋_GB2312" w:eastAsia="仿宋_GB2312" w:cs="仿宋_GB2312"/>
          <w:sz w:val="32"/>
          <w:szCs w:val="32"/>
          <w:lang w:eastAsia="zh-CN"/>
        </w:rPr>
        <w:t>疏附县烟</w:t>
      </w:r>
      <w:r>
        <w:rPr>
          <w:rFonts w:hint="eastAsia" w:ascii="仿宋_GB2312" w:hAnsi="仿宋_GB2312" w:eastAsia="仿宋_GB2312" w:cs="仿宋_GB2312"/>
          <w:sz w:val="32"/>
          <w:szCs w:val="32"/>
        </w:rPr>
        <w:t>草制品零售点市场单元</w:t>
      </w:r>
      <w:r>
        <w:rPr>
          <w:rFonts w:hint="eastAsia" w:ascii="仿宋_GB2312" w:hAnsi="仿宋_GB2312" w:eastAsia="仿宋_GB2312" w:cs="仿宋_GB2312"/>
          <w:sz w:val="32"/>
          <w:szCs w:val="32"/>
          <w:lang w:eastAsia="zh-CN"/>
        </w:rPr>
        <w:t>容量</w:t>
      </w:r>
      <w:r>
        <w:rPr>
          <w:rFonts w:hint="eastAsia" w:ascii="仿宋_GB2312" w:hAnsi="仿宋_GB2312" w:eastAsia="仿宋_GB2312" w:cs="仿宋_GB2312"/>
          <w:sz w:val="32"/>
          <w:szCs w:val="32"/>
        </w:rPr>
        <w:t>和轮候名单。</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jc w:val="center"/>
        <w:textAlignment w:val="auto"/>
        <w:rPr>
          <w:rFonts w:hint="eastAsia" w:ascii="仿宋_GB2312" w:hAnsi="仿宋_GB2312" w:eastAsia="仿宋_GB2312" w:cs="仿宋_GB2312"/>
          <w:b/>
          <w:bCs/>
          <w:color w:val="auto"/>
          <w:sz w:val="32"/>
          <w:szCs w:val="32"/>
          <w:highlight w:val="none"/>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jc w:val="center"/>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二</w:t>
      </w:r>
      <w:r>
        <w:rPr>
          <w:rFonts w:hint="eastAsia" w:ascii="黑体" w:hAnsi="黑体" w:eastAsia="黑体" w:cs="黑体"/>
          <w:b w:val="0"/>
          <w:bCs w:val="0"/>
          <w:color w:val="auto"/>
          <w:sz w:val="32"/>
          <w:szCs w:val="32"/>
          <w:highlight w:val="none"/>
        </w:rPr>
        <w:t>章</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i w:val="0"/>
          <w:iCs w:val="0"/>
          <w:caps w:val="0"/>
          <w:color w:val="auto"/>
          <w:spacing w:val="0"/>
          <w:kern w:val="2"/>
          <w:sz w:val="32"/>
          <w:szCs w:val="32"/>
          <w:highlight w:val="none"/>
          <w:shd w:val="clear" w:color="auto" w:fill="FFFFFF"/>
          <w:lang w:val="en-US" w:eastAsia="zh-CN" w:bidi="ar-SA"/>
        </w:rPr>
        <w:t>布局标准</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八</w:t>
      </w:r>
      <w:r>
        <w:rPr>
          <w:rFonts w:hint="eastAsia" w:ascii="黑体" w:hAnsi="黑体" w:eastAsia="黑体" w:cs="黑体"/>
          <w:b w:val="0"/>
          <w:bCs w:val="0"/>
          <w:color w:val="auto"/>
          <w:sz w:val="32"/>
          <w:szCs w:val="32"/>
          <w:highlight w:val="none"/>
        </w:rPr>
        <w:t>条</w:t>
      </w:r>
      <w:r>
        <w:rPr>
          <w:rFonts w:hint="eastAsia" w:ascii="黑体" w:hAnsi="黑体" w:eastAsia="黑体" w:cs="黑体"/>
          <w:b w:val="0"/>
          <w:bCs w:val="0"/>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社区市场单元采取“容量+间距+限制性条款”管理模式。</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社区市场单元容量上限可通过政府网站</w:t>
      </w:r>
      <w:r>
        <w:rPr>
          <w:rFonts w:hint="eastAsia" w:ascii="仿宋_GB2312" w:hAnsi="仿宋_GB2312" w:eastAsia="仿宋_GB2312" w:cs="仿宋_GB2312"/>
          <w:color w:val="auto"/>
          <w:sz w:val="32"/>
          <w:szCs w:val="32"/>
          <w:highlight w:val="none"/>
          <w:lang w:eastAsia="zh-CN"/>
        </w:rPr>
        <w:t>或</w:t>
      </w:r>
      <w:r>
        <w:rPr>
          <w:rFonts w:hint="eastAsia" w:ascii="仿宋_GB2312" w:hAnsi="仿宋_GB2312" w:eastAsia="仿宋_GB2312" w:cs="仿宋_GB2312"/>
          <w:color w:val="auto"/>
          <w:sz w:val="32"/>
          <w:szCs w:val="32"/>
          <w:highlight w:val="none"/>
        </w:rPr>
        <w:t>新烟政务通等媒介进行查询。</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间距设置标准：零售点间隔距离不小于</w:t>
      </w:r>
      <w:r>
        <w:rPr>
          <w:rFonts w:hint="eastAsia" w:ascii="仿宋_GB2312" w:hAnsi="仿宋_GB2312" w:eastAsia="仿宋_GB2312" w:cs="仿宋_GB2312"/>
          <w:color w:val="auto"/>
          <w:sz w:val="32"/>
          <w:szCs w:val="32"/>
          <w:highlight w:val="none"/>
          <w:lang w:val="en-US" w:eastAsia="zh-CN"/>
        </w:rPr>
        <w:t>30</w:t>
      </w:r>
      <w:r>
        <w:rPr>
          <w:rFonts w:hint="eastAsia" w:ascii="仿宋_GB2312" w:hAnsi="仿宋_GB2312" w:eastAsia="仿宋_GB2312" w:cs="仿宋_GB2312"/>
          <w:color w:val="auto"/>
          <w:sz w:val="32"/>
          <w:szCs w:val="32"/>
          <w:highlight w:val="none"/>
        </w:rPr>
        <w:t>米</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九</w:t>
      </w:r>
      <w:r>
        <w:rPr>
          <w:rFonts w:hint="eastAsia" w:ascii="黑体" w:hAnsi="黑体" w:eastAsia="黑体" w:cs="黑体"/>
          <w:b w:val="0"/>
          <w:bCs w:val="0"/>
          <w:color w:val="auto"/>
          <w:sz w:val="32"/>
          <w:szCs w:val="32"/>
          <w:highlight w:val="none"/>
        </w:rPr>
        <w:t>条</w:t>
      </w:r>
      <w:r>
        <w:rPr>
          <w:rFonts w:hint="eastAsia" w:ascii="仿宋_GB2312" w:hAnsi="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行政</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自然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村市场单元采取“容量+间距+限制性条款”管理模式。</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行政</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自然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村市场单元容量上限可通过政府网站或新烟政务通等媒介进行查询。</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间距设置标准：零售点间隔距离不小于</w:t>
      </w:r>
      <w:r>
        <w:rPr>
          <w:rFonts w:hint="eastAsia" w:ascii="仿宋_GB2312" w:hAnsi="仿宋_GB2312" w:eastAsia="仿宋_GB2312" w:cs="仿宋_GB2312"/>
          <w:color w:val="auto"/>
          <w:sz w:val="32"/>
          <w:szCs w:val="32"/>
          <w:highlight w:val="none"/>
          <w:lang w:val="en-US" w:eastAsia="zh-CN"/>
        </w:rPr>
        <w:t>50</w:t>
      </w:r>
      <w:r>
        <w:rPr>
          <w:rFonts w:hint="eastAsia" w:ascii="仿宋_GB2312" w:hAnsi="仿宋_GB2312" w:eastAsia="仿宋_GB2312" w:cs="仿宋_GB2312"/>
          <w:color w:val="auto"/>
          <w:sz w:val="32"/>
          <w:szCs w:val="32"/>
          <w:highlight w:val="none"/>
        </w:rPr>
        <w:t>米</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第十条</w:t>
      </w:r>
      <w:r>
        <w:rPr>
          <w:rFonts w:hint="eastAsia" w:ascii="黑体" w:hAnsi="黑体" w:eastAsia="黑体" w:cs="黑体"/>
          <w:b w:val="0"/>
          <w:bCs w:val="0"/>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特殊区域市场单元采取“容量+</w:t>
      </w:r>
      <w:r>
        <w:rPr>
          <w:rFonts w:hint="eastAsia" w:ascii="仿宋_GB2312" w:hAnsi="仿宋_GB2312" w:eastAsia="仿宋_GB2312" w:cs="仿宋_GB2312"/>
          <w:strike w:val="0"/>
          <w:dstrike w:val="0"/>
          <w:color w:val="auto"/>
          <w:sz w:val="32"/>
          <w:szCs w:val="32"/>
          <w:highlight w:val="none"/>
        </w:rPr>
        <w:t>间距+</w:t>
      </w:r>
      <w:r>
        <w:rPr>
          <w:rFonts w:hint="eastAsia" w:ascii="仿宋_GB2312" w:hAnsi="仿宋_GB2312" w:eastAsia="仿宋_GB2312" w:cs="仿宋_GB2312"/>
          <w:color w:val="auto"/>
          <w:sz w:val="32"/>
          <w:szCs w:val="32"/>
          <w:highlight w:val="none"/>
        </w:rPr>
        <w:t>限制性条款”管理模式。</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特殊区域市场单元容量上限可通过政府网站或新烟政务通等媒介进行查询。</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特殊区域市场单元具体设置标准：</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default" w:ascii="仿宋_GB2312" w:eastAsia="仿宋_GB2312"/>
          <w:color w:val="auto"/>
          <w:sz w:val="32"/>
          <w:szCs w:val="32"/>
          <w:highlight w:val="none"/>
          <w:lang w:val="en-US" w:eastAsia="zh-CN"/>
        </w:rPr>
      </w:pPr>
      <w:r>
        <w:rPr>
          <w:rFonts w:hint="eastAsia" w:ascii="仿宋_GB2312" w:hAnsi="Calibri" w:eastAsia="仿宋_GB2312" w:cs="Times New Roman"/>
          <w:color w:val="auto"/>
          <w:kern w:val="2"/>
          <w:sz w:val="32"/>
          <w:szCs w:val="32"/>
          <w:highlight w:val="none"/>
          <w:lang w:val="en-US" w:eastAsia="zh-CN" w:bidi="ar-SA"/>
        </w:rPr>
        <w:t>1.</w:t>
      </w:r>
      <w:r>
        <w:rPr>
          <w:rFonts w:hint="eastAsia" w:ascii="仿宋_GB2312" w:eastAsia="仿宋_GB2312"/>
          <w:color w:val="auto"/>
          <w:sz w:val="32"/>
          <w:szCs w:val="32"/>
          <w:highlight w:val="none"/>
          <w:lang w:val="en-US" w:eastAsia="zh-CN"/>
        </w:rPr>
        <w:t>飞机场、火车站、汽车站候机厅内，设置零售点原则上不</w:t>
      </w:r>
      <w:r>
        <w:rPr>
          <w:rFonts w:hint="default" w:ascii="仿宋_GB2312" w:eastAsia="仿宋_GB2312"/>
          <w:color w:val="auto"/>
          <w:sz w:val="32"/>
          <w:szCs w:val="32"/>
          <w:highlight w:val="none"/>
          <w:lang w:val="en-US" w:eastAsia="zh-CN"/>
        </w:rPr>
        <w:t>超过</w:t>
      </w:r>
      <w:r>
        <w:rPr>
          <w:rFonts w:hint="eastAsia" w:ascii="仿宋_GB2312" w:eastAsia="仿宋_GB2312"/>
          <w:color w:val="auto"/>
          <w:sz w:val="32"/>
          <w:szCs w:val="32"/>
          <w:highlight w:val="none"/>
          <w:lang w:val="en-US" w:eastAsia="zh-CN"/>
        </w:rPr>
        <w:t>2</w:t>
      </w:r>
      <w:r>
        <w:rPr>
          <w:rFonts w:hint="default" w:ascii="仿宋_GB2312" w:eastAsia="仿宋_GB2312"/>
          <w:color w:val="auto"/>
          <w:sz w:val="32"/>
          <w:szCs w:val="32"/>
          <w:highlight w:val="none"/>
          <w:lang w:val="en-US" w:eastAsia="zh-CN"/>
        </w:rPr>
        <w:t>个</w:t>
      </w:r>
      <w:r>
        <w:rPr>
          <w:rFonts w:hint="eastAsia" w:ascii="仿宋_GB2312" w:eastAsia="仿宋_GB2312"/>
          <w:color w:val="auto"/>
          <w:sz w:val="32"/>
          <w:szCs w:val="32"/>
          <w:highlight w:val="none"/>
          <w:lang w:val="en-US" w:eastAsia="zh-CN"/>
        </w:rPr>
        <w:t>；外围服务区，设置零售点原则上不超过2个，零售点间距不少于30米。</w:t>
      </w:r>
    </w:p>
    <w:p>
      <w:pPr>
        <w:keepNext w:val="0"/>
        <w:keepLines w:val="0"/>
        <w:pageBreakBefore w:val="0"/>
        <w:kinsoku/>
        <w:wordWrap/>
        <w:overflowPunct/>
        <w:topLinePunct w:val="0"/>
        <w:autoSpaceDE/>
        <w:autoSpaceDN/>
        <w:bidi w:val="0"/>
        <w:adjustRightInd/>
        <w:snapToGrid/>
        <w:spacing w:line="550" w:lineRule="exact"/>
        <w:ind w:firstLine="640"/>
        <w:jc w:val="both"/>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2.高速公路服务区，设置零售点原则上不超过2个。</w:t>
      </w:r>
    </w:p>
    <w:p>
      <w:pPr>
        <w:keepNext w:val="0"/>
        <w:keepLines w:val="0"/>
        <w:pageBreakBefore w:val="0"/>
        <w:kinsoku/>
        <w:wordWrap/>
        <w:overflowPunct/>
        <w:topLinePunct w:val="0"/>
        <w:autoSpaceDE/>
        <w:autoSpaceDN/>
        <w:bidi w:val="0"/>
        <w:adjustRightInd/>
        <w:snapToGrid/>
        <w:spacing w:line="550" w:lineRule="exact"/>
        <w:ind w:firstLine="645"/>
        <w:jc w:val="both"/>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3.高等院校等区域，设置零售点原则上不超过2个。</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.军队驻地、监狱、看守所、拘留所、戒毒所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封闭式景区场所</w:t>
      </w:r>
      <w:r>
        <w:rPr>
          <w:rFonts w:hint="eastAsia" w:ascii="仿宋_GB2312" w:hAnsi="仿宋_GB2312" w:eastAsia="仿宋_GB2312" w:cs="仿宋_GB2312"/>
          <w:color w:val="auto"/>
          <w:sz w:val="32"/>
          <w:szCs w:val="32"/>
          <w:highlight w:val="none"/>
        </w:rPr>
        <w:t>等专供内部消费且能接受烟草专卖行政许可部门日常检查的经营场所内部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设置零售点</w:t>
      </w:r>
      <w:r>
        <w:rPr>
          <w:rFonts w:hint="eastAsia" w:ascii="仿宋_GB2312" w:hAnsi="仿宋_GB2312" w:eastAsia="仿宋_GB2312" w:cs="仿宋_GB2312"/>
          <w:color w:val="auto"/>
          <w:sz w:val="32"/>
          <w:szCs w:val="32"/>
          <w:highlight w:val="none"/>
          <w:lang w:val="en-US" w:eastAsia="zh-CN"/>
        </w:rPr>
        <w:t>原则上</w:t>
      </w:r>
      <w:r>
        <w:rPr>
          <w:rFonts w:hint="eastAsia" w:ascii="仿宋_GB2312" w:hAnsi="仿宋_GB2312" w:eastAsia="仿宋_GB2312" w:cs="仿宋_GB2312"/>
          <w:color w:val="auto"/>
          <w:sz w:val="32"/>
          <w:szCs w:val="32"/>
          <w:highlight w:val="none"/>
        </w:rPr>
        <w:t>不超过</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个。</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5.物流园区，</w:t>
      </w:r>
      <w:r>
        <w:rPr>
          <w:rFonts w:hint="eastAsia" w:ascii="仿宋_GB2312" w:eastAsia="仿宋_GB2312"/>
          <w:color w:val="auto"/>
          <w:sz w:val="32"/>
          <w:szCs w:val="32"/>
          <w:highlight w:val="none"/>
        </w:rPr>
        <w:t>按照</w:t>
      </w:r>
      <w:r>
        <w:rPr>
          <w:rFonts w:hint="eastAsia" w:ascii="仿宋_GB2312" w:eastAsia="仿宋_GB2312"/>
          <w:color w:val="auto"/>
          <w:sz w:val="32"/>
          <w:szCs w:val="32"/>
          <w:highlight w:val="none"/>
          <w:lang w:val="en-US" w:eastAsia="zh-CN"/>
        </w:rPr>
        <w:t>一层及以下</w:t>
      </w:r>
      <w:r>
        <w:rPr>
          <w:rFonts w:hint="eastAsia" w:ascii="仿宋_GB2312" w:eastAsia="仿宋_GB2312"/>
          <w:color w:val="auto"/>
          <w:sz w:val="32"/>
          <w:szCs w:val="32"/>
          <w:highlight w:val="none"/>
        </w:rPr>
        <w:t>固定门</w:t>
      </w:r>
      <w:r>
        <w:rPr>
          <w:rFonts w:hint="eastAsia" w:ascii="仿宋_GB2312" w:eastAsia="仿宋_GB2312"/>
          <w:color w:val="auto"/>
          <w:sz w:val="32"/>
          <w:szCs w:val="32"/>
          <w:highlight w:val="none"/>
          <w:lang w:eastAsia="zh-CN"/>
        </w:rPr>
        <w:t>面数量设置零售点，不满</w:t>
      </w:r>
      <w:r>
        <w:rPr>
          <w:rFonts w:hint="eastAsia" w:ascii="仿宋_GB2312" w:eastAsia="仿宋_GB2312"/>
          <w:color w:val="auto"/>
          <w:sz w:val="32"/>
          <w:szCs w:val="32"/>
          <w:highlight w:val="none"/>
          <w:lang w:val="en-US" w:eastAsia="zh-CN"/>
        </w:rPr>
        <w:t>50个门面的，可</w:t>
      </w:r>
      <w:r>
        <w:rPr>
          <w:rFonts w:hint="eastAsia" w:ascii="仿宋_GB2312" w:eastAsia="仿宋_GB2312"/>
          <w:color w:val="auto"/>
          <w:sz w:val="32"/>
          <w:szCs w:val="32"/>
          <w:highlight w:val="none"/>
        </w:rPr>
        <w:t>设置</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个零售点，每增</w:t>
      </w:r>
      <w:r>
        <w:rPr>
          <w:rFonts w:hint="eastAsia" w:ascii="仿宋_GB2312" w:eastAsia="仿宋_GB2312"/>
          <w:color w:val="auto"/>
          <w:sz w:val="32"/>
          <w:szCs w:val="32"/>
          <w:highlight w:val="none"/>
          <w:lang w:val="en-US" w:eastAsia="zh-CN"/>
        </w:rPr>
        <w:t>加50个门面增设1个零售点。</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6.工业园区。</w:t>
      </w:r>
      <w:r>
        <w:rPr>
          <w:rFonts w:hint="eastAsia" w:ascii="仿宋_GB2312" w:eastAsia="仿宋_GB2312"/>
          <w:color w:val="auto"/>
          <w:sz w:val="32"/>
          <w:szCs w:val="32"/>
          <w:highlight w:val="none"/>
        </w:rPr>
        <w:t>按照</w:t>
      </w:r>
      <w:r>
        <w:rPr>
          <w:rFonts w:hint="eastAsia" w:ascii="仿宋_GB2312" w:eastAsia="仿宋_GB2312"/>
          <w:color w:val="auto"/>
          <w:sz w:val="32"/>
          <w:szCs w:val="32"/>
          <w:highlight w:val="none"/>
          <w:lang w:eastAsia="zh-CN"/>
        </w:rPr>
        <w:t>所设定的区域设置零售点，</w:t>
      </w:r>
      <w:r>
        <w:rPr>
          <w:rFonts w:hint="eastAsia" w:ascii="仿宋_GB2312" w:eastAsia="仿宋_GB2312"/>
          <w:color w:val="auto"/>
          <w:sz w:val="32"/>
          <w:szCs w:val="32"/>
          <w:highlight w:val="none"/>
          <w:lang w:val="en-US" w:eastAsia="zh-CN"/>
        </w:rPr>
        <w:t>零售点间距不少于30米，</w:t>
      </w:r>
      <w:r>
        <w:rPr>
          <w:rFonts w:hint="eastAsia" w:ascii="仿宋_GB2312" w:hAnsi="仿宋_GB2312" w:eastAsia="仿宋_GB2312" w:cs="仿宋_GB2312"/>
          <w:color w:val="auto"/>
          <w:sz w:val="32"/>
          <w:szCs w:val="32"/>
          <w:highlight w:val="none"/>
        </w:rPr>
        <w:t>设置零售点应在一层及以下</w:t>
      </w:r>
      <w:r>
        <w:rPr>
          <w:rFonts w:hint="eastAsia" w:ascii="仿宋_GB2312" w:hAnsi="仿宋_GB2312" w:eastAsia="仿宋_GB2312" w:cs="仿宋_GB2312"/>
          <w:color w:val="auto"/>
          <w:sz w:val="32"/>
          <w:szCs w:val="32"/>
          <w:highlight w:val="none"/>
          <w:lang w:eastAsia="zh-CN"/>
        </w:rPr>
        <w:t>，</w:t>
      </w:r>
      <w:r>
        <w:rPr>
          <w:rFonts w:hint="eastAsia" w:ascii="仿宋_GB2312" w:eastAsia="仿宋_GB2312"/>
          <w:color w:val="auto"/>
          <w:sz w:val="32"/>
          <w:szCs w:val="32"/>
          <w:highlight w:val="none"/>
          <w:lang w:val="en-US" w:eastAsia="zh-CN"/>
        </w:rPr>
        <w:t>原则上不超过10个。</w:t>
      </w:r>
    </w:p>
    <w:p>
      <w:pPr>
        <w:keepNext w:val="0"/>
        <w:keepLines w:val="0"/>
        <w:pageBreakBefore w:val="0"/>
        <w:kinsoku/>
        <w:wordWrap/>
        <w:overflowPunct/>
        <w:topLinePunct w:val="0"/>
        <w:autoSpaceDE/>
        <w:autoSpaceDN/>
        <w:bidi w:val="0"/>
        <w:adjustRightInd/>
        <w:snapToGrid/>
        <w:spacing w:line="550" w:lineRule="exact"/>
        <w:ind w:firstLine="645"/>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7.工、矿企业</w:t>
      </w:r>
      <w:r>
        <w:rPr>
          <w:rFonts w:hint="eastAsia" w:ascii="仿宋_GB2312" w:eastAsia="仿宋_GB2312" w:cs="仿宋_GB2312"/>
          <w:color w:val="auto"/>
          <w:kern w:val="0"/>
          <w:sz w:val="32"/>
          <w:szCs w:val="32"/>
          <w:highlight w:val="none"/>
        </w:rPr>
        <w:t>生活区域</w:t>
      </w:r>
      <w:r>
        <w:rPr>
          <w:rFonts w:hint="eastAsia" w:ascii="仿宋_GB2312" w:eastAsia="仿宋_GB2312" w:cs="仿宋_GB2312"/>
          <w:color w:val="auto"/>
          <w:kern w:val="0"/>
          <w:sz w:val="32"/>
          <w:szCs w:val="32"/>
          <w:highlight w:val="none"/>
          <w:lang w:eastAsia="zh-CN"/>
        </w:rPr>
        <w:t>，按照</w:t>
      </w:r>
      <w:r>
        <w:rPr>
          <w:rFonts w:hint="eastAsia" w:ascii="仿宋_GB2312" w:eastAsia="仿宋_GB2312"/>
          <w:color w:val="auto"/>
          <w:sz w:val="32"/>
          <w:szCs w:val="32"/>
          <w:highlight w:val="none"/>
          <w:lang w:val="en-US" w:eastAsia="zh-CN"/>
        </w:rPr>
        <w:t>用工人数设置零售点，不满400人的，可设置1个零售点，每增加400人增设1个零售点。</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.有设置项目部且工程工期在一年以上的建筑工地，</w:t>
      </w:r>
      <w:r>
        <w:rPr>
          <w:rFonts w:hint="eastAsia" w:ascii="仿宋_GB2312" w:eastAsia="仿宋_GB2312" w:cs="Times New Roman"/>
          <w:color w:val="auto"/>
          <w:kern w:val="2"/>
          <w:sz w:val="32"/>
          <w:szCs w:val="32"/>
          <w:highlight w:val="none"/>
          <w:lang w:val="en-US" w:eastAsia="zh-CN" w:bidi="ar-SA"/>
        </w:rPr>
        <w:t>可在生活区设置</w:t>
      </w:r>
      <w:r>
        <w:rPr>
          <w:rFonts w:hint="eastAsia" w:ascii="仿宋_GB2312" w:eastAsia="仿宋_GB2312" w:cs="Times New Roman"/>
          <w:strike w:val="0"/>
          <w:dstrike w:val="0"/>
          <w:color w:val="auto"/>
          <w:kern w:val="2"/>
          <w:sz w:val="32"/>
          <w:szCs w:val="32"/>
          <w:highlight w:val="none"/>
          <w:lang w:val="en-US" w:eastAsia="zh-CN" w:bidi="ar-SA"/>
        </w:rPr>
        <w:t>零售点，原则上</w:t>
      </w:r>
      <w:r>
        <w:rPr>
          <w:rFonts w:hint="eastAsia" w:ascii="仿宋_GB2312" w:eastAsia="仿宋_GB2312" w:cs="Times New Roman"/>
          <w:color w:val="auto"/>
          <w:kern w:val="2"/>
          <w:sz w:val="32"/>
          <w:szCs w:val="32"/>
          <w:highlight w:val="none"/>
          <w:lang w:val="en-US" w:eastAsia="zh-CN" w:bidi="ar-SA"/>
        </w:rPr>
        <w:t>不超过2个。</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集贸市场、综合性市场或专业市场，按所属市场管理部门提供的</w:t>
      </w:r>
      <w:r>
        <w:rPr>
          <w:rFonts w:hint="eastAsia" w:ascii="仿宋_GB2312" w:hAnsi="仿宋_GB2312" w:eastAsia="仿宋_GB2312" w:cs="仿宋_GB2312"/>
          <w:color w:val="auto"/>
          <w:sz w:val="32"/>
          <w:szCs w:val="32"/>
          <w:highlight w:val="none"/>
          <w:lang w:eastAsia="zh-CN"/>
        </w:rPr>
        <w:t>门面</w:t>
      </w:r>
      <w:r>
        <w:rPr>
          <w:rFonts w:hint="eastAsia" w:ascii="仿宋_GB2312" w:hAnsi="仿宋_GB2312" w:eastAsia="仿宋_GB2312" w:cs="仿宋_GB2312"/>
          <w:color w:val="auto"/>
          <w:sz w:val="32"/>
          <w:szCs w:val="32"/>
          <w:highlight w:val="none"/>
        </w:rPr>
        <w:t>数量，</w:t>
      </w:r>
      <w:r>
        <w:rPr>
          <w:rFonts w:hint="eastAsia" w:ascii="仿宋_GB2312" w:hAnsi="仿宋_GB2312" w:eastAsia="仿宋_GB2312" w:cs="仿宋_GB2312"/>
          <w:color w:val="auto"/>
          <w:sz w:val="32"/>
          <w:szCs w:val="32"/>
          <w:highlight w:val="none"/>
          <w:lang w:val="en-US" w:eastAsia="zh-CN"/>
        </w:rPr>
        <w:t>50</w:t>
      </w:r>
      <w:r>
        <w:rPr>
          <w:rFonts w:hint="eastAsia" w:ascii="仿宋_GB2312" w:hAnsi="仿宋_GB2312" w:eastAsia="仿宋_GB2312" w:cs="仿宋_GB2312"/>
          <w:color w:val="auto"/>
          <w:sz w:val="32"/>
          <w:szCs w:val="32"/>
          <w:highlight w:val="none"/>
        </w:rPr>
        <w:t>个</w:t>
      </w:r>
      <w:r>
        <w:rPr>
          <w:rFonts w:hint="eastAsia" w:ascii="仿宋_GB2312" w:hAnsi="仿宋_GB2312" w:eastAsia="仿宋_GB2312" w:cs="仿宋_GB2312"/>
          <w:color w:val="auto"/>
          <w:sz w:val="32"/>
          <w:szCs w:val="32"/>
          <w:highlight w:val="none"/>
          <w:lang w:eastAsia="zh-CN"/>
        </w:rPr>
        <w:t>门面</w:t>
      </w:r>
      <w:r>
        <w:rPr>
          <w:rFonts w:hint="eastAsia" w:ascii="仿宋_GB2312" w:hAnsi="仿宋_GB2312" w:eastAsia="仿宋_GB2312" w:cs="仿宋_GB2312"/>
          <w:color w:val="auto"/>
          <w:sz w:val="32"/>
          <w:szCs w:val="32"/>
          <w:highlight w:val="none"/>
        </w:rPr>
        <w:t>以下的可设置</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个零售点；每增加</w:t>
      </w:r>
      <w:r>
        <w:rPr>
          <w:rFonts w:hint="eastAsia" w:ascii="仿宋_GB2312" w:hAnsi="仿宋_GB2312" w:eastAsia="仿宋_GB2312" w:cs="仿宋_GB2312"/>
          <w:color w:val="auto"/>
          <w:sz w:val="32"/>
          <w:szCs w:val="32"/>
          <w:highlight w:val="none"/>
          <w:lang w:val="en-US" w:eastAsia="zh-CN"/>
        </w:rPr>
        <w:t>50</w:t>
      </w:r>
      <w:r>
        <w:rPr>
          <w:rFonts w:hint="eastAsia" w:ascii="仿宋_GB2312" w:hAnsi="仿宋_GB2312" w:eastAsia="仿宋_GB2312" w:cs="仿宋_GB2312"/>
          <w:color w:val="auto"/>
          <w:sz w:val="32"/>
          <w:szCs w:val="32"/>
          <w:highlight w:val="none"/>
        </w:rPr>
        <w:t>个</w:t>
      </w:r>
      <w:r>
        <w:rPr>
          <w:rFonts w:hint="eastAsia" w:ascii="仿宋_GB2312" w:hAnsi="仿宋_GB2312" w:eastAsia="仿宋_GB2312" w:cs="仿宋_GB2312"/>
          <w:color w:val="auto"/>
          <w:sz w:val="32"/>
          <w:szCs w:val="32"/>
          <w:highlight w:val="none"/>
          <w:lang w:eastAsia="zh-CN"/>
        </w:rPr>
        <w:t>门面</w:t>
      </w:r>
      <w:r>
        <w:rPr>
          <w:rFonts w:hint="eastAsia" w:ascii="仿宋_GB2312" w:hAnsi="仿宋_GB2312" w:eastAsia="仿宋_GB2312" w:cs="仿宋_GB2312"/>
          <w:color w:val="auto"/>
          <w:sz w:val="32"/>
          <w:szCs w:val="32"/>
          <w:highlight w:val="none"/>
        </w:rPr>
        <w:t>可增设</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个零售点，设置零售点应在一层及以下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原则上</w:t>
      </w:r>
      <w:r>
        <w:rPr>
          <w:rFonts w:hint="eastAsia" w:ascii="仿宋_GB2312" w:eastAsia="仿宋_GB2312"/>
          <w:color w:val="auto"/>
          <w:sz w:val="32"/>
          <w:szCs w:val="32"/>
          <w:highlight w:val="none"/>
          <w:lang w:val="en-US" w:eastAsia="zh-CN"/>
        </w:rPr>
        <w:t>不超过10个，零售点间距不少于30米。</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.国道、省道沿线设置零售点间距不得少于</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米</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且不受</w:t>
      </w:r>
      <w:r>
        <w:rPr>
          <w:rFonts w:hint="eastAsia" w:ascii="仿宋_GB2312" w:hAnsi="仿宋_GB2312" w:eastAsia="仿宋_GB2312" w:cs="仿宋_GB2312"/>
          <w:color w:val="auto"/>
          <w:sz w:val="32"/>
          <w:szCs w:val="32"/>
          <w:highlight w:val="none"/>
          <w:lang w:val="en-US" w:eastAsia="zh-CN"/>
        </w:rPr>
        <w:t>市场单元</w:t>
      </w:r>
      <w:r>
        <w:rPr>
          <w:rFonts w:hint="eastAsia" w:ascii="仿宋_GB2312" w:hAnsi="仿宋_GB2312" w:eastAsia="仿宋_GB2312" w:cs="仿宋_GB2312"/>
          <w:color w:val="auto"/>
          <w:sz w:val="32"/>
          <w:szCs w:val="32"/>
          <w:highlight w:val="none"/>
        </w:rPr>
        <w:t>容量限制。国道、省道起始范围可通过政府网站或新烟政务通等媒介进行查询。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pP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val="en-US" w:eastAsia="zh-CN"/>
        </w:rPr>
        <w:t>11</w:t>
      </w:r>
      <w:r>
        <w:rPr>
          <w:rFonts w:hint="default" w:ascii="仿宋_GB2312" w:hAnsi="微软雅黑" w:eastAsia="仿宋_GB2312" w:cs="仿宋_GB2312"/>
          <w:b w:val="0"/>
          <w:bCs w:val="0"/>
          <w:i w:val="0"/>
          <w:iCs w:val="0"/>
          <w:caps w:val="0"/>
          <w:color w:val="auto"/>
          <w:spacing w:val="0"/>
          <w:sz w:val="32"/>
          <w:szCs w:val="32"/>
          <w:highlight w:val="none"/>
          <w:shd w:val="clear" w:color="auto" w:fill="FFFFFF"/>
        </w:rPr>
        <w:t>.社区市场单元内的</w:t>
      </w: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t>新建</w:t>
      </w:r>
      <w:r>
        <w:rPr>
          <w:rFonts w:hint="default" w:ascii="仿宋_GB2312" w:hAnsi="微软雅黑" w:eastAsia="仿宋_GB2312" w:cs="仿宋_GB2312"/>
          <w:b w:val="0"/>
          <w:bCs w:val="0"/>
          <w:i w:val="0"/>
          <w:iCs w:val="0"/>
          <w:caps w:val="0"/>
          <w:color w:val="auto"/>
          <w:spacing w:val="0"/>
          <w:sz w:val="32"/>
          <w:szCs w:val="32"/>
          <w:highlight w:val="none"/>
          <w:shd w:val="clear" w:color="auto" w:fill="FFFFFF"/>
        </w:rPr>
        <w:t>住宅小区</w:t>
      </w: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t>自交付使用</w:t>
      </w: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val="en-US" w:eastAsia="zh-CN"/>
        </w:rPr>
        <w:t>1年内</w:t>
      </w:r>
      <w:r>
        <w:rPr>
          <w:rFonts w:hint="default" w:ascii="仿宋_GB2312" w:hAnsi="微软雅黑" w:eastAsia="仿宋_GB2312" w:cs="仿宋_GB2312"/>
          <w:b w:val="0"/>
          <w:bCs w:val="0"/>
          <w:i w:val="0"/>
          <w:iCs w:val="0"/>
          <w:caps w:val="0"/>
          <w:color w:val="auto"/>
          <w:spacing w:val="0"/>
          <w:sz w:val="32"/>
          <w:szCs w:val="32"/>
          <w:highlight w:val="none"/>
          <w:shd w:val="clear" w:color="auto" w:fill="FFFFFF"/>
        </w:rPr>
        <w:t>，不受</w:t>
      </w: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val="en-US" w:eastAsia="zh-CN"/>
        </w:rPr>
        <w:t>所在社区</w:t>
      </w:r>
      <w:r>
        <w:rPr>
          <w:rFonts w:hint="default" w:ascii="仿宋_GB2312" w:hAnsi="微软雅黑" w:eastAsia="仿宋_GB2312" w:cs="仿宋_GB2312"/>
          <w:b w:val="0"/>
          <w:bCs w:val="0"/>
          <w:i w:val="0"/>
          <w:iCs w:val="0"/>
          <w:caps w:val="0"/>
          <w:color w:val="auto"/>
          <w:spacing w:val="0"/>
          <w:sz w:val="32"/>
          <w:szCs w:val="32"/>
          <w:highlight w:val="none"/>
          <w:shd w:val="clear" w:color="auto" w:fill="FFFFFF"/>
        </w:rPr>
        <w:t>市场单元容量限制</w:t>
      </w: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t>，</w:t>
      </w:r>
      <w:r>
        <w:rPr>
          <w:rFonts w:hint="eastAsia" w:ascii="仿宋_GB2312" w:eastAsia="仿宋_GB2312"/>
          <w:color w:val="auto"/>
          <w:sz w:val="32"/>
          <w:szCs w:val="32"/>
          <w:highlight w:val="none"/>
          <w:lang w:val="en-US" w:eastAsia="zh-CN"/>
        </w:rPr>
        <w:t>按照小区住宅户数设置零售点，不满120户的，可设置1个零售点，每增加120户增设1个零售点，</w:t>
      </w:r>
      <w:r>
        <w:rPr>
          <w:rFonts w:hint="eastAsia" w:ascii="仿宋_GB2312" w:hAnsi="仿宋_GB2312" w:eastAsia="仿宋_GB2312" w:cs="仿宋_GB2312"/>
          <w:color w:val="auto"/>
          <w:sz w:val="32"/>
          <w:szCs w:val="32"/>
          <w:highlight w:val="none"/>
          <w:lang w:val="en-US" w:eastAsia="zh-CN"/>
        </w:rPr>
        <w:t>设置零售点原则上</w:t>
      </w:r>
      <w:r>
        <w:rPr>
          <w:rFonts w:hint="eastAsia" w:ascii="仿宋_GB2312" w:eastAsia="仿宋_GB2312"/>
          <w:color w:val="auto"/>
          <w:sz w:val="32"/>
          <w:szCs w:val="32"/>
          <w:highlight w:val="none"/>
          <w:lang w:val="en-US" w:eastAsia="zh-CN"/>
        </w:rPr>
        <w:t>不超过8个，</w:t>
      </w:r>
      <w:r>
        <w:rPr>
          <w:rFonts w:hint="eastAsia" w:ascii="仿宋_GB2312" w:eastAsia="仿宋_GB2312"/>
          <w:color w:val="auto"/>
          <w:sz w:val="32"/>
          <w:szCs w:val="32"/>
          <w:highlight w:val="none"/>
        </w:rPr>
        <w:t>零售点</w:t>
      </w:r>
      <w:r>
        <w:rPr>
          <w:rFonts w:hint="eastAsia" w:ascii="仿宋_GB2312" w:eastAsia="仿宋_GB2312"/>
          <w:color w:val="auto"/>
          <w:sz w:val="32"/>
          <w:szCs w:val="32"/>
          <w:highlight w:val="none"/>
          <w:lang w:val="en-US" w:eastAsia="zh-CN"/>
        </w:rPr>
        <w:t>间距不少于30米。</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left"/>
        <w:textAlignment w:val="auto"/>
        <w:rPr>
          <w:rFonts w:hint="eastAsia" w:ascii="仿宋_GB2312" w:eastAsia="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12.</w:t>
      </w:r>
      <w:r>
        <w:rPr>
          <w:rFonts w:hint="eastAsia" w:ascii="仿宋_GB2312" w:eastAsia="仿宋_GB2312" w:cs="Times New Roman"/>
          <w:color w:val="auto"/>
          <w:kern w:val="2"/>
          <w:sz w:val="32"/>
          <w:szCs w:val="32"/>
          <w:highlight w:val="none"/>
          <w:lang w:val="en-US" w:eastAsia="zh-CN" w:bidi="ar-SA"/>
        </w:rPr>
        <w:t>乌帕尔镇游客服务中心区域设置零售点原则上</w:t>
      </w:r>
      <w:r>
        <w:rPr>
          <w:rFonts w:hint="eastAsia" w:ascii="仿宋_GB2312" w:eastAsia="仿宋_GB2312"/>
          <w:color w:val="auto"/>
          <w:sz w:val="32"/>
          <w:szCs w:val="32"/>
          <w:highlight w:val="none"/>
          <w:lang w:val="en-US" w:eastAsia="zh-CN"/>
        </w:rPr>
        <w:t>不超过4个。</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left"/>
        <w:textAlignment w:val="auto"/>
        <w:rPr>
          <w:rFonts w:hint="default" w:ascii="仿宋_GB2312" w:eastAsia="仿宋_GB2312"/>
          <w:b/>
          <w:bCs/>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第十一条</w:t>
      </w:r>
      <w:r>
        <w:rPr>
          <w:rFonts w:hint="eastAsia" w:ascii="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主营业务为母婴用品、文具、玩具、五金建材、建筑装潢、美容美发、化妆品店、按摩推拿、药妆医械、中草药售卖、宠物店、文化体育用品、音像制品、家电家具、通信器材、移动业务服务、网吧、台球厅、游戏厅、洗浴中心、KTV、金融证券、仪器仪表、金银珠宝、修理修配、物流企业、洗涤护理、服装制售、鞋帽箱包、中介劳服、寄卖典当、古董店、汽车相关</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维修、销售、美容等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、传真打印、照相馆、成人用品店等专业性较强，与烟草制品零售业务没有直接或间接互补营销关系的业态类型，与其他烟草零售点间距应达到</w:t>
      </w:r>
      <w:r>
        <w:rPr>
          <w:rFonts w:hint="eastAsia" w:ascii="仿宋_GB2312" w:hAnsi="仿宋_GB2312" w:eastAsia="仿宋_GB2312" w:cs="仿宋_GB2312"/>
          <w:color w:val="auto"/>
          <w:sz w:val="32"/>
          <w:szCs w:val="32"/>
          <w:highlight w:val="none"/>
          <w:lang w:val="en-US" w:eastAsia="zh-CN"/>
        </w:rPr>
        <w:t>500</w:t>
      </w:r>
      <w:r>
        <w:rPr>
          <w:rFonts w:hint="eastAsia" w:ascii="仿宋_GB2312" w:hAnsi="仿宋_GB2312" w:eastAsia="仿宋_GB2312" w:cs="仿宋_GB2312"/>
          <w:color w:val="auto"/>
          <w:sz w:val="32"/>
          <w:szCs w:val="32"/>
          <w:highlight w:val="none"/>
        </w:rPr>
        <w:t>米以上。</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jc w:val="center"/>
        <w:textAlignment w:val="auto"/>
        <w:rPr>
          <w:rFonts w:hint="eastAsia" w:ascii="黑体" w:hAnsi="黑体" w:eastAsia="黑体" w:cs="黑体"/>
          <w:b w:val="0"/>
          <w:bCs w:val="0"/>
          <w:color w:val="auto"/>
          <w:sz w:val="32"/>
          <w:szCs w:val="32"/>
          <w:highlight w:val="none"/>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jc w:val="center"/>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三</w:t>
      </w:r>
      <w:r>
        <w:rPr>
          <w:rFonts w:hint="eastAsia" w:ascii="黑体" w:hAnsi="黑体" w:eastAsia="黑体" w:cs="黑体"/>
          <w:b w:val="0"/>
          <w:bCs w:val="0"/>
          <w:color w:val="auto"/>
          <w:sz w:val="32"/>
          <w:szCs w:val="32"/>
          <w:highlight w:val="none"/>
        </w:rPr>
        <w:t xml:space="preserve">章 </w:t>
      </w:r>
      <w:r>
        <w:rPr>
          <w:rFonts w:hint="eastAsia" w:ascii="黑体" w:hAnsi="黑体" w:eastAsia="黑体" w:cs="黑体"/>
          <w:b w:val="0"/>
          <w:bCs w:val="0"/>
          <w:color w:val="auto"/>
          <w:sz w:val="32"/>
          <w:szCs w:val="32"/>
          <w:highlight w:val="none"/>
          <w:lang w:eastAsia="zh-CN"/>
        </w:rPr>
        <w:t>放宽</w:t>
      </w:r>
      <w:r>
        <w:rPr>
          <w:rFonts w:hint="eastAsia" w:ascii="黑体" w:hAnsi="黑体" w:eastAsia="黑体" w:cs="黑体"/>
          <w:b w:val="0"/>
          <w:bCs w:val="0"/>
          <w:color w:val="auto"/>
          <w:sz w:val="32"/>
          <w:szCs w:val="32"/>
          <w:highlight w:val="none"/>
        </w:rPr>
        <w:t>政策</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黑体" w:hAnsi="黑体" w:eastAsia="黑体" w:cs="黑体"/>
          <w:b w:val="0"/>
          <w:bCs w:val="0"/>
          <w:color w:val="auto"/>
          <w:sz w:val="32"/>
          <w:szCs w:val="32"/>
          <w:highlight w:val="none"/>
        </w:rPr>
        <w:t>第十</w:t>
      </w:r>
      <w:r>
        <w:rPr>
          <w:rFonts w:hint="eastAsia" w:ascii="黑体" w:hAnsi="黑体" w:eastAsia="黑体" w:cs="黑体"/>
          <w:b w:val="0"/>
          <w:bCs w:val="0"/>
          <w:color w:val="auto"/>
          <w:sz w:val="32"/>
          <w:szCs w:val="32"/>
          <w:highlight w:val="none"/>
          <w:lang w:eastAsia="zh-CN"/>
        </w:rPr>
        <w:t>二</w:t>
      </w:r>
      <w:r>
        <w:rPr>
          <w:rFonts w:hint="eastAsia" w:ascii="黑体" w:hAnsi="黑体" w:eastAsia="黑体" w:cs="黑体"/>
          <w:b w:val="0"/>
          <w:bCs w:val="0"/>
          <w:color w:val="auto"/>
          <w:sz w:val="32"/>
          <w:szCs w:val="32"/>
          <w:highlight w:val="none"/>
        </w:rPr>
        <w:t>条</w:t>
      </w:r>
      <w:r>
        <w:rPr>
          <w:rFonts w:hint="eastAsia" w:ascii="黑体" w:hAnsi="黑体" w:eastAsia="黑体" w:cs="黑体"/>
          <w:b w:val="0"/>
          <w:bCs w:val="0"/>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符合下列情形之一的，不受市场单元容量、距离限制。</w:t>
      </w:r>
    </w:p>
    <w:p>
      <w:pPr>
        <w:keepNext w:val="0"/>
        <w:keepLines w:val="0"/>
        <w:pageBreakBefore w:val="0"/>
        <w:kinsoku/>
        <w:wordWrap/>
        <w:overflowPunct/>
        <w:topLinePunct w:val="0"/>
        <w:autoSpaceDE/>
        <w:autoSpaceDN/>
        <w:bidi w:val="0"/>
        <w:adjustRightInd/>
        <w:snapToGrid/>
        <w:spacing w:line="550" w:lineRule="exact"/>
        <w:ind w:firstLine="645"/>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（一）旅游景点游客服务区提供餐饮、日杂商品售卖等服务的场所；</w:t>
      </w:r>
    </w:p>
    <w:p>
      <w:pPr>
        <w:keepNext w:val="0"/>
        <w:keepLines w:val="0"/>
        <w:pageBreakBefore w:val="0"/>
        <w:kinsoku/>
        <w:wordWrap/>
        <w:overflowPunct/>
        <w:topLinePunct w:val="0"/>
        <w:autoSpaceDE/>
        <w:autoSpaceDN/>
        <w:bidi w:val="0"/>
        <w:adjustRightInd/>
        <w:snapToGrid/>
        <w:spacing w:line="550" w:lineRule="exact"/>
        <w:ind w:firstLine="645"/>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（二）单层营业面积</w:t>
      </w:r>
      <w:r>
        <w:rPr>
          <w:rFonts w:hint="eastAsia" w:ascii="仿宋_GB2312" w:hAnsi="仿宋_GB2312" w:eastAsia="仿宋_GB2312" w:cs="仿宋_GB2312"/>
          <w:color w:val="auto"/>
          <w:sz w:val="32"/>
          <w:szCs w:val="32"/>
          <w:highlight w:val="none"/>
        </w:rPr>
        <w:t>(不包括独立的仓储、办公场所)</w:t>
      </w:r>
      <w:r>
        <w:rPr>
          <w:rFonts w:hint="eastAsia" w:ascii="仿宋_GB2312" w:eastAsia="仿宋_GB2312"/>
          <w:color w:val="auto"/>
          <w:sz w:val="32"/>
          <w:szCs w:val="32"/>
          <w:highlight w:val="none"/>
          <w:lang w:val="en-US" w:eastAsia="zh-CN"/>
        </w:rPr>
        <w:t>，城区内在150平米以上、乡级行政中心、</w:t>
      </w:r>
      <w:r>
        <w:rPr>
          <w:rFonts w:hint="eastAsia" w:ascii="仿宋_GB2312" w:eastAsia="仿宋_GB2312"/>
          <w:color w:val="auto"/>
          <w:sz w:val="32"/>
          <w:szCs w:val="32"/>
          <w:highlight w:val="none"/>
        </w:rPr>
        <w:t>行政村（</w:t>
      </w:r>
      <w:r>
        <w:rPr>
          <w:rFonts w:hint="eastAsia" w:ascii="仿宋_GB2312" w:eastAsia="仿宋_GB2312"/>
          <w:color w:val="auto"/>
          <w:sz w:val="32"/>
          <w:szCs w:val="32"/>
          <w:highlight w:val="none"/>
          <w:lang w:val="en-US" w:eastAsia="zh-CN"/>
        </w:rPr>
        <w:t>村组、连队</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在100平米以上的</w:t>
      </w:r>
      <w:r>
        <w:rPr>
          <w:rFonts w:hint="eastAsia" w:ascii="仿宋_GB2312" w:hAnsi="仿宋_GB2312" w:eastAsia="仿宋_GB2312" w:cs="仿宋_GB2312"/>
          <w:color w:val="auto"/>
          <w:sz w:val="32"/>
          <w:szCs w:val="32"/>
          <w:highlight w:val="none"/>
        </w:rPr>
        <w:t>烟草专业店、便利店、超市</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属于军烈属</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含烈士遗属、因公牺牲军人遗属等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、残疾军人的个体工商户，本人首次申请办理烟草专卖零售许可证；</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sz w:val="32"/>
          <w:szCs w:val="32"/>
          <w:highlight w:val="none"/>
          <w:lang w:val="en-US" w:eastAsia="zh-CN"/>
        </w:rPr>
        <w:t>符合《警民共建、从优待警、惠警帮扶合作备忘录》《新疆维吾尔自治区烟草专卖局 自治区公安厅特侦队警民共建、从优待警、惠警帮扶合作备忘录》等制度规定的情形</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非家庭经营的持证个体工商户，两年内无涉烟违法记录，因持证人死亡或者丧失民事行为能力，烟草专卖零售许可证被依法注销后30个自然日内，原持证人的家庭成员</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具有完全民事行为能力的配偶、父母或子女</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在原经营场所申请新办烟草专卖零售许可证的</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50" w:lineRule="exact"/>
        <w:ind w:firstLine="645"/>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（六）</w:t>
      </w:r>
      <w:r>
        <w:rPr>
          <w:rFonts w:hint="default" w:ascii="仿宋_GB2312" w:eastAsia="仿宋_GB2312"/>
          <w:color w:val="auto"/>
          <w:sz w:val="32"/>
          <w:szCs w:val="32"/>
          <w:highlight w:val="none"/>
          <w:lang w:val="en-US" w:eastAsia="zh-CN"/>
        </w:rPr>
        <w:t>符合法定条件且具备独立、安全经营空间的加油站、加气站便利店</w:t>
      </w:r>
      <w:r>
        <w:rPr>
          <w:rFonts w:hint="eastAsia" w:ascii="仿宋_GB2312" w:eastAsia="仿宋_GB2312"/>
          <w:color w:val="auto"/>
          <w:sz w:val="32"/>
          <w:szCs w:val="32"/>
          <w:highlight w:val="none"/>
          <w:lang w:val="en-US" w:eastAsia="zh-CN"/>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第十</w:t>
      </w:r>
      <w:r>
        <w:rPr>
          <w:rFonts w:hint="eastAsia" w:ascii="黑体" w:hAnsi="黑体" w:eastAsia="黑体" w:cs="黑体"/>
          <w:b w:val="0"/>
          <w:bCs w:val="0"/>
          <w:color w:val="auto"/>
          <w:sz w:val="32"/>
          <w:szCs w:val="32"/>
          <w:highlight w:val="none"/>
          <w:lang w:eastAsia="zh-CN"/>
        </w:rPr>
        <w:t>三</w:t>
      </w:r>
      <w:r>
        <w:rPr>
          <w:rFonts w:hint="eastAsia" w:ascii="黑体" w:hAnsi="黑体" w:eastAsia="黑体" w:cs="黑体"/>
          <w:b w:val="0"/>
          <w:bCs w:val="0"/>
          <w:color w:val="auto"/>
          <w:sz w:val="32"/>
          <w:szCs w:val="32"/>
          <w:highlight w:val="none"/>
        </w:rPr>
        <w:t>条</w:t>
      </w:r>
      <w:r>
        <w:rPr>
          <w:rFonts w:hint="eastAsia" w:ascii="仿宋_GB2312" w:hAnsi="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有下列情形之一的，不受市场单元容量</w:t>
      </w:r>
      <w:r>
        <w:rPr>
          <w:rFonts w:hint="eastAsia" w:ascii="仿宋_GB2312" w:hAnsi="仿宋_GB2312" w:eastAsia="仿宋_GB2312" w:cs="仿宋_GB2312"/>
          <w:color w:val="auto"/>
          <w:sz w:val="32"/>
          <w:szCs w:val="32"/>
          <w:highlight w:val="none"/>
          <w:lang w:eastAsia="zh-CN"/>
        </w:rPr>
        <w:t>限制</w:t>
      </w:r>
      <w:r>
        <w:rPr>
          <w:rFonts w:hint="eastAsia" w:ascii="仿宋_GB2312" w:hAnsi="仿宋_GB2312" w:eastAsia="仿宋_GB2312" w:cs="仿宋_GB2312"/>
          <w:color w:val="auto"/>
          <w:sz w:val="32"/>
          <w:szCs w:val="32"/>
          <w:highlight w:val="none"/>
        </w:rPr>
        <w:t>，按所在市场单元间隔距离放宽50%执行：</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持有三级以上</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含三级</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残疾人证</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含视力残疾、听力残疾、言语残疾或肢体残疾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的个体工商户，本人首次申请办理烟草专卖零售许可证；</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退役军人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持有转业或退伍军人证件，以转业、退伍军人证颁发日期为准，退役三年内</w:t>
      </w:r>
      <w:r>
        <w:rPr>
          <w:rFonts w:hint="eastAsia" w:ascii="仿宋_GB2312" w:hAnsi="仿宋_GB2312" w:eastAsia="仿宋_GB2312" w:cs="仿宋_GB2312"/>
          <w:color w:val="auto"/>
          <w:sz w:val="32"/>
          <w:szCs w:val="32"/>
          <w:highlight w:val="none"/>
          <w:lang w:eastAsia="zh-CN"/>
        </w:rPr>
        <w:t>本人首次申请）</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属于低保户的个体工商户，本人首次申请办理许可证，且经营场所为其唯一经营场所的。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因中小学、幼儿园新建、改造导致的先店后校、先店后门等情况，以及合理布局标准修订等客观原因造成中小学、幼儿园周边零售点不符合相关要求，</w:t>
      </w:r>
      <w:r>
        <w:rPr>
          <w:rFonts w:hint="eastAsia" w:ascii="仿宋_GB2312" w:eastAsia="仿宋_GB2312"/>
          <w:color w:val="auto"/>
          <w:sz w:val="32"/>
          <w:szCs w:val="32"/>
          <w:highlight w:val="none"/>
          <w:lang w:val="en-US" w:eastAsia="zh-CN"/>
        </w:rPr>
        <w:t>持证人申请变更到</w:t>
      </w:r>
      <w:r>
        <w:rPr>
          <w:rFonts w:hint="eastAsia" w:ascii="仿宋_GB2312" w:hAnsi="仿宋_GB2312" w:eastAsia="仿宋_GB2312" w:cs="仿宋_GB2312"/>
          <w:color w:val="auto"/>
          <w:sz w:val="32"/>
          <w:szCs w:val="32"/>
          <w:highlight w:val="none"/>
        </w:rPr>
        <w:t>原发证机关辖区内其他经营地址</w:t>
      </w:r>
      <w:r>
        <w:rPr>
          <w:rFonts w:hint="eastAsia" w:ascii="仿宋_GB2312" w:eastAsia="仿宋_GB2312"/>
          <w:color w:val="auto"/>
          <w:sz w:val="32"/>
          <w:szCs w:val="32"/>
          <w:highlight w:val="none"/>
          <w:lang w:val="en-US" w:eastAsia="zh-CN"/>
        </w:rPr>
        <w:t>的；</w:t>
      </w:r>
    </w:p>
    <w:p>
      <w:pPr>
        <w:keepNext w:val="0"/>
        <w:keepLines w:val="0"/>
        <w:pageBreakBefore w:val="0"/>
        <w:numPr>
          <w:ilvl w:val="0"/>
          <w:numId w:val="0"/>
        </w:numPr>
        <w:kinsoku/>
        <w:wordWrap/>
        <w:overflowPunct/>
        <w:topLinePunct w:val="0"/>
        <w:autoSpaceDE/>
        <w:autoSpaceDN/>
        <w:bidi w:val="0"/>
        <w:adjustRightInd/>
        <w:snapToGrid/>
        <w:spacing w:line="550" w:lineRule="exact"/>
        <w:ind w:firstLine="645" w:firstLineChars="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因道路规划、城市建设、房屋征收等客观原因造成无法在核定的经营地址继续经营的零售点，持证人申请变更到原发证机关相同单元内其他地址经营的；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（六）</w:t>
      </w:r>
      <w:r>
        <w:rPr>
          <w:rFonts w:hint="eastAsia" w:ascii="仿宋_GB2312" w:hAnsi="仿宋_GB2312" w:eastAsia="仿宋_GB2312" w:cs="仿宋_GB2312"/>
          <w:color w:val="auto"/>
          <w:sz w:val="32"/>
          <w:szCs w:val="32"/>
          <w:highlight w:val="none"/>
        </w:rPr>
        <w:t>在原发证机关辖区范围内连续经营</w:t>
      </w:r>
      <w:r>
        <w:rPr>
          <w:rFonts w:hint="eastAsia" w:ascii="东文宋体" w:hAnsi="东文宋体" w:eastAsia="东文宋体" w:cs="东文宋体"/>
          <w:color w:val="auto"/>
          <w:sz w:val="32"/>
          <w:szCs w:val="32"/>
          <w:highlight w:val="none"/>
        </w:rPr>
        <w:t>≥</w:t>
      </w:r>
      <w:r>
        <w:rPr>
          <w:rFonts w:hint="eastAsia" w:ascii="仿宋_GB2312" w:hAnsi="仿宋_GB2312" w:eastAsia="仿宋_GB2312" w:cs="仿宋_GB2312"/>
          <w:color w:val="auto"/>
          <w:sz w:val="32"/>
          <w:szCs w:val="32"/>
          <w:highlight w:val="none"/>
        </w:rPr>
        <w:t>3年，且近3年内</w:t>
      </w:r>
      <w:r>
        <w:rPr>
          <w:rFonts w:hint="eastAsia" w:ascii="仿宋_GB2312" w:hAnsi="仿宋_GB2312" w:eastAsia="仿宋_GB2312" w:cs="仿宋_GB2312"/>
          <w:color w:val="auto"/>
          <w:sz w:val="32"/>
          <w:szCs w:val="32"/>
          <w:highlight w:val="none"/>
          <w:lang w:eastAsia="zh-CN"/>
        </w:rPr>
        <w:t>无</w:t>
      </w:r>
      <w:r>
        <w:rPr>
          <w:rFonts w:hint="eastAsia" w:ascii="仿宋_GB2312" w:hAnsi="仿宋_GB2312" w:eastAsia="仿宋_GB2312" w:cs="仿宋_GB2312"/>
          <w:color w:val="auto"/>
          <w:sz w:val="32"/>
          <w:szCs w:val="32"/>
          <w:highlight w:val="none"/>
        </w:rPr>
        <w:t>违法违规处罚记录</w:t>
      </w:r>
      <w:r>
        <w:rPr>
          <w:rFonts w:hint="eastAsia" w:ascii="仿宋_GB2312" w:hAnsi="仿宋_GB2312" w:eastAsia="仿宋_GB2312" w:cs="仿宋_GB2312"/>
          <w:color w:val="auto"/>
          <w:sz w:val="32"/>
          <w:szCs w:val="32"/>
          <w:highlight w:val="none"/>
          <w:lang w:eastAsia="zh-CN"/>
        </w:rPr>
        <w:t>且“无一个月以上擅自停止经营”记录</w:t>
      </w:r>
      <w:r>
        <w:rPr>
          <w:rFonts w:hint="eastAsia" w:ascii="仿宋_GB2312" w:hAnsi="仿宋_GB2312" w:eastAsia="仿宋_GB2312" w:cs="仿宋_GB2312"/>
          <w:color w:val="auto"/>
          <w:sz w:val="32"/>
          <w:szCs w:val="32"/>
          <w:highlight w:val="none"/>
        </w:rPr>
        <w:t>的持证人，因租金上涨、租赁期满等客观原因办理歇业或注销手续后，在≤6个月内于原发证机关同一单元格内其他经营地址</w:t>
      </w:r>
      <w:r>
        <w:rPr>
          <w:rFonts w:hint="eastAsia" w:ascii="仿宋_GB2312" w:hAnsi="仿宋_GB2312" w:eastAsia="仿宋_GB2312" w:cs="仿宋_GB2312"/>
          <w:color w:val="auto"/>
          <w:sz w:val="32"/>
          <w:szCs w:val="32"/>
          <w:highlight w:val="none"/>
          <w:lang w:val="en-US" w:eastAsia="zh-CN"/>
        </w:rPr>
        <w:t>重新申领许可证的</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（七）</w:t>
      </w:r>
      <w:r>
        <w:rPr>
          <w:rFonts w:hint="eastAsia" w:ascii="仿宋_GB2312" w:hAnsi="仿宋_GB2312" w:eastAsia="仿宋_GB2312" w:cs="仿宋_GB2312"/>
          <w:color w:val="auto"/>
          <w:sz w:val="32"/>
          <w:szCs w:val="32"/>
          <w:highlight w:val="none"/>
        </w:rPr>
        <w:t>国家或当地政府明文规定给予政策扶持并经属地烟草专卖局集体研究认为可以扶持照顾的对象，本人首次申请办理烟草专卖零售许可证。</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center"/>
        <w:textAlignment w:val="auto"/>
        <w:rPr>
          <w:rFonts w:hint="eastAsia" w:ascii="黑体" w:hAnsi="黑体" w:eastAsia="黑体" w:cs="黑体"/>
          <w:b w:val="0"/>
          <w:bCs w:val="0"/>
          <w:color w:val="auto"/>
          <w:sz w:val="32"/>
          <w:szCs w:val="32"/>
          <w:highlight w:val="none"/>
          <w:lang w:val="en-US" w:eastAsia="zh-CN"/>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center"/>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第四章 雪茄烟零售点布局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50" w:lineRule="exact"/>
        <w:ind w:right="0" w:firstLine="640"/>
        <w:jc w:val="left"/>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第十四条 雪茄烟专营店设置</w:t>
      </w:r>
    </w:p>
    <w:p>
      <w:pPr>
        <w:keepNext w:val="0"/>
        <w:keepLines w:val="0"/>
        <w:pageBreakBefore w:val="0"/>
        <w:kinsoku/>
        <w:wordWrap/>
        <w:overflowPunct/>
        <w:topLinePunct w:val="0"/>
        <w:autoSpaceDE/>
        <w:autoSpaceDN/>
        <w:bidi w:val="0"/>
        <w:adjustRightInd/>
        <w:snapToGrid/>
        <w:spacing w:line="550" w:lineRule="exact"/>
        <w:ind w:left="0" w:firstLine="640" w:firstLineChars="200"/>
        <w:textAlignment w:val="auto"/>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pP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val="en-US" w:eastAsia="zh-CN"/>
        </w:rPr>
        <w:t>申请烟草专卖零售许可范围仅为“雪茄烟本店零售”的零售点，不划定市场单元，不受间距限制，但采取数量限制模式。原则上，雪茄烟专营店指导数不超过上年度本辖区烟草制品零售点总数的千分之五，且应满足开展雪茄烟经营的经营场所条件，</w:t>
      </w:r>
      <w:r>
        <w:rPr>
          <w:rFonts w:hint="eastAsia" w:ascii="仿宋_GB2312" w:hAnsi="仿宋_GB2312" w:eastAsia="仿宋_GB2312" w:cs="仿宋_GB2312"/>
          <w:bCs/>
          <w:sz w:val="32"/>
          <w:szCs w:val="32"/>
          <w:lang w:eastAsia="zh-CN"/>
        </w:rPr>
        <w:t>但需要遵循</w:t>
      </w:r>
      <w:r>
        <w:rPr>
          <w:rFonts w:hint="eastAsia" w:ascii="仿宋_GB2312" w:hAnsi="仿宋_GB2312" w:eastAsia="仿宋_GB2312" w:cs="仿宋_GB2312"/>
          <w:bCs/>
          <w:sz w:val="32"/>
          <w:szCs w:val="32"/>
          <w:lang w:val="en-US" w:eastAsia="zh-CN"/>
        </w:rPr>
        <w:t>不予设置情形</w:t>
      </w:r>
      <w:r>
        <w:rPr>
          <w:rFonts w:hint="eastAsia" w:ascii="仿宋_GB2312" w:hAnsi="仿宋_GB2312" w:eastAsia="仿宋_GB2312" w:cs="仿宋_GB2312"/>
          <w:bCs/>
          <w:sz w:val="32"/>
          <w:szCs w:val="32"/>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50" w:lineRule="exact"/>
        <w:ind w:right="0" w:firstLine="640"/>
        <w:jc w:val="left"/>
        <w:textAlignment w:val="auto"/>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pP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t>雪茄烟专营店申请变更经营范围，增加或调整为卷烟零售的，应当遵守本规划的布局管控要求。</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left"/>
        <w:textAlignment w:val="auto"/>
        <w:rPr>
          <w:rFonts w:hint="eastAsia" w:ascii="仿宋_GB2312" w:hAnsi="仿宋_GB2312" w:eastAsia="仿宋_GB2312" w:cs="仿宋_GB2312"/>
          <w:b/>
          <w:bCs/>
          <w:color w:val="auto"/>
          <w:sz w:val="32"/>
          <w:szCs w:val="32"/>
          <w:highlight w:val="none"/>
        </w:rPr>
      </w:pP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t>雪茄专营店与非雪茄专营店之间，互不作为零售点间距、数量核算的参照物。</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center"/>
        <w:textAlignment w:val="auto"/>
        <w:rPr>
          <w:rFonts w:hint="eastAsia" w:ascii="黑体" w:hAnsi="黑体" w:eastAsia="黑体" w:cs="黑体"/>
          <w:b w:val="0"/>
          <w:bCs w:val="0"/>
          <w:color w:val="auto"/>
          <w:sz w:val="32"/>
          <w:szCs w:val="32"/>
          <w:highlight w:val="none"/>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center"/>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五</w:t>
      </w:r>
      <w:r>
        <w:rPr>
          <w:rFonts w:hint="eastAsia" w:ascii="黑体" w:hAnsi="黑体" w:eastAsia="黑体" w:cs="黑体"/>
          <w:b w:val="0"/>
          <w:bCs w:val="0"/>
          <w:color w:val="auto"/>
          <w:sz w:val="32"/>
          <w:szCs w:val="32"/>
          <w:highlight w:val="none"/>
        </w:rPr>
        <w:t>章</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限制性条款</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十五</w:t>
      </w:r>
      <w:r>
        <w:rPr>
          <w:rFonts w:hint="eastAsia" w:ascii="黑体" w:hAnsi="黑体" w:eastAsia="黑体" w:cs="黑体"/>
          <w:b w:val="0"/>
          <w:bCs w:val="0"/>
          <w:color w:val="auto"/>
          <w:sz w:val="32"/>
          <w:szCs w:val="32"/>
          <w:highlight w:val="none"/>
        </w:rPr>
        <w:t>条</w:t>
      </w:r>
      <w:r>
        <w:rPr>
          <w:rFonts w:hint="eastAsia" w:ascii="仿宋_GB2312" w:hAnsi="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有下列情形之一的，不予发放烟草专卖零售许可证：</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3" w:firstLineChars="200"/>
        <w:jc w:val="both"/>
        <w:textAlignment w:val="auto"/>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一</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经营主体</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1.未成年人、无民事行为能力人及限制民事行为能力人；</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2.外商投资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含以特许、吸纳加盟店及其他再投资形式</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的商业企业或者个体工商户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有外资成分，以提供住宿、餐饮、休闲、娱乐为主要经营的宾馆、酒店等企业除外</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3.被取消从事烟草专卖业务资格不满三年的；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4.因申请人隐瞒有关情况或者提供虚假材料，烟草专卖局作出不予受理或者不予发证决定后，申请人一年内再次提出申请的；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5.因申请人以欺骗、贿赂等不正当手段取得的烟草专卖零售许可证被撤销后，申请人三年内再次提出申请的；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6.未领取烟草专卖零售许可证经营烟草专卖品业务，并且一年内被执法机关处罚两次以上，在三年内申请领取烟草专卖零售许可证的；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7.因未领取烟草专卖零售许可证经营烟草专卖品业务被追究刑事责任，在三年内申请领取烟草专卖零售许可证的；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8.未取得营业执照的；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9.法律法规、规章规定的其他不予发证的情形。</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3" w:firstLineChars="200"/>
        <w:jc w:val="both"/>
        <w:textAlignment w:val="auto"/>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二</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经营区域</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位于中小学、幼儿园内部及</w:t>
      </w:r>
      <w:r>
        <w:rPr>
          <w:rFonts w:hint="eastAsia" w:ascii="仿宋_GB2312" w:hAnsi="仿宋_GB2312" w:eastAsia="仿宋_GB2312" w:cs="仿宋_GB2312"/>
          <w:color w:val="auto"/>
          <w:sz w:val="32"/>
          <w:szCs w:val="32"/>
          <w:highlight w:val="none"/>
          <w:lang w:eastAsia="zh-CN"/>
        </w:rPr>
        <w:t>主要</w:t>
      </w:r>
      <w:r>
        <w:rPr>
          <w:rFonts w:hint="eastAsia" w:ascii="仿宋_GB2312" w:hAnsi="仿宋_GB2312" w:eastAsia="仿宋_GB2312" w:cs="仿宋_GB2312"/>
          <w:color w:val="auto"/>
          <w:sz w:val="32"/>
          <w:szCs w:val="32"/>
          <w:highlight w:val="none"/>
        </w:rPr>
        <w:t>出入口</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100米范围内的</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2.少年宫、未成年教育培训机构等</w:t>
      </w:r>
      <w:r>
        <w:rPr>
          <w:rFonts w:hint="eastAsia" w:ascii="仿宋_GB2312" w:hAnsi="仿宋_GB2312" w:eastAsia="仿宋_GB2312" w:cs="仿宋_GB2312"/>
          <w:color w:val="auto"/>
          <w:sz w:val="32"/>
          <w:szCs w:val="32"/>
          <w:highlight w:val="none"/>
        </w:rPr>
        <w:t>以未成年人为教育</w:t>
      </w:r>
      <w:r>
        <w:rPr>
          <w:rFonts w:hint="eastAsia" w:ascii="仿宋_GB2312" w:hAnsi="仿宋_GB2312" w:eastAsia="仿宋_GB2312" w:cs="仿宋_GB2312"/>
          <w:color w:val="auto"/>
          <w:sz w:val="32"/>
          <w:szCs w:val="32"/>
          <w:highlight w:val="none"/>
          <w:lang w:eastAsia="zh-CN"/>
        </w:rPr>
        <w:t>服务</w:t>
      </w:r>
      <w:r>
        <w:rPr>
          <w:rFonts w:hint="eastAsia" w:ascii="仿宋_GB2312" w:hAnsi="仿宋_GB2312" w:eastAsia="仿宋_GB2312" w:cs="仿宋_GB2312"/>
          <w:color w:val="auto"/>
          <w:sz w:val="32"/>
          <w:szCs w:val="32"/>
          <w:highlight w:val="none"/>
        </w:rPr>
        <w:t>对象的机构内部</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.经营场所位于国家机关、党政机关和医疗机构办公区域内部的。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3" w:firstLineChars="200"/>
        <w:jc w:val="both"/>
        <w:textAlignment w:val="auto"/>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rPr>
        <w:t xml:space="preserve"> </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三</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经营场所</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1.“无固定经营场所”包括但不限于如流动摊点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车、棚、柜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、违章建筑、临时建筑、危房以及尚未竣工或未交付使用的场所等；居民楼、商用楼内公用楼梯间或公用巷道；</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2.与住所不相独立的经营场所是指如住宅公寓、仓库、生活住所的车库、地下室、储藏室等未对消费者全开放的场所等；</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3.经营场所基于安全因素不适宜经营烟草制品，包括但不限于生产、经营、储存有毒有害、易燃易爆、放射性、易挥发及具有刺激性气味等物品，容易造成烟草制品污染的油漆化工、农药化肥、烟花爆竹、机油制品等的场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符合法定条件，具备安全保障措施的加油站、加气站便利店除外</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3" w:firstLineChars="200"/>
        <w:jc w:val="both"/>
        <w:textAlignment w:val="auto"/>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四</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经营模式</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1.利用自动售货机或者其他自动售货形式，销售或者变相销售烟草制品的</w:t>
      </w:r>
      <w:r>
        <w:rPr>
          <w:rFonts w:hint="eastAsia" w:ascii="仿宋_GB2312" w:hAnsi="仿宋_GB2312" w:eastAsia="仿宋_GB2312" w:cs="仿宋_GB2312"/>
          <w:color w:val="auto"/>
          <w:sz w:val="32"/>
          <w:szCs w:val="32"/>
          <w:highlight w:val="none"/>
          <w:lang w:eastAsia="zh-CN"/>
        </w:rPr>
        <w:t>（含</w:t>
      </w:r>
      <w:r>
        <w:rPr>
          <w:rFonts w:hint="eastAsia" w:ascii="仿宋_GB2312" w:hAnsi="仿宋_GB2312" w:eastAsia="仿宋_GB2312" w:cs="仿宋_GB2312"/>
          <w:color w:val="auto"/>
          <w:sz w:val="32"/>
          <w:szCs w:val="32"/>
          <w:highlight w:val="none"/>
        </w:rPr>
        <w:t>无人超市、无人商店等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2.利用信息网络渠道销售烟草专卖品的；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十六</w:t>
      </w:r>
      <w:r>
        <w:rPr>
          <w:rFonts w:hint="eastAsia" w:ascii="黑体" w:hAnsi="黑体" w:eastAsia="黑体" w:cs="黑体"/>
          <w:b w:val="0"/>
          <w:bCs w:val="0"/>
          <w:color w:val="auto"/>
          <w:sz w:val="32"/>
          <w:szCs w:val="32"/>
          <w:highlight w:val="none"/>
        </w:rPr>
        <w:t>条</w:t>
      </w:r>
      <w:r>
        <w:rPr>
          <w:rFonts w:hint="eastAsia" w:ascii="仿宋_GB2312" w:hAnsi="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法律、法规、规章和规范性文件规定的其他禁止准入情形。</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jc w:val="center"/>
        <w:textAlignment w:val="auto"/>
        <w:rPr>
          <w:rFonts w:hint="eastAsia" w:ascii="黑体" w:hAnsi="黑体" w:eastAsia="黑体" w:cs="黑体"/>
          <w:b w:val="0"/>
          <w:bCs w:val="0"/>
          <w:color w:val="auto"/>
          <w:sz w:val="32"/>
          <w:szCs w:val="32"/>
          <w:highlight w:val="none"/>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jc w:val="center"/>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六</w:t>
      </w:r>
      <w:r>
        <w:rPr>
          <w:rFonts w:hint="eastAsia" w:ascii="黑体" w:hAnsi="黑体" w:eastAsia="黑体" w:cs="黑体"/>
          <w:b w:val="0"/>
          <w:bCs w:val="0"/>
          <w:color w:val="auto"/>
          <w:sz w:val="32"/>
          <w:szCs w:val="32"/>
          <w:highlight w:val="none"/>
        </w:rPr>
        <w:t>章 附则</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第十</w:t>
      </w:r>
      <w:r>
        <w:rPr>
          <w:rFonts w:hint="eastAsia" w:ascii="黑体" w:hAnsi="黑体" w:eastAsia="黑体" w:cs="黑体"/>
          <w:b w:val="0"/>
          <w:bCs w:val="0"/>
          <w:color w:val="auto"/>
          <w:sz w:val="32"/>
          <w:szCs w:val="32"/>
          <w:highlight w:val="none"/>
          <w:lang w:eastAsia="zh-CN"/>
        </w:rPr>
        <w:t>七</w:t>
      </w:r>
      <w:r>
        <w:rPr>
          <w:rFonts w:hint="eastAsia" w:ascii="黑体" w:hAnsi="黑体" w:eastAsia="黑体" w:cs="黑体"/>
          <w:b w:val="0"/>
          <w:bCs w:val="0"/>
          <w:color w:val="auto"/>
          <w:sz w:val="32"/>
          <w:szCs w:val="32"/>
          <w:highlight w:val="none"/>
        </w:rPr>
        <w:t>条</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非有效参照物</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按照</w:t>
      </w:r>
      <w:r>
        <w:rPr>
          <w:rFonts w:hint="eastAsia" w:ascii="仿宋_GB2312" w:hAnsi="仿宋_GB2312" w:eastAsia="仿宋_GB2312" w:cs="仿宋_GB2312"/>
          <w:color w:val="auto"/>
          <w:sz w:val="32"/>
          <w:szCs w:val="32"/>
          <w:highlight w:val="none"/>
          <w:lang w:eastAsia="zh-CN"/>
        </w:rPr>
        <w:t>本规划</w:t>
      </w:r>
      <w:r>
        <w:rPr>
          <w:rFonts w:hint="eastAsia" w:ascii="仿宋_GB2312" w:hAnsi="仿宋_GB2312" w:eastAsia="仿宋_GB2312" w:cs="仿宋_GB2312"/>
          <w:color w:val="auto"/>
          <w:sz w:val="32"/>
          <w:szCs w:val="32"/>
          <w:highlight w:val="none"/>
        </w:rPr>
        <w:t>核算零售点间距、数量时，已持证零售点有下列情形之一的，不作为间距、数量管控的有效参照物：</w:t>
      </w:r>
    </w:p>
    <w:p>
      <w:pPr>
        <w:keepNext w:val="0"/>
        <w:keepLines w:val="0"/>
        <w:pageBreakBefore w:val="0"/>
        <w:widowControl w:val="0"/>
        <w:numPr>
          <w:ilvl w:val="0"/>
          <w:numId w:val="1"/>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烟草专卖零售许可证核定的登记事项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企业或字号名称、负责人或经营者姓名、企业类型或组成形式、经营场所地址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发生变化，或擅自改变经营方式，经发证机关书面通知后，拒不办理相关手续或拒不整改的；</w:t>
      </w:r>
    </w:p>
    <w:p>
      <w:pPr>
        <w:keepNext w:val="0"/>
        <w:keepLines w:val="0"/>
        <w:pageBreakBefore w:val="0"/>
        <w:widowControl w:val="0"/>
        <w:numPr>
          <w:ilvl w:val="0"/>
          <w:numId w:val="1"/>
        </w:numPr>
        <w:tabs>
          <w:tab w:val="center" w:pos="4153"/>
          <w:tab w:val="left" w:pos="7820"/>
          <w:tab w:val="right" w:pos="8306"/>
        </w:tabs>
        <w:kinsoku/>
        <w:wordWrap/>
        <w:overflowPunct/>
        <w:topLinePunct w:val="0"/>
        <w:autoSpaceDE/>
        <w:autoSpaceDN/>
        <w:bidi w:val="0"/>
        <w:adjustRightInd/>
        <w:snapToGrid/>
        <w:spacing w:line="55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因拆迁、搬迁等原因，原核定的经营地址、经营场所已实际不存在或无法继续经营的；</w:t>
      </w:r>
    </w:p>
    <w:p>
      <w:pPr>
        <w:keepNext w:val="0"/>
        <w:keepLines w:val="0"/>
        <w:pageBreakBefore w:val="0"/>
        <w:widowControl w:val="0"/>
        <w:numPr>
          <w:ilvl w:val="0"/>
          <w:numId w:val="1"/>
        </w:numPr>
        <w:tabs>
          <w:tab w:val="center" w:pos="4153"/>
          <w:tab w:val="left" w:pos="7820"/>
          <w:tab w:val="right" w:pos="8306"/>
        </w:tabs>
        <w:kinsoku/>
        <w:wordWrap/>
        <w:overflowPunct/>
        <w:topLinePunct w:val="0"/>
        <w:autoSpaceDE/>
        <w:autoSpaceDN/>
        <w:bidi w:val="0"/>
        <w:adjustRightInd/>
        <w:snapToGrid/>
        <w:spacing w:line="55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停止经营业务两个月以上，经发证机关两次书面通知后，仍未恢复营业且未办理停业手续的。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lang w:eastAsia="zh-CN"/>
        </w:rPr>
        <w:t>）本规划中第十二条和第十三条享受放宽政策的零售点。</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第十</w:t>
      </w:r>
      <w:r>
        <w:rPr>
          <w:rFonts w:hint="eastAsia" w:ascii="黑体" w:hAnsi="黑体" w:eastAsia="黑体" w:cs="黑体"/>
          <w:b w:val="0"/>
          <w:bCs w:val="0"/>
          <w:color w:val="auto"/>
          <w:sz w:val="32"/>
          <w:szCs w:val="32"/>
          <w:highlight w:val="none"/>
          <w:lang w:eastAsia="zh-CN"/>
        </w:rPr>
        <w:t>八</w:t>
      </w:r>
      <w:r>
        <w:rPr>
          <w:rFonts w:hint="eastAsia" w:ascii="黑体" w:hAnsi="黑体" w:eastAsia="黑体" w:cs="黑体"/>
          <w:b w:val="0"/>
          <w:bCs w:val="0"/>
          <w:color w:val="auto"/>
          <w:sz w:val="32"/>
          <w:szCs w:val="32"/>
          <w:highlight w:val="none"/>
        </w:rPr>
        <w:t>条</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术语定义</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本规划</w:t>
      </w:r>
      <w:r>
        <w:rPr>
          <w:rFonts w:hint="eastAsia" w:ascii="仿宋_GB2312" w:hAnsi="仿宋_GB2312" w:eastAsia="仿宋_GB2312" w:cs="仿宋_GB2312"/>
          <w:color w:val="auto"/>
          <w:sz w:val="32"/>
          <w:szCs w:val="32"/>
          <w:highlight w:val="none"/>
        </w:rPr>
        <w:t>下列术语的定义：</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“经营场所”是指面向消费者全开放，用于烟草制品及其他商品销售、仓储的合法经营用房。</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与住所相独立”是指经营场所与住所之间使用砖墙、玻璃或钢筋混凝土墙等物理设施实施完全隔离，经营区域与生活区域界限清晰，不包含住宅、公寓、生活住所的地下室、储藏室等不利于开展烟草制品零售的场所。</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固定经营场所”是指由砖、钢、混凝土、玻璃等材料建成墙体，形成可封闭、不可移动的物理空间，具备对外正常开展经营活动、安全储存烟草制品的基本设施和条件的场所，不包含违法建筑、流动摊点、车库停车场等。</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“中小学校”是指普通中小学校、特殊教育学校、中等职业学校、专门学校。</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“家庭成员”是指属于《中华人民共和国民法典》规定的配偶、父母、子女和其他共同生活的近亲属。</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（六）</w:t>
      </w:r>
      <w:r>
        <w:rPr>
          <w:rFonts w:hint="eastAsia" w:ascii="仿宋_GB2312" w:hAnsi="仿宋_GB2312" w:eastAsia="仿宋_GB2312" w:cs="仿宋_GB2312"/>
          <w:color w:val="auto"/>
          <w:sz w:val="32"/>
          <w:szCs w:val="32"/>
          <w:highlight w:val="none"/>
        </w:rPr>
        <w:t>“营业面积”是指面向不特定消费者全开放的经营场所实际使用面积，不包括仓库、办公、生活等配套功能区域。</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第十</w:t>
      </w:r>
      <w:r>
        <w:rPr>
          <w:rFonts w:hint="eastAsia" w:ascii="黑体" w:hAnsi="黑体" w:eastAsia="黑体" w:cs="黑体"/>
          <w:b w:val="0"/>
          <w:bCs w:val="0"/>
          <w:color w:val="auto"/>
          <w:sz w:val="32"/>
          <w:szCs w:val="32"/>
          <w:highlight w:val="none"/>
          <w:lang w:eastAsia="zh-CN"/>
        </w:rPr>
        <w:t>九</w:t>
      </w:r>
      <w:r>
        <w:rPr>
          <w:rFonts w:hint="eastAsia" w:ascii="黑体" w:hAnsi="黑体" w:eastAsia="黑体" w:cs="黑体"/>
          <w:b w:val="0"/>
          <w:bCs w:val="0"/>
          <w:color w:val="auto"/>
          <w:sz w:val="32"/>
          <w:szCs w:val="32"/>
          <w:highlight w:val="none"/>
        </w:rPr>
        <w:t>条</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间距测量规范</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本规划</w:t>
      </w:r>
      <w:r>
        <w:rPr>
          <w:rFonts w:hint="eastAsia" w:ascii="仿宋_GB2312" w:hAnsi="仿宋_GB2312" w:eastAsia="仿宋_GB2312" w:cs="仿宋_GB2312"/>
          <w:color w:val="auto"/>
          <w:sz w:val="32"/>
          <w:szCs w:val="32"/>
          <w:highlight w:val="none"/>
        </w:rPr>
        <w:t>所称“间距”，是指申请经营场所出入口中心点，与最近已持证零售点出入口中心点，或</w:t>
      </w:r>
      <w:r>
        <w:rPr>
          <w:rFonts w:hint="eastAsia" w:ascii="仿宋_GB2312" w:hAnsi="仿宋_GB2312" w:eastAsia="仿宋_GB2312" w:cs="仿宋_GB2312"/>
          <w:b w:val="0"/>
          <w:bCs w:val="0"/>
          <w:color w:val="auto"/>
          <w:kern w:val="2"/>
          <w:sz w:val="32"/>
          <w:szCs w:val="32"/>
          <w:highlight w:val="none"/>
          <w:lang w:val="en-US" w:eastAsia="zh-CN" w:bidi="ar-SA"/>
        </w:rPr>
        <w:t>中小学校、幼儿园作为参照点的，以进出通勤口距离申请点的最近一侧为测量点，</w:t>
      </w:r>
      <w:r>
        <w:rPr>
          <w:rFonts w:hint="eastAsia" w:ascii="仿宋_GB2312" w:hAnsi="仿宋_GB2312" w:eastAsia="仿宋_GB2312" w:cs="仿宋_GB2312"/>
          <w:color w:val="auto"/>
          <w:sz w:val="32"/>
          <w:szCs w:val="32"/>
          <w:highlight w:val="none"/>
        </w:rPr>
        <w:t>按照交通规则允许的行人正常通行路径测算的最短距离。</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前述场所设有多个出入口的，以两个参照点最近一侧出入口进行测量，不得穿越隔离护栏、围墙、花坛、绿地、建筑物等封闭或不可通行设施。</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二十</w:t>
      </w:r>
      <w:r>
        <w:rPr>
          <w:rFonts w:hint="eastAsia" w:ascii="黑体" w:hAnsi="黑体" w:eastAsia="黑体" w:cs="黑体"/>
          <w:b w:val="0"/>
          <w:bCs w:val="0"/>
          <w:color w:val="auto"/>
          <w:sz w:val="32"/>
          <w:szCs w:val="32"/>
          <w:highlight w:val="none"/>
        </w:rPr>
        <w:t>条</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数量说明</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本规划</w:t>
      </w:r>
      <w:r>
        <w:rPr>
          <w:rFonts w:hint="eastAsia" w:ascii="仿宋_GB2312" w:hAnsi="仿宋_GB2312" w:eastAsia="仿宋_GB2312" w:cs="仿宋_GB2312"/>
          <w:color w:val="auto"/>
          <w:sz w:val="32"/>
          <w:szCs w:val="32"/>
          <w:highlight w:val="none"/>
        </w:rPr>
        <w:t>所指“以上”“以内”“不超过”均含本数，“不满”不含本数。</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第二十</w:t>
      </w:r>
      <w:r>
        <w:rPr>
          <w:rFonts w:hint="eastAsia" w:ascii="黑体" w:hAnsi="黑体" w:eastAsia="黑体" w:cs="黑体"/>
          <w:b w:val="0"/>
          <w:bCs w:val="0"/>
          <w:color w:val="auto"/>
          <w:sz w:val="32"/>
          <w:szCs w:val="32"/>
          <w:highlight w:val="none"/>
          <w:lang w:eastAsia="zh-CN"/>
        </w:rPr>
        <w:t>一</w:t>
      </w:r>
      <w:r>
        <w:rPr>
          <w:rFonts w:hint="eastAsia" w:ascii="黑体" w:hAnsi="黑体" w:eastAsia="黑体" w:cs="黑体"/>
          <w:b w:val="0"/>
          <w:bCs w:val="0"/>
          <w:color w:val="auto"/>
          <w:sz w:val="32"/>
          <w:szCs w:val="32"/>
          <w:highlight w:val="none"/>
        </w:rPr>
        <w:t>条</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解释权</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本规划</w:t>
      </w:r>
      <w:r>
        <w:rPr>
          <w:rFonts w:hint="eastAsia" w:ascii="仿宋_GB2312" w:hAnsi="仿宋_GB2312" w:eastAsia="仿宋_GB2312" w:cs="仿宋_GB2312"/>
          <w:color w:val="auto"/>
          <w:sz w:val="32"/>
          <w:szCs w:val="32"/>
          <w:highlight w:val="none"/>
        </w:rPr>
        <w:t>由</w:t>
      </w:r>
      <w:r>
        <w:rPr>
          <w:rFonts w:hint="eastAsia" w:ascii="仿宋_GB2312" w:hAnsi="仿宋_GB2312" w:eastAsia="仿宋_GB2312" w:cs="仿宋_GB2312"/>
          <w:color w:val="auto"/>
          <w:sz w:val="32"/>
          <w:szCs w:val="32"/>
          <w:highlight w:val="none"/>
          <w:lang w:eastAsia="zh-CN"/>
        </w:rPr>
        <w:t>疏附县</w:t>
      </w:r>
      <w:r>
        <w:rPr>
          <w:rFonts w:hint="eastAsia" w:ascii="仿宋_GB2312" w:hAnsi="仿宋_GB2312" w:eastAsia="仿宋_GB2312" w:cs="仿宋_GB2312"/>
          <w:color w:val="auto"/>
          <w:sz w:val="32"/>
          <w:szCs w:val="32"/>
          <w:highlight w:val="none"/>
        </w:rPr>
        <w:t>烟草专卖局负责解释。</w:t>
      </w:r>
      <w:r>
        <w:rPr>
          <w:rFonts w:hint="eastAsia" w:ascii="仿宋_GB2312" w:hAnsi="仿宋_GB2312" w:eastAsia="仿宋_GB2312" w:cs="仿宋_GB2312"/>
          <w:color w:val="auto"/>
          <w:sz w:val="32"/>
          <w:szCs w:val="32"/>
          <w:highlight w:val="none"/>
          <w:lang w:eastAsia="zh-CN"/>
        </w:rPr>
        <w:t>本规划</w:t>
      </w:r>
      <w:r>
        <w:rPr>
          <w:rFonts w:hint="eastAsia" w:ascii="仿宋_GB2312" w:hAnsi="仿宋_GB2312" w:eastAsia="仿宋_GB2312" w:cs="仿宋_GB2312"/>
          <w:color w:val="auto"/>
          <w:sz w:val="32"/>
          <w:szCs w:val="32"/>
          <w:highlight w:val="none"/>
        </w:rPr>
        <w:t>实施过程中，如遇法律法规、规章及政策另有规定的，从其规定。</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第二十</w:t>
      </w:r>
      <w:r>
        <w:rPr>
          <w:rFonts w:hint="eastAsia" w:ascii="黑体" w:hAnsi="黑体" w:eastAsia="黑体" w:cs="黑体"/>
          <w:b w:val="0"/>
          <w:bCs w:val="0"/>
          <w:color w:val="auto"/>
          <w:sz w:val="32"/>
          <w:szCs w:val="32"/>
          <w:highlight w:val="none"/>
          <w:lang w:eastAsia="zh-CN"/>
        </w:rPr>
        <w:t>二</w:t>
      </w:r>
      <w:r>
        <w:rPr>
          <w:rFonts w:hint="eastAsia" w:ascii="黑体" w:hAnsi="黑体" w:eastAsia="黑体" w:cs="黑体"/>
          <w:b w:val="0"/>
          <w:bCs w:val="0"/>
          <w:color w:val="auto"/>
          <w:sz w:val="32"/>
          <w:szCs w:val="32"/>
          <w:highlight w:val="none"/>
        </w:rPr>
        <w:t>条</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施行日期</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本规划</w:t>
      </w:r>
      <w:r>
        <w:rPr>
          <w:rFonts w:hint="eastAsia" w:ascii="仿宋_GB2312" w:hAnsi="仿宋_GB2312" w:eastAsia="仿宋_GB2312" w:cs="仿宋_GB2312"/>
          <w:color w:val="auto"/>
          <w:sz w:val="32"/>
          <w:szCs w:val="32"/>
          <w:highlight w:val="none"/>
        </w:rPr>
        <w:t>自202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日起施行，有效期至20</w:t>
      </w:r>
      <w:r>
        <w:rPr>
          <w:rFonts w:hint="eastAsia" w:ascii="仿宋_GB2312" w:hAnsi="仿宋_GB2312" w:eastAsia="仿宋_GB2312" w:cs="仿宋_GB2312"/>
          <w:color w:val="auto"/>
          <w:sz w:val="32"/>
          <w:szCs w:val="32"/>
          <w:highlight w:val="none"/>
          <w:lang w:val="en-US" w:eastAsia="zh-CN"/>
        </w:rPr>
        <w:t>31</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31</w:t>
      </w:r>
      <w:r>
        <w:rPr>
          <w:rFonts w:hint="eastAsia" w:ascii="仿宋_GB2312" w:hAnsi="仿宋_GB2312" w:eastAsia="仿宋_GB2312" w:cs="仿宋_GB2312"/>
          <w:color w:val="auto"/>
          <w:sz w:val="32"/>
          <w:szCs w:val="32"/>
          <w:highlight w:val="none"/>
        </w:rPr>
        <w:t>日。2021</w:t>
      </w:r>
      <w:r>
        <w:rPr>
          <w:rFonts w:hint="eastAsia" w:ascii="仿宋_GB2312" w:hAnsi="仿宋_GB2312" w:eastAsia="仿宋_GB2312" w:cs="仿宋_GB2312"/>
          <w:color w:val="auto"/>
          <w:sz w:val="32"/>
          <w:szCs w:val="32"/>
          <w:highlight w:val="none"/>
          <w:lang w:eastAsia="zh-CN"/>
        </w:rPr>
        <w:t>版</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疏附县</w:t>
      </w:r>
      <w:r>
        <w:rPr>
          <w:rFonts w:hint="eastAsia" w:ascii="仿宋_GB2312" w:hAnsi="仿宋_GB2312" w:eastAsia="仿宋_GB2312" w:cs="仿宋_GB2312"/>
          <w:color w:val="auto"/>
          <w:sz w:val="32"/>
          <w:szCs w:val="32"/>
          <w:highlight w:val="none"/>
        </w:rPr>
        <w:t>烟草制品零售点</w:t>
      </w:r>
      <w:r>
        <w:rPr>
          <w:rFonts w:hint="eastAsia" w:ascii="仿宋_GB2312" w:hAnsi="仿宋_GB2312" w:eastAsia="仿宋_GB2312" w:cs="仿宋_GB2312"/>
          <w:color w:val="auto"/>
          <w:sz w:val="32"/>
          <w:szCs w:val="32"/>
          <w:highlight w:val="none"/>
          <w:lang w:eastAsia="zh-CN"/>
        </w:rPr>
        <w:t>合理布局规划</w:t>
      </w:r>
      <w:r>
        <w:rPr>
          <w:rFonts w:hint="eastAsia" w:ascii="仿宋_GB2312" w:hAnsi="仿宋_GB2312" w:eastAsia="仿宋_GB2312" w:cs="仿宋_GB2312"/>
          <w:color w:val="auto"/>
          <w:sz w:val="32"/>
          <w:szCs w:val="32"/>
          <w:highlight w:val="none"/>
        </w:rPr>
        <w:t>》同时废止。</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1.疏附县烟草制品零售点排队轮候管理办法</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1600" w:firstLineChars="5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2.疏附县烟草制品零售点现场勘验规则</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color w:val="auto"/>
          <w:sz w:val="32"/>
          <w:szCs w:val="32"/>
          <w:highlight w:val="none"/>
        </w:rPr>
      </w:pPr>
    </w:p>
    <w:p>
      <w:pPr>
        <w:rPr>
          <w:rFonts w:hint="eastAsia" w:ascii="黑体" w:hAnsi="黑体" w:eastAsia="黑体" w:cs="黑体"/>
          <w:color w:val="auto"/>
          <w:sz w:val="32"/>
          <w:szCs w:val="32"/>
          <w:highlight w:val="none"/>
          <w:lang w:val="en-US" w:eastAsia="zh-CN"/>
        </w:rPr>
      </w:pPr>
      <w:r>
        <w:rPr>
          <w:rFonts w:hint="eastAsia" w:ascii="仿宋_GB2312" w:hAnsi="仿宋_GB2312" w:eastAsia="仿宋_GB2312" w:cs="仿宋_GB2312"/>
          <w:color w:val="auto"/>
          <w:sz w:val="32"/>
          <w:szCs w:val="32"/>
          <w:highlight w:val="none"/>
        </w:rPr>
        <w:br w:type="page"/>
      </w:r>
      <w:r>
        <w:rPr>
          <w:rFonts w:hint="eastAsia" w:ascii="黑体" w:hAnsi="黑体" w:eastAsia="黑体" w:cs="黑体"/>
          <w:color w:val="auto"/>
          <w:sz w:val="32"/>
          <w:szCs w:val="32"/>
          <w:highlight w:val="none"/>
          <w:lang w:val="en-US" w:eastAsia="zh-CN"/>
        </w:rPr>
        <w:t>附件1</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疏附县烟草制品零售点排队轮候管理办法</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highlight w:val="none"/>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32"/>
          <w:szCs w:val="32"/>
          <w:highlight w:val="none"/>
          <w:u w:val="none"/>
          <w:lang w:val="en-US" w:eastAsia="zh-CN" w:bidi="ar"/>
        </w:rPr>
      </w:pPr>
      <w:r>
        <w:rPr>
          <w:rFonts w:hint="eastAsia" w:ascii="黑体" w:hAnsi="黑体" w:eastAsia="黑体" w:cs="黑体"/>
          <w:b w:val="0"/>
          <w:bCs w:val="0"/>
          <w:color w:val="auto"/>
          <w:sz w:val="32"/>
          <w:szCs w:val="32"/>
          <w:highlight w:val="none"/>
          <w:u w:val="none"/>
          <w:lang w:val="en-US" w:eastAsia="zh-CN"/>
        </w:rPr>
        <w:t>第一章 总则</w:t>
      </w:r>
      <w:r>
        <w:rPr>
          <w:rFonts w:hint="default" w:ascii="方正小标宋简体" w:hAnsi="方正小标宋简体" w:eastAsia="方正小标宋简体" w:cs="方正小标宋简体"/>
          <w:color w:val="auto"/>
          <w:kern w:val="0"/>
          <w:sz w:val="32"/>
          <w:szCs w:val="32"/>
          <w:highlight w:val="none"/>
          <w:u w:val="none"/>
          <w:lang w:val="en-US" w:eastAsia="zh-CN" w:bidi="ar"/>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auto"/>
          <w:kern w:val="2"/>
          <w:sz w:val="32"/>
          <w:szCs w:val="32"/>
          <w:highlight w:val="none"/>
          <w:lang w:val="en-US" w:eastAsia="zh-CN" w:bidi="ar-SA"/>
        </w:rPr>
      </w:pPr>
      <w:r>
        <w:rPr>
          <w:rFonts w:hint="eastAsia" w:ascii="黑体" w:hAnsi="黑体" w:eastAsia="黑体" w:cs="黑体"/>
          <w:b w:val="0"/>
          <w:bCs w:val="0"/>
          <w:color w:val="auto"/>
          <w:sz w:val="32"/>
          <w:szCs w:val="32"/>
          <w:highlight w:val="none"/>
          <w:u w:val="none"/>
          <w:lang w:val="en-US" w:eastAsia="zh-CN"/>
        </w:rPr>
        <w:t xml:space="preserve">第一条 </w:t>
      </w:r>
      <w:r>
        <w:rPr>
          <w:rFonts w:hint="eastAsia" w:ascii="仿宋_GB2312" w:hAnsi="仿宋_GB2312" w:eastAsia="仿宋_GB2312" w:cs="仿宋_GB2312"/>
          <w:color w:val="auto"/>
          <w:sz w:val="32"/>
          <w:szCs w:val="32"/>
          <w:highlight w:val="none"/>
          <w:u w:val="none"/>
        </w:rPr>
        <w:t>为全方位提升烟草零售许可事项办理的法治化、标准化、规范化、便利化水平，</w:t>
      </w:r>
      <w:r>
        <w:rPr>
          <w:rFonts w:hint="eastAsia" w:ascii="仿宋_GB2312" w:hAnsi="仿宋_GB2312" w:eastAsia="仿宋_GB2312" w:cs="仿宋_GB2312"/>
          <w:color w:val="auto"/>
          <w:sz w:val="32"/>
          <w:szCs w:val="32"/>
          <w:highlight w:val="none"/>
          <w:u w:val="none"/>
          <w:lang w:val="en-US" w:eastAsia="zh-CN"/>
        </w:rPr>
        <w:t>确</w:t>
      </w:r>
      <w:r>
        <w:rPr>
          <w:rFonts w:hint="eastAsia" w:ascii="仿宋_GB2312" w:eastAsia="仿宋_GB2312" w:cs="Times New Roman"/>
          <w:color w:val="auto"/>
          <w:kern w:val="2"/>
          <w:sz w:val="32"/>
          <w:szCs w:val="32"/>
          <w:highlight w:val="none"/>
          <w:lang w:val="en-US" w:eastAsia="zh-CN" w:bidi="ar-SA"/>
        </w:rPr>
        <w:t>保市场主体权利平等、机会平等、规则平等，</w:t>
      </w:r>
      <w:r>
        <w:rPr>
          <w:rFonts w:hint="eastAsia" w:ascii="仿宋_GB2312" w:hAnsi="仿宋_GB2312" w:eastAsia="仿宋_GB2312" w:cs="仿宋_GB2312"/>
          <w:color w:val="auto"/>
          <w:sz w:val="32"/>
          <w:szCs w:val="32"/>
          <w:highlight w:val="none"/>
        </w:rPr>
        <w:t>根据《中华人民共和国行政许可法》《中华人民共和国未成年人保护法》《中华人民共和国烟草专卖法》《中华人民共和国烟草专卖法实施条例》《烟草专卖许可证管理办法》《烟草专卖许可证管理办法实施细则》等法律法规、规章</w:t>
      </w:r>
      <w:r>
        <w:rPr>
          <w:rFonts w:hint="eastAsia" w:ascii="仿宋_GB2312" w:hAnsi="仿宋_GB2312" w:eastAsia="仿宋_GB2312" w:cs="仿宋_GB2312"/>
          <w:color w:val="auto"/>
          <w:sz w:val="32"/>
          <w:szCs w:val="32"/>
          <w:highlight w:val="none"/>
          <w:lang w:eastAsia="zh-CN"/>
        </w:rPr>
        <w:t>和规范性文件</w:t>
      </w:r>
      <w:r>
        <w:rPr>
          <w:rFonts w:hint="eastAsia" w:ascii="仿宋_GB2312" w:hAnsi="仿宋_GB2312" w:eastAsia="仿宋_GB2312" w:cs="仿宋_GB2312"/>
          <w:color w:val="auto"/>
          <w:sz w:val="32"/>
          <w:szCs w:val="32"/>
          <w:highlight w:val="none"/>
        </w:rPr>
        <w:t>，</w:t>
      </w:r>
      <w:r>
        <w:rPr>
          <w:rFonts w:hint="eastAsia" w:ascii="仿宋_GB2312" w:hAnsi="Times New Roman" w:eastAsia="仿宋_GB2312" w:cs="Times New Roman"/>
          <w:color w:val="auto"/>
          <w:kern w:val="2"/>
          <w:sz w:val="32"/>
          <w:szCs w:val="32"/>
          <w:highlight w:val="none"/>
          <w:lang w:val="en-US" w:eastAsia="zh-CN" w:bidi="ar-SA"/>
        </w:rPr>
        <w:t>结合疏附县实际，制定本办法。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黑体" w:hAnsi="黑体" w:eastAsia="黑体" w:cs="黑体"/>
          <w:b w:val="0"/>
          <w:bCs w:val="0"/>
          <w:color w:val="auto"/>
          <w:sz w:val="32"/>
          <w:szCs w:val="32"/>
          <w:highlight w:val="none"/>
          <w:u w:val="none"/>
          <w:lang w:val="en-US" w:eastAsia="zh-CN"/>
        </w:rPr>
        <w:t>第二条</w:t>
      </w:r>
      <w:r>
        <w:rPr>
          <w:rFonts w:hint="eastAsia" w:ascii="仿宋_GB2312" w:hAnsi="仿宋_GB2312" w:eastAsia="仿宋_GB2312" w:cs="仿宋_GB2312"/>
          <w:b w:val="0"/>
          <w:bCs w:val="0"/>
          <w:color w:val="auto"/>
          <w:sz w:val="32"/>
          <w:szCs w:val="32"/>
          <w:highlight w:val="none"/>
          <w:u w:val="none"/>
          <w:lang w:val="en-US" w:eastAsia="zh-CN"/>
        </w:rPr>
        <w:t xml:space="preserve"> 疏附县烟草专卖局是烟草专卖零售许可证的合法发证机关（以下简称“发证机关”），依法负责疏附县烟草专卖零售许可证的受理、审批、发放工作，确保合法合规。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黑体" w:hAnsi="黑体" w:eastAsia="黑体" w:cs="黑体"/>
          <w:b w:val="0"/>
          <w:bCs w:val="0"/>
          <w:color w:val="auto"/>
          <w:sz w:val="32"/>
          <w:szCs w:val="32"/>
          <w:highlight w:val="none"/>
          <w:u w:val="none"/>
          <w:lang w:val="en-US" w:eastAsia="zh-CN"/>
        </w:rPr>
        <w:t>第三条</w:t>
      </w:r>
      <w:r>
        <w:rPr>
          <w:rFonts w:hint="eastAsia" w:ascii="仿宋_GB2312" w:hAnsi="仿宋_GB2312" w:eastAsia="仿宋_GB2312" w:cs="仿宋_GB2312"/>
          <w:b w:val="0"/>
          <w:bCs w:val="0"/>
          <w:color w:val="auto"/>
          <w:sz w:val="32"/>
          <w:szCs w:val="32"/>
          <w:highlight w:val="none"/>
          <w:u w:val="none"/>
          <w:lang w:val="en-US" w:eastAsia="zh-CN"/>
        </w:rPr>
        <w:t xml:space="preserve"> 本办法中的“市场单元</w:t>
      </w:r>
      <w:r>
        <w:rPr>
          <w:rFonts w:hint="eastAsia" w:ascii="仿宋_GB2312" w:hAnsi="仿宋_GB2312" w:eastAsia="仿宋_GB2312" w:cs="仿宋_GB2312"/>
          <w:b w:val="0"/>
          <w:color w:val="auto"/>
          <w:sz w:val="32"/>
          <w:szCs w:val="32"/>
          <w:highlight w:val="none"/>
          <w:lang w:val="en-US" w:eastAsia="zh-CN"/>
        </w:rPr>
        <w:t>（如网格单元或区域单元）</w:t>
      </w:r>
      <w:r>
        <w:rPr>
          <w:rFonts w:hint="eastAsia" w:ascii="仿宋_GB2312" w:hAnsi="仿宋_GB2312" w:eastAsia="仿宋_GB2312" w:cs="仿宋_GB2312"/>
          <w:b w:val="0"/>
          <w:bCs w:val="0"/>
          <w:color w:val="auto"/>
          <w:sz w:val="32"/>
          <w:szCs w:val="32"/>
          <w:highlight w:val="none"/>
          <w:u w:val="none"/>
          <w:lang w:val="en-US" w:eastAsia="zh-CN"/>
        </w:rPr>
        <w:t>”“容量”“</w:t>
      </w:r>
      <w:r>
        <w:rPr>
          <w:rFonts w:hint="eastAsia" w:ascii="仿宋_GB2312" w:hAnsi="仿宋_GB2312" w:eastAsia="仿宋_GB2312" w:cs="仿宋_GB2312"/>
          <w:b w:val="0"/>
          <w:bCs w:val="0"/>
          <w:color w:val="auto"/>
          <w:sz w:val="32"/>
          <w:szCs w:val="32"/>
          <w:highlight w:val="none"/>
          <w:u w:val="none"/>
        </w:rPr>
        <w:t>限制性条款</w:t>
      </w:r>
      <w:r>
        <w:rPr>
          <w:rFonts w:hint="eastAsia" w:ascii="仿宋_GB2312" w:hAnsi="仿宋_GB2312" w:eastAsia="仿宋_GB2312" w:cs="仿宋_GB2312"/>
          <w:b w:val="0"/>
          <w:bCs w:val="0"/>
          <w:color w:val="auto"/>
          <w:sz w:val="32"/>
          <w:szCs w:val="32"/>
          <w:highlight w:val="none"/>
          <w:u w:val="none"/>
          <w:lang w:val="en-US" w:eastAsia="zh-CN"/>
        </w:rPr>
        <w:t>”等定义沿用《疏附县烟草制品零售点合理布局规划》相关内容。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b w:val="0"/>
          <w:bCs w:val="0"/>
          <w:color w:val="auto"/>
          <w:sz w:val="32"/>
          <w:szCs w:val="32"/>
          <w:highlight w:val="none"/>
          <w:u w:val="none"/>
          <w:lang w:val="en-US" w:eastAsia="zh-CN"/>
        </w:rPr>
        <w:t>第四条</w:t>
      </w:r>
      <w:r>
        <w:rPr>
          <w:rFonts w:hint="eastAsia" w:ascii="仿宋_GB2312" w:hAnsi="Times New Roman" w:eastAsia="仿宋_GB2312" w:cs="Times New Roman"/>
          <w:color w:val="auto"/>
          <w:kern w:val="2"/>
          <w:sz w:val="32"/>
          <w:szCs w:val="32"/>
          <w:highlight w:val="none"/>
          <w:lang w:val="en-US" w:eastAsia="zh-CN" w:bidi="ar-SA"/>
        </w:rPr>
        <w:t xml:space="preserve"> </w:t>
      </w:r>
      <w:r>
        <w:rPr>
          <w:rFonts w:hint="eastAsia" w:ascii="仿宋_GB2312" w:hAnsi="仿宋_GB2312" w:eastAsia="仿宋_GB2312" w:cs="仿宋_GB2312"/>
          <w:color w:val="auto"/>
          <w:sz w:val="32"/>
          <w:szCs w:val="32"/>
          <w:highlight w:val="none"/>
          <w:u w:val="none"/>
          <w:lang w:val="en-US" w:eastAsia="zh-CN"/>
        </w:rPr>
        <w:t>本办法适用于疏附县烟草专卖局（以下简称“发证机关”）在办理烟草专卖零售许可证过程中的排队轮候管理。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eastAsia" w:ascii="黑体" w:hAnsi="黑体" w:eastAsia="黑体" w:cs="黑体"/>
          <w:b w:val="0"/>
          <w:bCs w:val="0"/>
          <w:color w:val="auto"/>
          <w:sz w:val="32"/>
          <w:szCs w:val="32"/>
          <w:highlight w:val="none"/>
          <w:u w:val="none"/>
          <w:lang w:val="en-US" w:eastAsia="zh-CN"/>
        </w:rPr>
        <w:t>第五条</w:t>
      </w:r>
      <w:r>
        <w:rPr>
          <w:rFonts w:hint="eastAsia" w:ascii="仿宋_GB2312" w:hAnsi="Times New Roman" w:eastAsia="仿宋_GB2312" w:cs="Times New Roman"/>
          <w:color w:val="auto"/>
          <w:kern w:val="2"/>
          <w:sz w:val="32"/>
          <w:szCs w:val="32"/>
          <w:highlight w:val="none"/>
          <w:lang w:val="en-US" w:eastAsia="zh-CN" w:bidi="ar-SA"/>
        </w:rPr>
        <w:t xml:space="preserve"> </w:t>
      </w:r>
      <w:r>
        <w:rPr>
          <w:rFonts w:hint="eastAsia" w:ascii="仿宋_GB2312" w:hAnsi="仿宋_GB2312" w:eastAsia="仿宋_GB2312" w:cs="仿宋_GB2312"/>
          <w:color w:val="auto"/>
          <w:sz w:val="32"/>
          <w:szCs w:val="32"/>
          <w:highlight w:val="none"/>
          <w:u w:val="none"/>
          <w:lang w:val="en-US" w:eastAsia="zh-CN"/>
        </w:rPr>
        <w:t>排队轮候坚持公开透明、公平公正原则；因经营场所所在市场单元（如网格单元或区域单元）烟草制品零售点数量达到规划数量上限，被发证机关作出不予许可决定后，可以申请排队轮候，开始适用本办法。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highlight w:val="none"/>
          <w:u w:val="none"/>
          <w:lang w:val="en-US" w:eastAsia="zh-CN"/>
        </w:rPr>
      </w:pPr>
      <w:r>
        <w:rPr>
          <w:rFonts w:hint="eastAsia" w:ascii="黑体" w:hAnsi="黑体" w:eastAsia="黑体" w:cs="黑体"/>
          <w:b w:val="0"/>
          <w:bCs w:val="0"/>
          <w:color w:val="auto"/>
          <w:sz w:val="32"/>
          <w:szCs w:val="32"/>
          <w:highlight w:val="none"/>
          <w:u w:val="none"/>
          <w:lang w:val="en-US" w:eastAsia="zh-CN"/>
        </w:rPr>
        <w:t>第二章 排队轮候规则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Times New Roman"/>
          <w:color w:val="auto"/>
          <w:kern w:val="2"/>
          <w:sz w:val="32"/>
          <w:szCs w:val="32"/>
          <w:highlight w:val="none"/>
          <w:lang w:val="en-US" w:eastAsia="zh-CN" w:bidi="ar-SA"/>
        </w:rPr>
      </w:pPr>
      <w:r>
        <w:rPr>
          <w:rFonts w:hint="eastAsia" w:ascii="黑体" w:hAnsi="黑体" w:eastAsia="黑体" w:cs="黑体"/>
          <w:b w:val="0"/>
          <w:bCs w:val="0"/>
          <w:color w:val="auto"/>
          <w:sz w:val="32"/>
          <w:szCs w:val="32"/>
          <w:highlight w:val="none"/>
          <w:u w:val="none"/>
          <w:lang w:val="en-US" w:eastAsia="zh-CN"/>
        </w:rPr>
        <w:t>第六条</w:t>
      </w:r>
      <w:r>
        <w:rPr>
          <w:rFonts w:hint="eastAsia" w:ascii="仿宋_GB2312" w:hAnsi="Times New Roman" w:eastAsia="仿宋_GB2312" w:cs="Times New Roman"/>
          <w:color w:val="auto"/>
          <w:kern w:val="2"/>
          <w:sz w:val="32"/>
          <w:szCs w:val="32"/>
          <w:highlight w:val="none"/>
          <w:lang w:val="en-US" w:eastAsia="zh-CN" w:bidi="ar-SA"/>
        </w:rPr>
        <w:t xml:space="preserve"> </w:t>
      </w:r>
      <w:r>
        <w:rPr>
          <w:rFonts w:hint="eastAsia" w:ascii="仿宋_GB2312" w:eastAsia="仿宋_GB2312" w:cs="Times New Roman"/>
          <w:color w:val="auto"/>
          <w:kern w:val="2"/>
          <w:sz w:val="32"/>
          <w:szCs w:val="32"/>
          <w:highlight w:val="none"/>
          <w:lang w:val="en-US" w:eastAsia="zh-CN" w:bidi="ar-SA"/>
        </w:rPr>
        <w:t>排队轮候遵循“先申请、先受理、先办理”的原则，申请人的排队轮候顺序以全国统一专卖监管平台显示的申请日期为准，具体时间明确到时分秒。排队轮候期间，同一申请人在同一经营场所多次提出排队轮候申请的，以第一次排队轮候顺序为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排队轮候期间，申请人登记的企业名称/个体工商户名称、法定代表人或负责人姓名、经营地址等事项应与实际经营情况相一致。申请人不得调换、转让排队轮候顺序。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b w:val="0"/>
          <w:bCs w:val="0"/>
          <w:color w:val="auto"/>
          <w:sz w:val="32"/>
          <w:szCs w:val="32"/>
          <w:highlight w:val="none"/>
          <w:u w:val="none"/>
          <w:lang w:val="en" w:eastAsia="zh-CN"/>
        </w:rPr>
        <w:t>第</w:t>
      </w:r>
      <w:r>
        <w:rPr>
          <w:rFonts w:hint="eastAsia" w:ascii="黑体" w:hAnsi="黑体" w:eastAsia="黑体" w:cs="黑体"/>
          <w:b w:val="0"/>
          <w:bCs w:val="0"/>
          <w:color w:val="auto"/>
          <w:sz w:val="32"/>
          <w:szCs w:val="32"/>
          <w:highlight w:val="none"/>
          <w:u w:val="none"/>
          <w:lang w:val="en-US" w:eastAsia="zh-CN"/>
        </w:rPr>
        <w:t>七</w:t>
      </w:r>
      <w:r>
        <w:rPr>
          <w:rFonts w:hint="eastAsia" w:ascii="黑体" w:hAnsi="黑体" w:eastAsia="黑体" w:cs="黑体"/>
          <w:b w:val="0"/>
          <w:bCs w:val="0"/>
          <w:color w:val="auto"/>
          <w:sz w:val="32"/>
          <w:szCs w:val="32"/>
          <w:highlight w:val="none"/>
          <w:u w:val="none"/>
          <w:lang w:val="en" w:eastAsia="zh-CN"/>
        </w:rPr>
        <w:t>条</w:t>
      </w:r>
      <w:r>
        <w:rPr>
          <w:rFonts w:hint="eastAsia" w:ascii="仿宋_GB2312" w:hAnsi="仿宋_GB2312" w:eastAsia="仿宋_GB2312" w:cs="仿宋_GB2312"/>
          <w:b/>
          <w:bCs/>
          <w:color w:val="auto"/>
          <w:sz w:val="32"/>
          <w:szCs w:val="32"/>
          <w:highlight w:val="none"/>
          <w:u w:val="none"/>
          <w:lang w:val="en-US" w:eastAsia="zh-CN"/>
        </w:rPr>
        <w:t xml:space="preserve"> </w:t>
      </w:r>
      <w:r>
        <w:rPr>
          <w:rFonts w:hint="eastAsia" w:ascii="仿宋_GB2312" w:hAnsi="仿宋_GB2312" w:eastAsia="仿宋_GB2312" w:cs="仿宋_GB2312"/>
          <w:b w:val="0"/>
          <w:bCs w:val="0"/>
          <w:color w:val="auto"/>
          <w:sz w:val="32"/>
          <w:szCs w:val="32"/>
          <w:highlight w:val="none"/>
          <w:u w:val="none"/>
          <w:lang w:val="en-US" w:eastAsia="zh-CN"/>
        </w:rPr>
        <w:t>申请人</w:t>
      </w:r>
      <w:r>
        <w:rPr>
          <w:rFonts w:hint="eastAsia" w:ascii="仿宋_GB2312" w:hAnsi="仿宋_GB2312" w:eastAsia="仿宋_GB2312" w:cs="仿宋_GB2312"/>
          <w:color w:val="auto"/>
          <w:sz w:val="32"/>
          <w:szCs w:val="32"/>
          <w:highlight w:val="none"/>
          <w:u w:val="none"/>
          <w:lang w:val="en-US" w:eastAsia="zh-CN"/>
        </w:rPr>
        <w:t>申请条件</w:t>
      </w:r>
      <w:r>
        <w:rPr>
          <w:rFonts w:hint="eastAsia" w:ascii="仿宋_GB2312" w:hAnsi="仿宋_GB2312" w:eastAsia="仿宋_GB2312" w:cs="仿宋_GB2312"/>
          <w:b w:val="0"/>
          <w:bCs w:val="0"/>
          <w:color w:val="auto"/>
          <w:sz w:val="32"/>
          <w:szCs w:val="32"/>
          <w:highlight w:val="none"/>
          <w:u w:val="none"/>
          <w:lang w:val="en-US" w:eastAsia="zh-CN"/>
        </w:rPr>
        <w:t>属于法律法规有明确规定的，或者属于“</w:t>
      </w:r>
      <w:r>
        <w:rPr>
          <w:rFonts w:hint="eastAsia" w:ascii="仿宋_GB2312" w:hAnsi="仿宋_GB2312" w:eastAsia="仿宋_GB2312" w:cs="仿宋_GB2312"/>
          <w:b w:val="0"/>
          <w:bCs w:val="0"/>
          <w:color w:val="auto"/>
          <w:sz w:val="32"/>
          <w:szCs w:val="32"/>
          <w:highlight w:val="none"/>
          <w:u w:val="none"/>
        </w:rPr>
        <w:t>限制性条款</w:t>
      </w:r>
      <w:r>
        <w:rPr>
          <w:rFonts w:hint="eastAsia" w:ascii="仿宋_GB2312" w:hAnsi="仿宋_GB2312" w:eastAsia="仿宋_GB2312" w:cs="仿宋_GB2312"/>
          <w:b w:val="0"/>
          <w:bCs w:val="0"/>
          <w:color w:val="auto"/>
          <w:sz w:val="32"/>
          <w:szCs w:val="32"/>
          <w:highlight w:val="none"/>
          <w:u w:val="none"/>
          <w:lang w:val="en-US" w:eastAsia="zh-CN"/>
        </w:rPr>
        <w:t>”的不</w:t>
      </w:r>
      <w:r>
        <w:rPr>
          <w:rFonts w:hint="eastAsia" w:ascii="仿宋_GB2312" w:hAnsi="仿宋_GB2312" w:eastAsia="仿宋_GB2312" w:cs="仿宋_GB2312"/>
          <w:color w:val="auto"/>
          <w:sz w:val="32"/>
          <w:szCs w:val="32"/>
          <w:highlight w:val="none"/>
          <w:u w:val="none"/>
          <w:lang w:val="en-US" w:eastAsia="zh-CN"/>
        </w:rPr>
        <w:t>纳入排队轮候管理。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Cs/>
          <w:color w:val="auto"/>
          <w:sz w:val="32"/>
          <w:szCs w:val="32"/>
          <w:highlight w:val="none"/>
          <w:u w:val="none"/>
          <w:lang w:val="en" w:eastAsia="zh-CN"/>
        </w:rPr>
      </w:pPr>
      <w:r>
        <w:rPr>
          <w:rFonts w:hint="eastAsia" w:ascii="黑体" w:hAnsi="黑体" w:eastAsia="黑体" w:cs="黑体"/>
          <w:b w:val="0"/>
          <w:bCs w:val="0"/>
          <w:color w:val="auto"/>
          <w:sz w:val="32"/>
          <w:szCs w:val="32"/>
          <w:highlight w:val="none"/>
          <w:u w:val="none"/>
          <w:lang w:val="en" w:eastAsia="zh-CN"/>
        </w:rPr>
        <w:t>第</w:t>
      </w:r>
      <w:r>
        <w:rPr>
          <w:rFonts w:hint="eastAsia" w:ascii="黑体" w:hAnsi="黑体" w:eastAsia="黑体" w:cs="黑体"/>
          <w:b w:val="0"/>
          <w:bCs w:val="0"/>
          <w:color w:val="auto"/>
          <w:sz w:val="32"/>
          <w:szCs w:val="32"/>
          <w:highlight w:val="none"/>
          <w:u w:val="none"/>
          <w:lang w:val="en-US" w:eastAsia="zh-CN"/>
        </w:rPr>
        <w:t>八</w:t>
      </w:r>
      <w:r>
        <w:rPr>
          <w:rFonts w:hint="eastAsia" w:ascii="黑体" w:hAnsi="黑体" w:eastAsia="黑体" w:cs="黑体"/>
          <w:b w:val="0"/>
          <w:bCs w:val="0"/>
          <w:color w:val="auto"/>
          <w:sz w:val="32"/>
          <w:szCs w:val="32"/>
          <w:highlight w:val="none"/>
          <w:u w:val="none"/>
          <w:lang w:val="en" w:eastAsia="zh-CN"/>
        </w:rPr>
        <w:t>条</w:t>
      </w:r>
      <w:r>
        <w:rPr>
          <w:rFonts w:hint="eastAsia" w:ascii="仿宋_GB2312" w:hAnsi="仿宋_GB2312" w:eastAsia="仿宋_GB2312" w:cs="仿宋_GB2312"/>
          <w:bCs/>
          <w:color w:val="auto"/>
          <w:sz w:val="32"/>
          <w:szCs w:val="32"/>
          <w:highlight w:val="none"/>
          <w:u w:val="none"/>
          <w:lang w:val="en-US" w:eastAsia="zh-CN"/>
        </w:rPr>
        <w:t xml:space="preserve"> </w:t>
      </w:r>
      <w:r>
        <w:rPr>
          <w:rFonts w:hint="eastAsia" w:ascii="仿宋_GB2312" w:hAnsi="仿宋_GB2312" w:eastAsia="仿宋_GB2312" w:cs="仿宋_GB2312"/>
          <w:b w:val="0"/>
          <w:color w:val="auto"/>
          <w:sz w:val="32"/>
          <w:szCs w:val="32"/>
          <w:highlight w:val="none"/>
          <w:lang w:val="en-US" w:eastAsia="zh-CN"/>
        </w:rPr>
        <w:t>发证机关应及时公开辖区内各市场单元的零售点规划数量、现有数量、可办数量、排队数量等情况，并通过排队轮候管理平台（新烟政务通）进行公示。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color w:val="auto"/>
          <w:kern w:val="0"/>
          <w:sz w:val="32"/>
          <w:szCs w:val="32"/>
          <w:highlight w:val="none"/>
          <w:u w:val="none"/>
          <w:lang w:val="en-US" w:eastAsia="zh-CN" w:bidi="ar"/>
        </w:rPr>
      </w:pPr>
      <w:r>
        <w:rPr>
          <w:rFonts w:hint="eastAsia" w:ascii="黑体" w:hAnsi="黑体" w:eastAsia="黑体" w:cs="黑体"/>
          <w:b w:val="0"/>
          <w:bCs w:val="0"/>
          <w:color w:val="auto"/>
          <w:sz w:val="32"/>
          <w:szCs w:val="32"/>
          <w:highlight w:val="none"/>
          <w:u w:val="none"/>
          <w:lang w:val="en-US" w:eastAsia="zh-CN"/>
        </w:rPr>
        <w:t>第九条</w:t>
      </w:r>
      <w:r>
        <w:rPr>
          <w:rFonts w:hint="eastAsia" w:ascii="仿宋_GB2312" w:hAnsi="仿宋_GB2312" w:eastAsia="仿宋_GB2312" w:cs="仿宋_GB2312"/>
          <w:b w:val="0"/>
          <w:bCs w:val="0"/>
          <w:color w:val="auto"/>
          <w:sz w:val="32"/>
          <w:szCs w:val="32"/>
          <w:highlight w:val="none"/>
          <w:u w:val="none"/>
          <w:lang w:val="en-US" w:eastAsia="zh-CN"/>
        </w:rPr>
        <w:t xml:space="preserve"> </w:t>
      </w:r>
      <w:r>
        <w:rPr>
          <w:rFonts w:hint="eastAsia" w:ascii="仿宋_GB2312" w:hAnsi="仿宋_GB2312" w:eastAsia="仿宋_GB2312" w:cs="仿宋_GB2312"/>
          <w:b w:val="0"/>
          <w:color w:val="auto"/>
          <w:sz w:val="32"/>
          <w:szCs w:val="32"/>
          <w:highlight w:val="none"/>
          <w:lang w:val="en-US" w:eastAsia="zh-CN"/>
        </w:rPr>
        <w:t>排队轮候申请资料与实际申请资料应当保持一致，排队轮候顺序不得调换或转让。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highlight w:val="none"/>
          <w:lang w:val="en-US" w:eastAsia="zh-CN"/>
        </w:rPr>
      </w:pPr>
      <w:r>
        <w:rPr>
          <w:rFonts w:hint="eastAsia" w:ascii="黑体" w:hAnsi="黑体" w:eastAsia="黑体" w:cs="黑体"/>
          <w:b w:val="0"/>
          <w:bCs w:val="0"/>
          <w:color w:val="auto"/>
          <w:sz w:val="32"/>
          <w:szCs w:val="32"/>
          <w:highlight w:val="none"/>
          <w:u w:val="none"/>
          <w:lang w:val="en-US" w:eastAsia="zh-CN"/>
        </w:rPr>
        <w:t>第十条</w:t>
      </w:r>
      <w:r>
        <w:rPr>
          <w:rFonts w:hint="eastAsia" w:ascii="仿宋_GB2312" w:hAnsi="仿宋_GB2312" w:eastAsia="仿宋_GB2312" w:cs="仿宋_GB2312"/>
          <w:color w:val="auto"/>
          <w:kern w:val="0"/>
          <w:sz w:val="32"/>
          <w:szCs w:val="32"/>
          <w:highlight w:val="none"/>
          <w:u w:val="none"/>
          <w:lang w:val="en-US" w:eastAsia="zh-CN" w:bidi="ar"/>
        </w:rPr>
        <w:t xml:space="preserve"> </w:t>
      </w:r>
      <w:r>
        <w:rPr>
          <w:rFonts w:hint="eastAsia" w:ascii="仿宋_GB2312" w:hAnsi="仿宋_GB2312" w:eastAsia="仿宋_GB2312" w:cs="仿宋_GB2312"/>
          <w:b w:val="0"/>
          <w:color w:val="auto"/>
          <w:sz w:val="32"/>
          <w:szCs w:val="32"/>
          <w:highlight w:val="none"/>
          <w:lang w:val="en-US" w:eastAsia="zh-CN"/>
        </w:rPr>
        <w:t>当零售点数量符合规划数量时，由发证机关按照排队轮候顺序通知申请人依次依法申办烟草专卖零售许可证。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highlight w:val="none"/>
          <w:lang w:val="en-US" w:eastAsia="zh-CN"/>
        </w:rPr>
      </w:pPr>
      <w:r>
        <w:rPr>
          <w:rFonts w:hint="eastAsia" w:ascii="黑体" w:hAnsi="黑体" w:eastAsia="黑体" w:cs="黑体"/>
          <w:b w:val="0"/>
          <w:bCs w:val="0"/>
          <w:color w:val="auto"/>
          <w:kern w:val="2"/>
          <w:sz w:val="32"/>
          <w:szCs w:val="32"/>
          <w:highlight w:val="none"/>
          <w:u w:val="none"/>
          <w:lang w:val="en-US" w:eastAsia="zh-CN" w:bidi="ar-SA"/>
        </w:rPr>
        <w:t>第十一条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b w:val="0"/>
          <w:color w:val="auto"/>
          <w:sz w:val="32"/>
          <w:szCs w:val="32"/>
          <w:highlight w:val="none"/>
          <w:lang w:val="en-US" w:eastAsia="zh-CN"/>
        </w:rPr>
        <w:t>排队轮候期间，申请人出现下列情形的，则本次排队轮候失效，由发证机关进行清理，下一位次递补申请：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highlight w:val="none"/>
          <w:lang w:val="en-US" w:eastAsia="zh-CN"/>
        </w:rPr>
      </w:pPr>
      <w:r>
        <w:rPr>
          <w:rFonts w:hint="eastAsia" w:ascii="仿宋_GB2312" w:hAnsi="仿宋_GB2312" w:eastAsia="仿宋_GB2312" w:cs="仿宋_GB2312"/>
          <w:b w:val="0"/>
          <w:color w:val="auto"/>
          <w:sz w:val="32"/>
          <w:szCs w:val="32"/>
          <w:highlight w:val="none"/>
          <w:lang w:val="en-US" w:eastAsia="zh-CN"/>
        </w:rPr>
        <w:t>（一）主动放弃排队轮候权利的；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highlight w:val="none"/>
          <w:lang w:val="en-US" w:eastAsia="zh-CN"/>
        </w:rPr>
      </w:pPr>
      <w:r>
        <w:rPr>
          <w:rFonts w:hint="eastAsia" w:ascii="仿宋_GB2312" w:hAnsi="仿宋_GB2312" w:eastAsia="仿宋_GB2312" w:cs="仿宋_GB2312"/>
          <w:b w:val="0"/>
          <w:color w:val="auto"/>
          <w:sz w:val="32"/>
          <w:szCs w:val="32"/>
          <w:highlight w:val="none"/>
          <w:lang w:val="en-US" w:eastAsia="zh-CN"/>
        </w:rPr>
        <w:t>（二）排队轮候到号后，</w:t>
      </w:r>
      <w:r>
        <w:rPr>
          <w:rFonts w:hint="eastAsia" w:ascii="仿宋_GB2312" w:hAnsi="仿宋_GB2312" w:eastAsia="仿宋_GB2312" w:cs="仿宋_GB2312"/>
          <w:b w:val="0"/>
          <w:color w:val="auto"/>
          <w:kern w:val="2"/>
          <w:sz w:val="32"/>
          <w:szCs w:val="32"/>
          <w:highlight w:val="none"/>
          <w:lang w:val="en-US" w:eastAsia="zh-CN" w:bidi="ar-SA"/>
        </w:rPr>
        <w:t>逾期五个工作日内未提出新办申请，或发证机关通过申请人预留的联系方式无法联系到申请人的（两名执法人员5个工作日内随机时段拨打电话三次，或通过短信、书面等方式通知后没有回应的，视为无法联系，应保留录音录像等记录，确保程序合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highlight w:val="none"/>
          <w:lang w:val="en-US" w:eastAsia="zh-CN"/>
        </w:rPr>
      </w:pPr>
      <w:r>
        <w:rPr>
          <w:rFonts w:hint="eastAsia" w:ascii="仿宋_GB2312" w:hAnsi="仿宋_GB2312" w:eastAsia="仿宋_GB2312" w:cs="仿宋_GB2312"/>
          <w:b w:val="0"/>
          <w:color w:val="auto"/>
          <w:sz w:val="32"/>
          <w:szCs w:val="32"/>
          <w:highlight w:val="none"/>
          <w:lang w:val="en-US" w:eastAsia="zh-CN"/>
        </w:rPr>
        <w:t>（三）经营地址发生变化的；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highlight w:val="none"/>
          <w:lang w:val="en-US" w:eastAsia="zh-CN"/>
        </w:rPr>
      </w:pPr>
      <w:r>
        <w:rPr>
          <w:rFonts w:hint="eastAsia" w:ascii="仿宋_GB2312" w:hAnsi="仿宋_GB2312" w:eastAsia="仿宋_GB2312" w:cs="仿宋_GB2312"/>
          <w:b w:val="0"/>
          <w:color w:val="auto"/>
          <w:sz w:val="32"/>
          <w:szCs w:val="32"/>
          <w:highlight w:val="none"/>
          <w:lang w:val="en-US" w:eastAsia="zh-CN"/>
        </w:rPr>
        <w:t>（四）经营主体发生变化的（家庭经营的个体工商户，经营者在家庭成员间变更的除外）；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highlight w:val="none"/>
          <w:lang w:val="en-US" w:eastAsia="zh-CN"/>
        </w:rPr>
      </w:pPr>
      <w:r>
        <w:rPr>
          <w:rFonts w:hint="eastAsia" w:ascii="仿宋_GB2312" w:hAnsi="仿宋_GB2312" w:eastAsia="仿宋_GB2312" w:cs="仿宋_GB2312"/>
          <w:b w:val="0"/>
          <w:color w:val="auto"/>
          <w:sz w:val="32"/>
          <w:szCs w:val="32"/>
          <w:highlight w:val="none"/>
          <w:lang w:val="en-US" w:eastAsia="zh-CN"/>
        </w:rPr>
        <w:t>（五）被市场监督管理部门吊销或注销营业执照的；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color w:val="auto"/>
          <w:sz w:val="32"/>
          <w:szCs w:val="32"/>
          <w:highlight w:val="none"/>
          <w:lang w:val="en-US" w:eastAsia="zh-CN"/>
        </w:rPr>
      </w:pPr>
      <w:r>
        <w:rPr>
          <w:rFonts w:hint="eastAsia" w:ascii="仿宋_GB2312" w:hAnsi="仿宋_GB2312" w:eastAsia="仿宋_GB2312" w:cs="仿宋_GB2312"/>
          <w:b w:val="0"/>
          <w:color w:val="auto"/>
          <w:sz w:val="32"/>
          <w:szCs w:val="32"/>
          <w:highlight w:val="none"/>
          <w:lang w:val="en-US" w:eastAsia="zh-CN"/>
        </w:rPr>
        <w:t>（六）</w:t>
      </w:r>
      <w:r>
        <w:rPr>
          <w:rFonts w:hint="eastAsia" w:ascii="仿宋_GB2312" w:hAnsi="仿宋_GB2312" w:eastAsia="仿宋_GB2312" w:cs="仿宋_GB2312"/>
          <w:b w:val="0"/>
          <w:color w:val="auto"/>
          <w:sz w:val="32"/>
          <w:szCs w:val="32"/>
          <w:highlight w:val="none"/>
          <w:u w:val="none"/>
          <w:lang w:val="en-US" w:eastAsia="zh-CN"/>
        </w:rPr>
        <w:t>因其他排队轮候申请人取得许可后导致不符合“间距”相关要求的；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highlight w:val="none"/>
          <w:lang w:val="en-US" w:eastAsia="zh-CN"/>
        </w:rPr>
      </w:pPr>
      <w:r>
        <w:rPr>
          <w:rFonts w:hint="eastAsia" w:ascii="仿宋_GB2312" w:hAnsi="仿宋_GB2312" w:eastAsia="仿宋_GB2312" w:cs="仿宋_GB2312"/>
          <w:b w:val="0"/>
          <w:color w:val="auto"/>
          <w:sz w:val="32"/>
          <w:szCs w:val="32"/>
          <w:highlight w:val="none"/>
          <w:lang w:val="en-US" w:eastAsia="zh-CN"/>
        </w:rPr>
        <w:t>（七）擅自从事烟草专卖品生产经营活动受到行政处罚或刑事处罚的；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highlight w:val="none"/>
          <w:lang w:val="en" w:eastAsia="zh-CN"/>
        </w:rPr>
      </w:pPr>
      <w:r>
        <w:rPr>
          <w:rFonts w:hint="eastAsia" w:ascii="仿宋_GB2312" w:hAnsi="仿宋_GB2312" w:eastAsia="仿宋_GB2312" w:cs="仿宋_GB2312"/>
          <w:b w:val="0"/>
          <w:color w:val="auto"/>
          <w:sz w:val="32"/>
          <w:szCs w:val="32"/>
          <w:highlight w:val="none"/>
          <w:lang w:val="en-US" w:eastAsia="zh-CN"/>
        </w:rPr>
        <w:t>（八）因排队轮候申请人原因导致排队轮候资格失效的其他情形。</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highlight w:val="none"/>
          <w:u w:val="none"/>
          <w:lang w:val="en-US" w:eastAsia="zh-CN" w:bidi="ar-SA"/>
        </w:rPr>
      </w:pPr>
      <w:r>
        <w:rPr>
          <w:rFonts w:hint="eastAsia" w:ascii="黑体" w:hAnsi="黑体" w:eastAsia="黑体" w:cs="黑体"/>
          <w:b w:val="0"/>
          <w:bCs w:val="0"/>
          <w:color w:val="auto"/>
          <w:kern w:val="2"/>
          <w:sz w:val="32"/>
          <w:szCs w:val="32"/>
          <w:highlight w:val="none"/>
          <w:u w:val="none"/>
          <w:lang w:val="en-US" w:eastAsia="zh-CN" w:bidi="ar-SA"/>
        </w:rPr>
        <w:t>第三章 排队轮候名额使用程序</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黑体" w:hAnsi="黑体" w:eastAsia="黑体" w:cs="黑体"/>
          <w:b w:val="0"/>
          <w:bCs w:val="0"/>
          <w:color w:val="auto"/>
          <w:kern w:val="2"/>
          <w:sz w:val="32"/>
          <w:szCs w:val="32"/>
          <w:highlight w:val="none"/>
          <w:u w:val="none"/>
          <w:lang w:val="en-US" w:eastAsia="zh-CN" w:bidi="ar-SA"/>
        </w:rPr>
        <w:t>第十二条</w:t>
      </w:r>
      <w:r>
        <w:rPr>
          <w:rFonts w:hint="eastAsia" w:ascii="仿宋_GB2312" w:hAnsi="仿宋_GB2312" w:eastAsia="仿宋_GB2312" w:cs="仿宋_GB2312"/>
          <w:b w:val="0"/>
          <w:bCs w:val="0"/>
          <w:color w:val="auto"/>
          <w:sz w:val="32"/>
          <w:szCs w:val="32"/>
          <w:highlight w:val="none"/>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发证机关送达《不予许可决定书》时，告知申请人可参加排队轮候，申请人愿意参加排队轮候的，</w:t>
      </w:r>
      <w:r>
        <w:rPr>
          <w:rFonts w:hint="eastAsia" w:ascii="仿宋_GB2312" w:hAnsi="仿宋_GB2312" w:eastAsia="仿宋_GB2312" w:cs="仿宋_GB2312"/>
          <w:b w:val="0"/>
          <w:color w:val="000000"/>
          <w:sz w:val="32"/>
          <w:szCs w:val="32"/>
          <w:highlight w:val="none"/>
          <w:lang w:val="en-US" w:eastAsia="zh-CN"/>
        </w:rPr>
        <w:t>由发证机关工作人员指导其</w:t>
      </w:r>
      <w:r>
        <w:rPr>
          <w:rFonts w:hint="eastAsia" w:ascii="仿宋_GB2312" w:hAnsi="仿宋_GB2312" w:eastAsia="仿宋_GB2312" w:cs="仿宋_GB2312"/>
          <w:color w:val="auto"/>
          <w:kern w:val="0"/>
          <w:sz w:val="32"/>
          <w:szCs w:val="32"/>
          <w:highlight w:val="none"/>
          <w:u w:val="none"/>
          <w:lang w:val="en-US" w:eastAsia="zh-CN" w:bidi="ar"/>
        </w:rPr>
        <w:t>签署</w:t>
      </w:r>
      <w:r>
        <w:rPr>
          <w:rFonts w:hint="eastAsia" w:ascii="仿宋_GB2312" w:hAnsi="仿宋_GB2312" w:eastAsia="仿宋_GB2312" w:cs="仿宋_GB2312"/>
          <w:b w:val="0"/>
          <w:color w:val="000000"/>
          <w:sz w:val="32"/>
          <w:szCs w:val="32"/>
          <w:highlight w:val="none"/>
          <w:lang w:val="en-US" w:eastAsia="zh-CN"/>
        </w:rPr>
        <w:t>《烟草专卖零售许可证排队轮候申请承诺书》</w:t>
      </w:r>
      <w:r>
        <w:rPr>
          <w:rFonts w:hint="eastAsia" w:ascii="仿宋_GB2312" w:hAnsi="仿宋_GB2312" w:eastAsia="仿宋_GB2312" w:cs="仿宋_GB2312"/>
          <w:color w:val="auto"/>
          <w:kern w:val="0"/>
          <w:sz w:val="32"/>
          <w:szCs w:val="32"/>
          <w:highlight w:val="none"/>
          <w:u w:val="none"/>
          <w:lang w:val="en-US" w:eastAsia="zh-CN" w:bidi="ar"/>
        </w:rPr>
        <w:t>（附件1</w:t>
      </w:r>
      <w:r>
        <w:rPr>
          <w:rFonts w:hint="eastAsia" w:ascii="仿宋_GB2312" w:hAnsi="仿宋_GB2312" w:cs="仿宋_GB2312"/>
          <w:color w:val="auto"/>
          <w:kern w:val="0"/>
          <w:sz w:val="32"/>
          <w:szCs w:val="32"/>
          <w:highlight w:val="none"/>
          <w:u w:val="none"/>
          <w:lang w:val="en-US" w:eastAsia="zh-CN" w:bidi="ar"/>
        </w:rPr>
        <w:t>-1</w:t>
      </w:r>
      <w:r>
        <w:rPr>
          <w:rFonts w:hint="eastAsia" w:ascii="仿宋_GB2312" w:hAnsi="仿宋_GB2312" w:eastAsia="仿宋_GB2312" w:cs="仿宋_GB2312"/>
          <w:color w:val="auto"/>
          <w:kern w:val="0"/>
          <w:sz w:val="32"/>
          <w:szCs w:val="32"/>
          <w:highlight w:val="none"/>
          <w:u w:val="none"/>
          <w:lang w:val="en-US" w:eastAsia="zh-CN" w:bidi="ar"/>
        </w:rPr>
        <w:t>），一式两份，分别交由申请人和发证机关保管。</w:t>
      </w:r>
      <w:r>
        <w:rPr>
          <w:rStyle w:val="8"/>
          <w:rFonts w:hint="eastAsia" w:ascii="仿宋_GB2312" w:hAnsi="仿宋_GB2312" w:eastAsia="仿宋_GB2312" w:cs="仿宋_GB2312"/>
          <w:i w:val="0"/>
          <w:iCs w:val="0"/>
          <w:caps w:val="0"/>
          <w:color w:val="000000"/>
          <w:spacing w:val="0"/>
          <w:kern w:val="2"/>
          <w:sz w:val="32"/>
          <w:szCs w:val="32"/>
          <w:highlight w:val="none"/>
          <w:lang w:val="en-US" w:eastAsia="zh-CN" w:bidi="ar"/>
        </w:rPr>
        <w:t>排队轮候失效的，发证机关应向申请人发放《烟草专卖零售许可排队轮候失效通知书》（附件</w:t>
      </w:r>
      <w:r>
        <w:rPr>
          <w:rStyle w:val="8"/>
          <w:rFonts w:hint="eastAsia" w:ascii="仿宋_GB2312" w:hAnsi="仿宋_GB2312" w:cs="仿宋_GB2312"/>
          <w:i w:val="0"/>
          <w:iCs w:val="0"/>
          <w:caps w:val="0"/>
          <w:color w:val="000000"/>
          <w:spacing w:val="0"/>
          <w:kern w:val="2"/>
          <w:sz w:val="32"/>
          <w:szCs w:val="32"/>
          <w:highlight w:val="none"/>
          <w:lang w:val="en-US" w:eastAsia="zh-CN" w:bidi="ar"/>
        </w:rPr>
        <w:t>1-</w:t>
      </w:r>
      <w:r>
        <w:rPr>
          <w:rStyle w:val="8"/>
          <w:rFonts w:hint="eastAsia" w:ascii="仿宋_GB2312" w:hAnsi="仿宋_GB2312" w:eastAsia="仿宋_GB2312" w:cs="仿宋_GB2312"/>
          <w:i w:val="0"/>
          <w:iCs w:val="0"/>
          <w:caps w:val="0"/>
          <w:color w:val="000000"/>
          <w:spacing w:val="0"/>
          <w:kern w:val="2"/>
          <w:sz w:val="32"/>
          <w:szCs w:val="32"/>
          <w:highlight w:val="none"/>
          <w:lang w:val="en-US" w:eastAsia="zh-CN" w:bidi="ar"/>
        </w:rPr>
        <w:t>2），经其签字确认后，终止排队轮候。申请人拒不签字或无法签字的，视为失效通知书已发放，终止排队轮候，由两名执法人员共同签字确认，并保留录音、录像等记录</w:t>
      </w:r>
      <w:r>
        <w:rPr>
          <w:rFonts w:hint="eastAsia" w:ascii="仿宋_GB2312" w:hAnsi="仿宋_GB2312" w:eastAsia="仿宋_GB2312" w:cs="仿宋_GB2312"/>
          <w:color w:val="auto"/>
          <w:kern w:val="0"/>
          <w:sz w:val="32"/>
          <w:szCs w:val="32"/>
          <w:highlight w:val="none"/>
          <w:u w:val="none"/>
          <w:lang w:val="en-US" w:eastAsia="zh-CN" w:bidi="ar"/>
        </w:rPr>
        <w:t>。</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auto"/>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lang w:val="en-US" w:eastAsia="zh-CN" w:bidi="ar-SA"/>
        </w:rPr>
        <w:t>第十三条</w:t>
      </w:r>
      <w:r>
        <w:rPr>
          <w:rFonts w:hint="eastAsia" w:ascii="仿宋_GB2312" w:hAnsi="仿宋_GB2312" w:eastAsia="仿宋_GB2312" w:cs="仿宋_GB2312"/>
          <w:color w:val="auto"/>
          <w:sz w:val="32"/>
          <w:szCs w:val="32"/>
          <w:highlight w:val="none"/>
          <w:u w:val="none"/>
          <w:lang w:val="en-US" w:eastAsia="zh-CN"/>
        </w:rPr>
        <w:t xml:space="preserve"> 当市场单元</w:t>
      </w:r>
      <w:r>
        <w:rPr>
          <w:rFonts w:hint="eastAsia" w:ascii="仿宋_GB2312" w:hAnsi="仿宋_GB2312" w:eastAsia="仿宋_GB2312" w:cs="仿宋_GB2312"/>
          <w:color w:val="auto"/>
          <w:sz w:val="32"/>
          <w:szCs w:val="32"/>
          <w:highlight w:val="none"/>
          <w:u w:val="none"/>
          <w:lang w:val="en" w:eastAsia="zh-CN"/>
        </w:rPr>
        <w:t>容量</w:t>
      </w:r>
      <w:r>
        <w:rPr>
          <w:rFonts w:hint="eastAsia" w:ascii="仿宋_GB2312" w:hAnsi="仿宋_GB2312" w:eastAsia="仿宋_GB2312" w:cs="仿宋_GB2312"/>
          <w:color w:val="auto"/>
          <w:sz w:val="32"/>
          <w:szCs w:val="32"/>
          <w:highlight w:val="none"/>
          <w:u w:val="none"/>
          <w:lang w:val="en-US" w:eastAsia="zh-CN"/>
        </w:rPr>
        <w:t>内有办证额度数时，发证机关按照排队轮候顺序告知排队到号的申请人，提交新办申请，符合办证条件的，依法作出准予许可决定；不符合办证条件的，依法作出不予许可决定，排队轮候位次按照原顺序依次递进。</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lang w:val="en-US" w:eastAsia="zh-CN" w:bidi="ar-SA"/>
        </w:rPr>
        <w:t>第十四条</w:t>
      </w:r>
      <w:r>
        <w:rPr>
          <w:rFonts w:hint="eastAsia" w:ascii="楷体_GB2312" w:hAnsi="楷体_GB2312" w:eastAsia="楷体_GB2312" w:cs="楷体_GB2312"/>
          <w:b/>
          <w:bCs/>
          <w:color w:val="auto"/>
          <w:kern w:val="2"/>
          <w:sz w:val="32"/>
          <w:szCs w:val="32"/>
          <w:highlight w:val="none"/>
          <w:u w:val="none"/>
          <w:lang w:val="en-US" w:eastAsia="zh-CN" w:bidi="ar-SA"/>
        </w:rPr>
        <w:t xml:space="preserve"> </w:t>
      </w:r>
      <w:r>
        <w:rPr>
          <w:rFonts w:hint="eastAsia" w:ascii="仿宋_GB2312" w:hAnsi="仿宋_GB2312" w:eastAsia="仿宋_GB2312" w:cs="仿宋_GB2312"/>
          <w:color w:val="auto"/>
          <w:sz w:val="32"/>
          <w:szCs w:val="32"/>
          <w:highlight w:val="none"/>
          <w:u w:val="none"/>
          <w:lang w:val="en-US" w:eastAsia="zh-CN"/>
        </w:rPr>
        <w:t>申请人排队轮候顺序发生变动时，发证机关应在新烟政务通进行更新查询，并向排队人员告知查询渠道。</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宋体" w:eastAsia="黑体" w:cs="黑体"/>
          <w:color w:val="auto"/>
          <w:sz w:val="32"/>
          <w:szCs w:val="32"/>
          <w:highlight w:val="none"/>
          <w:u w:val="none"/>
          <w:lang w:val="en-US" w:eastAsia="zh-CN"/>
        </w:rPr>
      </w:pPr>
    </w:p>
    <w:p>
      <w:pPr>
        <w:pStyle w:val="4"/>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宋体" w:eastAsia="黑体" w:cs="黑体"/>
          <w:color w:val="auto"/>
          <w:sz w:val="32"/>
          <w:szCs w:val="32"/>
          <w:highlight w:val="none"/>
          <w:u w:val="none"/>
          <w:lang w:val="en-US" w:eastAsia="zh-CN"/>
        </w:rPr>
      </w:pPr>
      <w:r>
        <w:rPr>
          <w:rFonts w:hint="eastAsia" w:ascii="黑体" w:hAnsi="宋体" w:eastAsia="黑体" w:cs="黑体"/>
          <w:color w:val="auto"/>
          <w:sz w:val="32"/>
          <w:szCs w:val="32"/>
          <w:highlight w:val="none"/>
          <w:u w:val="none"/>
          <w:lang w:val="en-US" w:eastAsia="zh-CN"/>
        </w:rPr>
        <w:t>第四章 监督检查</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b w:val="0"/>
          <w:bCs w:val="0"/>
          <w:color w:val="auto"/>
          <w:kern w:val="2"/>
          <w:sz w:val="32"/>
          <w:szCs w:val="32"/>
          <w:highlight w:val="none"/>
          <w:u w:val="none"/>
          <w:lang w:val="en-US" w:eastAsia="zh-CN" w:bidi="ar-SA"/>
        </w:rPr>
        <w:t>第十五条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工作人员有下列情形之一的，发证机关应依据相关规定追究责任；构成犯罪的，依法移送司法机关追究刑事责任：</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（一）徇私舞弊、索贿受贿、谋取非法利益或收取相关费用的；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（二）滥用职权、玩忽职守、粗暴执法、失职渎职的；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（三）泄露个人信息、企业信息的；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（四）依法应当追究责任的其他情形；</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宋体" w:eastAsia="黑体" w:cs="黑体"/>
          <w:color w:val="auto"/>
          <w:sz w:val="32"/>
          <w:szCs w:val="32"/>
          <w:highlight w:val="none"/>
          <w:u w:val="non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宋体" w:eastAsia="黑体" w:cs="黑体"/>
          <w:color w:val="auto"/>
          <w:sz w:val="32"/>
          <w:szCs w:val="32"/>
          <w:highlight w:val="none"/>
          <w:u w:val="none"/>
          <w:lang w:val="en-US" w:eastAsia="zh-CN"/>
        </w:rPr>
      </w:pPr>
      <w:r>
        <w:rPr>
          <w:rFonts w:hint="eastAsia" w:ascii="黑体" w:hAnsi="宋体" w:eastAsia="黑体" w:cs="黑体"/>
          <w:color w:val="auto"/>
          <w:sz w:val="32"/>
          <w:szCs w:val="32"/>
          <w:highlight w:val="none"/>
          <w:u w:val="none"/>
          <w:lang w:val="en-US" w:eastAsia="zh-CN"/>
        </w:rPr>
        <w:t>第五章 附则</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bidi="ar-SA"/>
        </w:rPr>
        <w:t>第十六条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本办法所指“以上”包括本数，本办法所指“日”为工作日。</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黑体" w:hAnsi="黑体" w:eastAsia="黑体" w:cs="黑体"/>
          <w:b w:val="0"/>
          <w:bCs w:val="0"/>
          <w:color w:val="auto"/>
          <w:kern w:val="2"/>
          <w:sz w:val="32"/>
          <w:szCs w:val="32"/>
          <w:highlight w:val="none"/>
          <w:u w:val="none"/>
          <w:lang w:val="en-US" w:eastAsia="zh-CN" w:bidi="ar-SA"/>
        </w:rPr>
        <w:t>第十七条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本办法由疏附县烟草专卖局负责解释。</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kern w:val="0"/>
          <w:sz w:val="32"/>
          <w:szCs w:val="32"/>
          <w:highlight w:val="none"/>
          <w:u w:val="none"/>
          <w:lang w:val="en-US" w:eastAsia="zh-CN" w:bidi="ar"/>
        </w:rPr>
      </w:pPr>
      <w:r>
        <w:rPr>
          <w:rFonts w:hint="eastAsia" w:ascii="黑体" w:hAnsi="黑体" w:eastAsia="黑体" w:cs="黑体"/>
          <w:b w:val="0"/>
          <w:bCs w:val="0"/>
          <w:color w:val="auto"/>
          <w:kern w:val="2"/>
          <w:sz w:val="32"/>
          <w:szCs w:val="32"/>
          <w:highlight w:val="none"/>
          <w:u w:val="none"/>
          <w:lang w:val="en-US" w:eastAsia="zh-CN" w:bidi="ar-SA"/>
        </w:rPr>
        <w:t>第十八条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本办法与2026年9月1日实施的《疏附县烟草制品零售点合理布局规划》同步实施。本办法与上级文件不一致的，以上级文件规定为准，如遇法律法规或相关政策调整，将适时对本办法进行修订</w:t>
      </w:r>
      <w:r>
        <w:rPr>
          <w:rFonts w:hint="eastAsia" w:ascii="仿宋_GB2312" w:hAnsi="仿宋_GB2312" w:cs="仿宋_GB2312"/>
          <w:color w:val="auto"/>
          <w:kern w:val="0"/>
          <w:sz w:val="32"/>
          <w:szCs w:val="32"/>
          <w:highlight w:val="none"/>
          <w:u w:val="none"/>
          <w:lang w:val="en-US" w:eastAsia="zh-CN" w:bidi="ar"/>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kern w:val="0"/>
          <w:sz w:val="32"/>
          <w:szCs w:val="32"/>
          <w:highlight w:val="none"/>
          <w:u w:val="none"/>
          <w:lang w:val="en-US" w:eastAsia="zh-CN" w:bidi="ar"/>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仿宋_GB2312" w:hAnsi="仿宋_GB2312" w:eastAsia="仿宋_GB2312" w:cs="仿宋_GB2312"/>
          <w:color w:val="auto"/>
          <w:kern w:val="0"/>
          <w:sz w:val="32"/>
          <w:szCs w:val="32"/>
          <w:highlight w:val="none"/>
          <w:u w:val="none"/>
          <w:lang w:val="en-US" w:eastAsia="zh-CN" w:bidi="ar"/>
        </w:rPr>
        <w:t>附件：</w:t>
      </w:r>
      <w:r>
        <w:rPr>
          <w:rFonts w:hint="eastAsia" w:ascii="仿宋_GB2312" w:hAnsi="仿宋_GB2312" w:cs="仿宋_GB2312"/>
          <w:color w:val="auto"/>
          <w:kern w:val="0"/>
          <w:sz w:val="32"/>
          <w:szCs w:val="32"/>
          <w:highlight w:val="none"/>
          <w:u w:val="none"/>
          <w:lang w:val="en-US" w:eastAsia="zh-CN" w:bidi="ar"/>
        </w:rPr>
        <w:t>1</w:t>
      </w:r>
      <w:r>
        <w:rPr>
          <w:rFonts w:hint="eastAsia" w:ascii="仿宋_GB2312" w:hAnsi="仿宋_GB2312" w:eastAsia="仿宋_GB2312" w:cs="仿宋_GB2312"/>
          <w:color w:val="auto"/>
          <w:kern w:val="0"/>
          <w:sz w:val="32"/>
          <w:szCs w:val="32"/>
          <w:highlight w:val="none"/>
          <w:u w:val="none"/>
          <w:lang w:val="en-US" w:eastAsia="zh-CN" w:bidi="ar"/>
        </w:rPr>
        <w:t>-1</w:t>
      </w:r>
      <w:r>
        <w:rPr>
          <w:rFonts w:hint="eastAsia" w:ascii="仿宋_GB2312" w:hAnsi="仿宋_GB2312" w:cs="仿宋_GB2312"/>
          <w:color w:val="auto"/>
          <w:kern w:val="0"/>
          <w:sz w:val="32"/>
          <w:szCs w:val="32"/>
          <w:highlight w:val="none"/>
          <w:u w:val="none"/>
          <w:lang w:val="en-US" w:eastAsia="zh-CN" w:bidi="ar"/>
        </w:rPr>
        <w:t>.</w:t>
      </w:r>
      <w:r>
        <w:rPr>
          <w:rFonts w:hint="eastAsia" w:ascii="仿宋_GB2312" w:hAnsi="仿宋_GB2312" w:eastAsia="仿宋_GB2312" w:cs="仿宋_GB2312"/>
          <w:color w:val="auto"/>
          <w:kern w:val="0"/>
          <w:sz w:val="32"/>
          <w:szCs w:val="32"/>
          <w:highlight w:val="none"/>
          <w:u w:val="none"/>
          <w:lang w:val="en-US" w:eastAsia="zh-CN" w:bidi="ar"/>
        </w:rPr>
        <w:t>烟草专卖零售许可证排队轮候申请承诺书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仿宋_GB2312" w:hAnsi="仿宋_GB2312" w:cs="仿宋_GB2312"/>
          <w:color w:val="auto"/>
          <w:kern w:val="0"/>
          <w:sz w:val="32"/>
          <w:szCs w:val="32"/>
          <w:highlight w:val="none"/>
          <w:u w:val="none"/>
          <w:lang w:val="en-US" w:eastAsia="zh-CN" w:bidi="ar"/>
        </w:rPr>
        <w:t>1-2.</w:t>
      </w:r>
      <w:r>
        <w:rPr>
          <w:rFonts w:hint="eastAsia" w:ascii="仿宋_GB2312" w:hAnsi="仿宋_GB2312" w:eastAsia="仿宋_GB2312" w:cs="仿宋_GB2312"/>
          <w:color w:val="auto"/>
          <w:kern w:val="0"/>
          <w:sz w:val="32"/>
          <w:szCs w:val="32"/>
          <w:highlight w:val="none"/>
          <w:u w:val="none"/>
          <w:lang w:val="en-US" w:eastAsia="zh-CN" w:bidi="ar"/>
        </w:rPr>
        <w:t>烟草专卖零售许可排队轮候失效通知书</w:t>
      </w:r>
    </w:p>
    <w:p>
      <w:pPr>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rPr>
        <w:br w:type="page"/>
      </w:r>
      <w:r>
        <w:rPr>
          <w:rFonts w:hint="eastAsia" w:ascii="黑体" w:hAnsi="黑体" w:eastAsia="黑体" w:cs="黑体"/>
          <w:b w:val="0"/>
          <w:bCs w:val="0"/>
          <w:color w:val="000000"/>
          <w:sz w:val="32"/>
          <w:szCs w:val="32"/>
        </w:rPr>
        <w:t>附件</w:t>
      </w:r>
      <w:r>
        <w:rPr>
          <w:rFonts w:hint="eastAsia" w:ascii="黑体" w:hAnsi="黑体" w:eastAsia="黑体" w:cs="黑体"/>
          <w:b w:val="0"/>
          <w:bCs w:val="0"/>
          <w:color w:val="000000"/>
          <w:sz w:val="32"/>
          <w:szCs w:val="32"/>
          <w:lang w:val="en-US" w:eastAsia="zh-CN"/>
        </w:rPr>
        <w:t>1-1</w:t>
      </w:r>
    </w:p>
    <w:p>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eastAsia" w:ascii="方正黑体_GBK" w:hAnsi="方正黑体_GBK" w:eastAsia="方正黑体_GBK" w:cs="方正黑体_GBK"/>
          <w:b w:val="0"/>
          <w:bCs w:val="0"/>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320" w:firstLineChars="0"/>
        <w:jc w:val="center"/>
        <w:textAlignment w:val="auto"/>
        <w:rPr>
          <w:rFonts w:hint="default" w:ascii="方正小标宋简体" w:hAnsi="方正小标宋简体" w:eastAsia="方正小标宋简体" w:cs="方正小标宋简体"/>
          <w:b w:val="0"/>
          <w:color w:val="000000"/>
          <w:sz w:val="44"/>
          <w:szCs w:val="44"/>
          <w:lang w:val="en-US" w:eastAsia="zh-CN"/>
        </w:rPr>
      </w:pPr>
      <w:r>
        <w:rPr>
          <w:rFonts w:hint="eastAsia" w:ascii="方正小标宋简体" w:hAnsi="方正小标宋简体" w:eastAsia="方正小标宋简体" w:cs="方正小标宋简体"/>
          <w:b w:val="0"/>
          <w:color w:val="000000"/>
          <w:sz w:val="44"/>
          <w:szCs w:val="44"/>
          <w:lang w:val="en-US" w:eastAsia="zh-CN"/>
        </w:rPr>
        <w:t>烟草专卖零售许可证</w:t>
      </w:r>
      <w:r>
        <w:rPr>
          <w:rFonts w:hint="eastAsia" w:ascii="方正小标宋简体" w:hAnsi="方正小标宋简体" w:eastAsia="方正小标宋简体" w:cs="方正小标宋简体"/>
          <w:b w:val="0"/>
          <w:color w:val="000000"/>
          <w:sz w:val="44"/>
          <w:szCs w:val="44"/>
          <w:lang w:eastAsia="zh-CN"/>
        </w:rPr>
        <w:t>排队轮候申请承诺书</w:t>
      </w:r>
    </w:p>
    <w:tbl>
      <w:tblPr>
        <w:tblStyle w:val="7"/>
        <w:tblW w:w="8888"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1"/>
        <w:gridCol w:w="557"/>
        <w:gridCol w:w="839"/>
        <w:gridCol w:w="2138"/>
        <w:gridCol w:w="1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trPr>
        <w:tc>
          <w:tcPr>
            <w:tcW w:w="888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2" w:firstLineChars="20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trPr>
        <w:tc>
          <w:tcPr>
            <w:tcW w:w="360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申请人（法定代表人或负责人）姓名</w:t>
            </w:r>
          </w:p>
        </w:tc>
        <w:tc>
          <w:tcPr>
            <w:tcW w:w="139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c>
          <w:tcPr>
            <w:tcW w:w="213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申请日期</w:t>
            </w:r>
          </w:p>
        </w:tc>
        <w:tc>
          <w:tcPr>
            <w:tcW w:w="175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身份证号</w:t>
            </w:r>
          </w:p>
        </w:tc>
        <w:tc>
          <w:tcPr>
            <w:tcW w:w="139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c>
          <w:tcPr>
            <w:tcW w:w="213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联系电话</w:t>
            </w:r>
          </w:p>
        </w:tc>
        <w:tc>
          <w:tcPr>
            <w:tcW w:w="175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c>
          <w:tcPr>
            <w:tcW w:w="139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c>
          <w:tcPr>
            <w:tcW w:w="213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备用联系方式</w:t>
            </w:r>
          </w:p>
        </w:tc>
        <w:tc>
          <w:tcPr>
            <w:tcW w:w="175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atLeast"/>
        </w:trPr>
        <w:tc>
          <w:tcPr>
            <w:tcW w:w="888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2" w:firstLineChars="20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营业执照基本信息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企业名称</w:t>
            </w:r>
          </w:p>
        </w:tc>
        <w:tc>
          <w:tcPr>
            <w:tcW w:w="139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c>
          <w:tcPr>
            <w:tcW w:w="213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统一社会信用代码</w:t>
            </w:r>
          </w:p>
        </w:tc>
        <w:tc>
          <w:tcPr>
            <w:tcW w:w="175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企业类型</w:t>
            </w:r>
          </w:p>
        </w:tc>
        <w:tc>
          <w:tcPr>
            <w:tcW w:w="5287"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经营场所详细地址</w:t>
            </w:r>
          </w:p>
        </w:tc>
        <w:tc>
          <w:tcPr>
            <w:tcW w:w="5287"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归属市场单元</w:t>
            </w:r>
          </w:p>
        </w:tc>
        <w:tc>
          <w:tcPr>
            <w:tcW w:w="5287"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8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申请人承诺</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人已认真阅读并遵守《喀什市烟草制品零售点合理布局规划》《喀什市烟草制品零售点排队轮候管理办法》，知悉属地烟草制品零售点合理布局规划相关内容，自愿参加烟草专卖零售许可证办理排队轮候，并承诺如下：</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（一）以上信息经本人核对，确认无误。所提交的信息以及文件、证件、有关材料全部真实有效，复印件与原件一致，如存在弄虚作假、欺骗等行为的,自愿承担由此引起的一切法律责任。</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（二）本人提交的预登记信息确保与到号办理时提交的办证信息一致，若不一致的，则重新登记排队轮候；</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（三）排队轮候期间，发生以下情形的，本次排队轮候资格失效：1.主动放弃排队轮候权利的；2.</w:t>
            </w:r>
            <w:r>
              <w:rPr>
                <w:rFonts w:hint="eastAsia" w:ascii="仿宋_GB2312" w:hAnsi="仿宋_GB2312" w:eastAsia="仿宋_GB2312" w:cs="仿宋_GB2312"/>
                <w:b w:val="0"/>
                <w:kern w:val="2"/>
                <w:sz w:val="24"/>
                <w:szCs w:val="24"/>
                <w:lang w:val="en-US" w:eastAsia="zh-CN" w:bidi="ar-SA"/>
              </w:rPr>
              <w:t>排队轮候到号后，逾期五个工作日内未提出新办申请，或发证机关通过申请人预留的联系方式无法联系到申请人的（两名执法人员5日内随机时段拨打电话三次，或通过短信、书面等方式通知后没有回应的，视为无法联系）；</w:t>
            </w:r>
            <w:r>
              <w:rPr>
                <w:rFonts w:hint="eastAsia" w:ascii="仿宋_GB2312" w:hAnsi="仿宋_GB2312" w:eastAsia="仿宋_GB2312" w:cs="仿宋_GB2312"/>
                <w:sz w:val="24"/>
                <w:szCs w:val="24"/>
                <w:lang w:val="en-US" w:eastAsia="zh-CN"/>
              </w:rPr>
              <w:t>3.经营地址发生变化的；4.经营主体发生变化的（家庭经营的个体工商户，经营者在家庭成员间变更的除外）；5.因其他排队轮候申请人取得许可后导致不符合“间距”相关要求的；6.擅自从事烟草专卖品生产经营活动受到行政处罚或刑事处罚的；7.被市场监督管理部门吊销或注销营业执照的；8.因排队轮候申请人原因导致排队轮候资格失效的其他情形。</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申请人应知</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1.申请人可在新烟政务通查询市场单元</w:t>
            </w:r>
            <w:r>
              <w:rPr>
                <w:rFonts w:hint="eastAsia" w:ascii="仿宋_GB2312" w:hAnsi="仿宋_GB2312" w:eastAsia="仿宋_GB2312" w:cs="仿宋_GB2312"/>
                <w:sz w:val="24"/>
                <w:szCs w:val="24"/>
                <w:lang w:val="en" w:eastAsia="zh-CN"/>
              </w:rPr>
              <w:t>容量上限</w:t>
            </w:r>
            <w:r>
              <w:rPr>
                <w:rFonts w:hint="eastAsia" w:ascii="仿宋_GB2312" w:hAnsi="仿宋_GB2312" w:eastAsia="仿宋_GB2312" w:cs="仿宋_GB2312"/>
                <w:sz w:val="24"/>
                <w:szCs w:val="24"/>
                <w:lang w:val="en-US" w:eastAsia="zh-CN"/>
              </w:rPr>
              <w:t>和排队轮候情况，当符合办证条件时，发证机关按照排队轮候顺序告知排队到号的申请人，提交新办申请；</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2.排队轮候申请资料与实际申请资料应当保持一致，排队轮候顺序不得调换或转让；</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3.申请人在市场单元内的排序以“全国统一专卖监管平台（省级端）”系统中接收到的申请时间为准，具体时间精确到时分秒；</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4.排队轮候时长由所在市场单元容量情况决定，无法预测具体等待时间；</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5.排队轮候到号不等同于获得烟草专卖零售许可证，能否获证以到号受理申请后依法审批的实际情况决定。</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kern w:val="2"/>
                <w:sz w:val="24"/>
                <w:szCs w:val="24"/>
                <w:lang w:val="en-US" w:eastAsia="zh-CN" w:bidi="ar-SA"/>
              </w:rPr>
              <w:t>6.</w:t>
            </w:r>
            <w:r>
              <w:rPr>
                <w:rFonts w:hint="eastAsia" w:ascii="仿宋_GB2312" w:hAnsi="仿宋_GB2312" w:eastAsia="仿宋_GB2312" w:cs="仿宋_GB2312"/>
                <w:b w:val="0"/>
                <w:color w:val="auto"/>
                <w:kern w:val="2"/>
                <w:sz w:val="24"/>
                <w:szCs w:val="24"/>
                <w:lang w:val="en-US" w:eastAsia="zh-CN" w:bidi="ar-SA"/>
              </w:rPr>
              <w:t>申请人联系方式发生变更的，应及时向发证机关报备。因申请人预留联系方式错误或变更未报备导致发证机关无法联系的，视为无法联系到申请人，相关不利后果由申请人自行承担。</w:t>
            </w:r>
          </w:p>
          <w:p>
            <w:pPr>
              <w:keepNext w:val="0"/>
              <w:keepLines w:val="0"/>
              <w:pageBreakBefore w:val="0"/>
              <w:widowControl w:val="0"/>
              <w:kinsoku/>
              <w:wordWrap/>
              <w:overflowPunct/>
              <w:topLinePunct w:val="0"/>
              <w:autoSpaceDE/>
              <w:autoSpaceDN/>
              <w:bidi w:val="0"/>
              <w:adjustRightInd/>
              <w:snapToGrid/>
              <w:spacing w:line="300" w:lineRule="exact"/>
              <w:ind w:firstLine="320"/>
              <w:jc w:val="right"/>
              <w:textAlignment w:val="auto"/>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415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申请人（签名）</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p>
        </w:tc>
        <w:tc>
          <w:tcPr>
            <w:tcW w:w="47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 xml:space="preserve">  XXX    XXX</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trPr>
        <w:tc>
          <w:tcPr>
            <w:tcW w:w="888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备注：</w:t>
            </w:r>
            <w:r>
              <w:rPr>
                <w:rFonts w:hint="eastAsia" w:ascii="仿宋_GB2312" w:hAnsi="仿宋_GB2312" w:eastAsia="仿宋_GB2312" w:cs="仿宋_GB2312"/>
                <w:b w:val="0"/>
                <w:color w:val="000000"/>
                <w:sz w:val="24"/>
                <w:szCs w:val="24"/>
                <w:lang w:eastAsia="zh-CN"/>
              </w:rPr>
              <w:t>本申请表一式两份，排队申请人和发证机关各执一份。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trPr>
        <w:tc>
          <w:tcPr>
            <w:tcW w:w="8888" w:type="dxa"/>
            <w:gridSpan w:val="5"/>
            <w:shd w:val="clear" w:color="auto" w:fill="E7E6E6"/>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4"/>
                <w:szCs w:val="24"/>
                <w:highlight w:val="none"/>
                <w:shd w:val="clear" w:color="FFFFFF" w:fill="D9D9D9"/>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0" w:hRule="atLeast"/>
        </w:trPr>
        <w:tc>
          <w:tcPr>
            <w:tcW w:w="888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失效原因(详细写明失效时间、因何原因造成排队轮候失效)：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ind w:firstLine="3840" w:firstLineChars="160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XXX    XXX</w:t>
            </w:r>
          </w:p>
          <w:p>
            <w:pPr>
              <w:keepNext w:val="0"/>
              <w:keepLines w:val="0"/>
              <w:pageBreakBefore w:val="0"/>
              <w:widowControl w:val="0"/>
              <w:kinsoku/>
              <w:wordWrap/>
              <w:overflowPunct/>
              <w:topLinePunct w:val="0"/>
              <w:autoSpaceDE/>
              <w:autoSpaceDN/>
              <w:bidi w:val="0"/>
              <w:adjustRightInd/>
              <w:snapToGrid/>
              <w:spacing w:line="300" w:lineRule="exact"/>
              <w:ind w:firstLine="3840" w:firstLineChars="16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5" w:hRule="atLeast"/>
        </w:trPr>
        <w:tc>
          <w:tcPr>
            <w:tcW w:w="888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部门意见：</w:t>
            </w:r>
            <w:r>
              <w:rPr>
                <w:rFonts w:hint="eastAsia" w:ascii="仿宋_GB2312" w:hAnsi="仿宋_GB2312" w:eastAsia="仿宋_GB2312" w:cs="仿宋_GB2312"/>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时间：</w:t>
            </w:r>
          </w:p>
        </w:tc>
      </w:tr>
    </w:tbl>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br w:type="page"/>
      </w:r>
      <w:r>
        <w:rPr>
          <w:rFonts w:hint="eastAsia" w:ascii="黑体" w:hAnsi="黑体" w:eastAsia="黑体" w:cs="黑体"/>
          <w:b w:val="0"/>
          <w:bCs w:val="0"/>
          <w:color w:val="000000"/>
          <w:sz w:val="32"/>
          <w:szCs w:val="32"/>
          <w:lang w:val="en-US" w:eastAsia="zh-CN"/>
        </w:rPr>
        <w:t>附件1-2</w:t>
      </w:r>
    </w:p>
    <w:p>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default" w:ascii="黑体" w:hAnsi="黑体" w:eastAsia="黑体" w:cs="黑体"/>
          <w:b w:val="0"/>
          <w:bCs w:val="0"/>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u w:val="none"/>
          <w:lang w:val="en-US" w:eastAsia="zh-CN"/>
        </w:rPr>
      </w:pPr>
      <w:r>
        <w:rPr>
          <w:rFonts w:hint="eastAsia" w:ascii="方正小标宋简体" w:hAnsi="方正小标宋简体" w:eastAsia="方正小标宋简体" w:cs="方正小标宋简体"/>
          <w:color w:val="auto"/>
          <w:sz w:val="44"/>
          <w:szCs w:val="44"/>
          <w:u w:val="none"/>
          <w:lang w:val="en-US" w:eastAsia="zh-CN"/>
        </w:rPr>
        <w:t>烟草专卖零售许可排队轮候失效通知书</w:t>
      </w:r>
    </w:p>
    <w:tbl>
      <w:tblPr>
        <w:tblStyle w:val="7"/>
        <w:tblW w:w="9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3"/>
        <w:gridCol w:w="807"/>
        <w:gridCol w:w="622"/>
        <w:gridCol w:w="1996"/>
        <w:gridCol w:w="1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9220"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lang w:eastAsia="zh-CN"/>
              </w:rPr>
            </w:pPr>
            <w:r>
              <w:rPr>
                <w:rFonts w:hint="eastAsia" w:ascii="宋体" w:hAnsi="宋体" w:eastAsia="宋体" w:cs="宋体"/>
                <w:b/>
                <w:bCs w:val="0"/>
                <w:color w:val="auto"/>
                <w:sz w:val="21"/>
                <w:szCs w:val="21"/>
                <w:u w:val="none"/>
                <w:vertAlign w:val="baseline"/>
                <w:lang w:eastAsia="zh-CN"/>
              </w:rPr>
              <w:t>申请人基本信息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9" w:hRule="atLeast"/>
        </w:trPr>
        <w:tc>
          <w:tcPr>
            <w:tcW w:w="380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申请人</w:t>
            </w:r>
            <w:r>
              <w:rPr>
                <w:rFonts w:hint="eastAsia" w:ascii="宋体" w:hAnsi="宋体" w:eastAsia="宋体" w:cs="宋体"/>
                <w:b w:val="0"/>
                <w:color w:val="auto"/>
                <w:sz w:val="21"/>
                <w:szCs w:val="21"/>
                <w:u w:val="none"/>
                <w:lang w:eastAsia="zh-CN"/>
              </w:rPr>
              <w:t>（法定代表人或负责人）</w:t>
            </w:r>
            <w:r>
              <w:rPr>
                <w:rFonts w:hint="eastAsia" w:ascii="宋体" w:hAnsi="宋体" w:eastAsia="宋体" w:cs="宋体"/>
                <w:b w:val="0"/>
                <w:color w:val="auto"/>
                <w:sz w:val="21"/>
                <w:szCs w:val="21"/>
                <w:u w:val="none"/>
              </w:rPr>
              <w:t>姓名</w:t>
            </w:r>
          </w:p>
        </w:tc>
        <w:tc>
          <w:tcPr>
            <w:tcW w:w="142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c>
          <w:tcPr>
            <w:tcW w:w="199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申请日期</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38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身份证号</w:t>
            </w:r>
          </w:p>
        </w:tc>
        <w:tc>
          <w:tcPr>
            <w:tcW w:w="1429" w:type="dxa"/>
            <w:gridSpan w:val="2"/>
            <w:vMerge w:val="restart"/>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c>
          <w:tcPr>
            <w:tcW w:w="1996"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联系电话</w:t>
            </w:r>
          </w:p>
        </w:tc>
        <w:tc>
          <w:tcPr>
            <w:tcW w:w="1992"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380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rPr>
            </w:pPr>
          </w:p>
        </w:tc>
        <w:tc>
          <w:tcPr>
            <w:tcW w:w="1429" w:type="dxa"/>
            <w:gridSpan w:val="2"/>
            <w:vMerge w:val="continue"/>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c>
          <w:tcPr>
            <w:tcW w:w="1996"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备用联系方式</w:t>
            </w:r>
          </w:p>
        </w:tc>
        <w:tc>
          <w:tcPr>
            <w:tcW w:w="1992"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9220"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bCs w:val="0"/>
                <w:color w:val="auto"/>
                <w:sz w:val="21"/>
                <w:szCs w:val="21"/>
                <w:u w:val="none"/>
              </w:rPr>
              <w:t>营业执照</w:t>
            </w:r>
            <w:r>
              <w:rPr>
                <w:rFonts w:hint="eastAsia" w:ascii="宋体" w:hAnsi="宋体" w:eastAsia="宋体" w:cs="宋体"/>
                <w:b/>
                <w:bCs w:val="0"/>
                <w:color w:val="auto"/>
                <w:sz w:val="21"/>
                <w:szCs w:val="21"/>
                <w:u w:val="none"/>
                <w:lang w:eastAsia="zh-CN"/>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trPr>
        <w:tc>
          <w:tcPr>
            <w:tcW w:w="380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企业名称</w:t>
            </w:r>
          </w:p>
        </w:tc>
        <w:tc>
          <w:tcPr>
            <w:tcW w:w="142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c>
          <w:tcPr>
            <w:tcW w:w="199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统一社会信用代码</w:t>
            </w:r>
          </w:p>
        </w:tc>
        <w:tc>
          <w:tcPr>
            <w:tcW w:w="199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3803"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企业类型</w:t>
            </w:r>
          </w:p>
        </w:tc>
        <w:tc>
          <w:tcPr>
            <w:tcW w:w="5417"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3803"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经营场所详细地址</w:t>
            </w:r>
          </w:p>
        </w:tc>
        <w:tc>
          <w:tcPr>
            <w:tcW w:w="5417"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3803"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rPr>
              <w:t>归属</w:t>
            </w:r>
            <w:r>
              <w:rPr>
                <w:rFonts w:hint="eastAsia" w:ascii="宋体" w:hAnsi="宋体" w:eastAsia="宋体" w:cs="宋体"/>
                <w:b w:val="0"/>
                <w:color w:val="auto"/>
                <w:sz w:val="21"/>
                <w:szCs w:val="21"/>
                <w:u w:val="none"/>
                <w:lang w:eastAsia="zh-CN"/>
              </w:rPr>
              <w:t>市场单元</w:t>
            </w:r>
          </w:p>
        </w:tc>
        <w:tc>
          <w:tcPr>
            <w:tcW w:w="5417"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11" w:hRule="atLeast"/>
        </w:trPr>
        <w:tc>
          <w:tcPr>
            <w:tcW w:w="9220"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排队轮候</w:t>
            </w:r>
            <w:r>
              <w:rPr>
                <w:rFonts w:hint="default" w:ascii="宋体" w:hAnsi="宋体" w:eastAsia="宋体" w:cs="宋体"/>
                <w:b w:val="0"/>
                <w:color w:val="auto"/>
                <w:sz w:val="21"/>
                <w:szCs w:val="21"/>
                <w:u w:val="none"/>
                <w:lang w:val="en-US" w:eastAsia="zh-CN"/>
              </w:rPr>
              <w:t>期间</w:t>
            </w:r>
            <w:r>
              <w:rPr>
                <w:rFonts w:hint="eastAsia" w:ascii="宋体" w:hAnsi="宋体" w:eastAsia="宋体" w:cs="宋体"/>
                <w:b w:val="0"/>
                <w:color w:val="auto"/>
                <w:sz w:val="21"/>
                <w:szCs w:val="21"/>
                <w:u w:val="none"/>
                <w:lang w:val="en-US" w:eastAsia="zh-CN"/>
              </w:rPr>
              <w:t>，申请人出现下列情形的，导致排队轮候失效：</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□主动放弃排队轮候权利的；</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w:t>
            </w:r>
            <w:r>
              <w:rPr>
                <w:rFonts w:hint="eastAsia" w:ascii="宋体" w:hAnsi="宋体" w:eastAsia="宋体" w:cs="宋体"/>
                <w:b w:val="0"/>
                <w:color w:val="auto"/>
                <w:kern w:val="2"/>
                <w:sz w:val="21"/>
                <w:szCs w:val="21"/>
                <w:u w:val="none"/>
                <w:lang w:val="en-US" w:eastAsia="zh-CN" w:bidi="ar-SA"/>
              </w:rPr>
              <w:t>排队轮候到号后，逾期五个工作日内未提出新办申请，或发证机关通过申请人预留的联系方式无法联系到申请人的（5日内随机时段拨打电话三次，或通过短信、书面等方式通知后没有回应的，视为无法联系；</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□经营地址发生变化的；</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□经营主体发生变化的；</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□被市场监督管理部门吊销或注销营业执照；</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 w:eastAsia="zh-CN"/>
              </w:rPr>
            </w:pPr>
            <w:r>
              <w:rPr>
                <w:rFonts w:hint="eastAsia" w:ascii="宋体" w:hAnsi="宋体" w:eastAsia="宋体" w:cs="宋体"/>
                <w:b w:val="0"/>
                <w:color w:val="auto"/>
                <w:sz w:val="21"/>
                <w:szCs w:val="21"/>
                <w:u w:val="none"/>
                <w:lang w:val="en-US" w:eastAsia="zh-CN"/>
              </w:rPr>
              <w:t>□因其他排队轮候申请人取得许可后导致不符合</w:t>
            </w:r>
            <w:r>
              <w:rPr>
                <w:rFonts w:hint="eastAsia" w:ascii="宋体" w:hAnsi="宋体" w:eastAsia="宋体" w:cs="宋体"/>
                <w:b w:val="0"/>
                <w:color w:val="auto"/>
                <w:sz w:val="21"/>
                <w:szCs w:val="21"/>
                <w:u w:val="none"/>
                <w:lang w:val="en" w:eastAsia="zh-CN"/>
              </w:rPr>
              <w:t>“间距”相关要求的</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□擅自从事烟草专卖品生产经营活动受到行政处罚或刑事处罚的</w:t>
            </w:r>
            <w:r>
              <w:rPr>
                <w:rFonts w:hint="eastAsia" w:ascii="宋体" w:hAnsi="宋体" w:cs="宋体"/>
                <w:b w:val="0"/>
                <w:color w:val="auto"/>
                <w:sz w:val="21"/>
                <w:szCs w:val="21"/>
                <w:u w:val="none"/>
                <w:lang w:val="en-US" w:eastAsia="zh-CN"/>
              </w:rPr>
              <w:t>；</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 xml:space="preserve">□因排队轮候申请人原因导致排队轮候资格失效的其他情形。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5" w:hRule="atLeast"/>
        </w:trPr>
        <w:tc>
          <w:tcPr>
            <w:tcW w:w="461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申请人（签名）：</w:t>
            </w:r>
          </w:p>
        </w:tc>
        <w:tc>
          <w:tcPr>
            <w:tcW w:w="4610"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专卖执法人员（签名）：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trPr>
        <w:tc>
          <w:tcPr>
            <w:tcW w:w="9220"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备注</w:t>
            </w:r>
          </w:p>
        </w:tc>
      </w:tr>
    </w:tbl>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b w:val="0"/>
          <w:color w:val="auto"/>
          <w:sz w:val="24"/>
          <w:szCs w:val="24"/>
          <w:u w:val="none"/>
          <w:lang w:eastAsia="zh-CN"/>
        </w:rPr>
      </w:pPr>
      <w:r>
        <w:rPr>
          <w:rFonts w:hint="eastAsia" w:ascii="仿宋_GB2312" w:hAnsi="仿宋_GB2312" w:eastAsia="仿宋_GB2312" w:cs="仿宋_GB2312"/>
          <w:b w:val="0"/>
          <w:color w:val="auto"/>
          <w:sz w:val="24"/>
          <w:szCs w:val="24"/>
          <w:u w:val="none"/>
          <w:lang w:eastAsia="zh-CN"/>
        </w:rPr>
        <w:t>本申请表一式两份，排队申请人和发证机关各执一份。</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textAlignment w:val="auto"/>
        <w:rPr>
          <w:rFonts w:hint="eastAsia" w:ascii="黑体" w:hAnsi="黑体" w:eastAsia="黑体" w:cs="黑体"/>
          <w:b w:val="0"/>
          <w:color w:val="auto"/>
          <w:sz w:val="32"/>
          <w:szCs w:val="32"/>
          <w:u w:val="none"/>
          <w:lang w:val="en-US" w:eastAsia="zh-CN"/>
        </w:rPr>
      </w:pPr>
      <w:r>
        <w:rPr>
          <w:rFonts w:hint="eastAsia" w:ascii="黑体" w:hAnsi="黑体" w:eastAsia="黑体" w:cs="黑体"/>
          <w:b w:val="0"/>
          <w:color w:val="auto"/>
          <w:sz w:val="32"/>
          <w:szCs w:val="32"/>
          <w:u w:val="none"/>
          <w:lang w:eastAsia="zh-CN"/>
        </w:rPr>
        <w:t>附件</w:t>
      </w:r>
      <w:r>
        <w:rPr>
          <w:rFonts w:hint="eastAsia" w:ascii="黑体" w:hAnsi="黑体" w:eastAsia="黑体" w:cs="黑体"/>
          <w:b w:val="0"/>
          <w:color w:val="auto"/>
          <w:sz w:val="32"/>
          <w:szCs w:val="32"/>
          <w:u w:val="none"/>
          <w:lang w:val="en-US" w:eastAsia="zh-CN"/>
        </w:rPr>
        <w:t>2</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baseline"/>
        <w:rPr>
          <w:rFonts w:hint="eastAsia" w:ascii="方正小标宋简体" w:hAnsi="方正小标宋简体" w:eastAsia="方正小标宋简体" w:cs="方正小标宋简体"/>
          <w:b w:val="0"/>
          <w:bCs w:val="0"/>
          <w:color w:val="auto"/>
          <w:kern w:val="2"/>
          <w:sz w:val="44"/>
          <w:szCs w:val="44"/>
          <w:highlight w:val="none"/>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baseline"/>
        <w:rPr>
          <w:rFonts w:hint="eastAsia" w:ascii="方正小标宋简体" w:hAnsi="方正小标宋简体" w:eastAsia="方正小标宋简体" w:cs="方正小标宋简体"/>
          <w:b w:val="0"/>
          <w:bCs w:val="0"/>
          <w:color w:val="auto"/>
          <w:kern w:val="2"/>
          <w:sz w:val="44"/>
          <w:szCs w:val="44"/>
          <w:highlight w:val="none"/>
          <w:lang w:val="en-US" w:eastAsia="zh-CN" w:bidi="ar-SA"/>
        </w:rPr>
      </w:pPr>
      <w:r>
        <w:rPr>
          <w:rFonts w:hint="eastAsia" w:ascii="方正小标宋简体" w:hAnsi="方正小标宋简体" w:eastAsia="方正小标宋简体" w:cs="方正小标宋简体"/>
          <w:b w:val="0"/>
          <w:bCs w:val="0"/>
          <w:color w:val="auto"/>
          <w:kern w:val="2"/>
          <w:sz w:val="44"/>
          <w:szCs w:val="44"/>
          <w:highlight w:val="none"/>
          <w:lang w:val="en-US" w:eastAsia="zh-CN" w:bidi="ar-SA"/>
        </w:rPr>
        <w:t>疏附县烟草制品零售点现场勘验规则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仿宋_GB2312" w:hAnsi="仿宋_GB2312" w:eastAsia="仿宋_GB2312" w:cs="仿宋_GB2312"/>
          <w:b w:val="0"/>
          <w:bCs w:val="0"/>
          <w:color w:val="auto"/>
          <w:kern w:val="2"/>
          <w:sz w:val="32"/>
          <w:szCs w:val="32"/>
          <w:highlight w:val="none"/>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第一章 总则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第一条</w:t>
      </w:r>
      <w:r>
        <w:rPr>
          <w:rFonts w:hint="eastAsia" w:ascii="仿宋_GB2312" w:hAnsi="仿宋_GB2312" w:eastAsia="仿宋_GB2312" w:cs="仿宋_GB2312"/>
          <w:b w:val="0"/>
          <w:bCs w:val="0"/>
          <w:color w:val="auto"/>
          <w:kern w:val="2"/>
          <w:sz w:val="32"/>
          <w:szCs w:val="32"/>
          <w:highlight w:val="none"/>
          <w:lang w:val="en-US" w:eastAsia="zh-CN" w:bidi="ar-SA"/>
        </w:rPr>
        <w:t> 为统一测量标准，规范勘验实施过程，确保烟草专卖零售许可证现场勘验公开、公平、公正，特制订本规则。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第二条</w:t>
      </w:r>
      <w:r>
        <w:rPr>
          <w:rFonts w:hint="eastAsia" w:ascii="仿宋_GB2312" w:hAnsi="仿宋_GB2312" w:eastAsia="仿宋_GB2312" w:cs="仿宋_GB2312"/>
          <w:b w:val="0"/>
          <w:bCs w:val="0"/>
          <w:color w:val="auto"/>
          <w:kern w:val="2"/>
          <w:sz w:val="32"/>
          <w:szCs w:val="32"/>
          <w:highlight w:val="none"/>
          <w:lang w:val="en-US" w:eastAsia="zh-CN" w:bidi="ar-SA"/>
        </w:rPr>
        <w:t> 本规则适用于疏附县烟草制品零售点间隔距离（以下简称间距）测量及经营场所内部勘验。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第三条</w:t>
      </w:r>
      <w:r>
        <w:rPr>
          <w:rFonts w:hint="eastAsia" w:ascii="仿宋_GB2312" w:hAnsi="仿宋_GB2312" w:eastAsia="仿宋_GB2312" w:cs="仿宋_GB2312"/>
          <w:b w:val="0"/>
          <w:bCs w:val="0"/>
          <w:color w:val="auto"/>
          <w:kern w:val="2"/>
          <w:sz w:val="32"/>
          <w:szCs w:val="32"/>
          <w:highlight w:val="none"/>
          <w:lang w:val="en-US" w:eastAsia="zh-CN" w:bidi="ar-SA"/>
        </w:rPr>
        <w:t> 间距测量是指烟草专卖管理人员对申请点与参照点之间的无障碍最短距离进行测量。如需穿越车道，车道测量线路以最短测量距离为准。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第四条</w:t>
      </w:r>
      <w:r>
        <w:rPr>
          <w:rFonts w:hint="eastAsia" w:ascii="仿宋_GB2312" w:hAnsi="仿宋_GB2312" w:eastAsia="仿宋_GB2312" w:cs="仿宋_GB2312"/>
          <w:b w:val="0"/>
          <w:bCs w:val="0"/>
          <w:color w:val="auto"/>
          <w:kern w:val="2"/>
          <w:sz w:val="32"/>
          <w:szCs w:val="32"/>
          <w:highlight w:val="none"/>
          <w:lang w:val="en-US" w:eastAsia="zh-CN" w:bidi="ar-SA"/>
        </w:rPr>
        <w:t xml:space="preserve"> 由两名或者两名以上具有执法资格的专卖人员进行测量，测量结果应现场由申请人确认</w:t>
      </w:r>
      <w:r>
        <w:rPr>
          <w:rFonts w:hint="eastAsia" w:ascii="CESI仿宋-GB2312" w:hAnsi="CESI仿宋-GB2312" w:eastAsia="CESI仿宋-GB2312" w:cs="CESI仿宋-GB2312"/>
          <w:color w:val="auto"/>
          <w:sz w:val="32"/>
          <w:szCs w:val="32"/>
          <w:highlight w:val="none"/>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仿宋_GB2312" w:hAnsi="仿宋_GB2312" w:eastAsia="仿宋_GB2312" w:cs="仿宋_GB2312"/>
          <w:b/>
          <w:bCs/>
          <w:color w:val="auto"/>
          <w:kern w:val="2"/>
          <w:sz w:val="32"/>
          <w:szCs w:val="32"/>
          <w:highlight w:val="none"/>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第二章 勘验标准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第五条</w:t>
      </w:r>
      <w:r>
        <w:rPr>
          <w:rFonts w:hint="eastAsia" w:ascii="仿宋_GB2312" w:hAnsi="仿宋_GB2312" w:eastAsia="仿宋_GB2312" w:cs="仿宋_GB2312"/>
          <w:b w:val="0"/>
          <w:bCs w:val="0"/>
          <w:color w:val="auto"/>
          <w:kern w:val="2"/>
          <w:sz w:val="32"/>
          <w:szCs w:val="32"/>
          <w:highlight w:val="none"/>
          <w:lang w:val="en-US" w:eastAsia="zh-CN" w:bidi="ar-SA"/>
        </w:rPr>
        <w:t> 测量点为申请点与参照点店门中心点，申请点或参照点有多扇门的，以两者最近店门中心点为测量点；中小学校、幼儿园作为参照点的，以进出通勤口距离申请点的最近一侧为测量点；商场、超市、市场内以柜台、摊位区域为经营场所的申请点，以其柜台、摊位出入口中心点为测量点，如遇无出入口情形，以最近柜台、摊位一侧中心点为测量点。如下图（红色标注点为测量点，下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b/>
          <w:bCs/>
          <w:i w:val="0"/>
          <w:iCs w:val="0"/>
          <w:caps w:val="0"/>
          <w:color w:val="auto"/>
          <w:spacing w:val="0"/>
          <w:sz w:val="28"/>
          <w:szCs w:val="28"/>
          <w:highlight w:val="none"/>
          <w:shd w:val="clear" w:color="auto" w:fill="FFFFFF"/>
          <w:vertAlign w:val="baseline"/>
        </w:rPr>
        <w:t>示例一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i w:val="0"/>
          <w:iCs w:val="0"/>
          <w:caps w:val="0"/>
          <w:color w:val="auto"/>
          <w:spacing w:val="0"/>
          <w:sz w:val="28"/>
          <w:szCs w:val="28"/>
          <w:highlight w:val="none"/>
          <w:shd w:val="clear" w:color="auto" w:fill="FFFFFF"/>
          <w:vertAlign w:val="baseline"/>
        </w:rPr>
        <w:drawing>
          <wp:inline distT="0" distB="0" distL="114300" distR="114300">
            <wp:extent cx="1781175" cy="1132205"/>
            <wp:effectExtent l="0" t="0" r="9525" b="10795"/>
            <wp:docPr id="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IMG_256"/>
                    <pic:cNvPicPr>
                      <a:picLocks noChangeAspect="1"/>
                    </pic:cNvPicPr>
                  </pic:nvPicPr>
                  <pic:blipFill>
                    <a:blip r:embed="rId5"/>
                    <a:stretch>
                      <a:fillRect/>
                    </a:stretch>
                  </pic:blipFill>
                  <pic:spPr>
                    <a:xfrm>
                      <a:off x="0" y="0"/>
                      <a:ext cx="1781175" cy="1132205"/>
                    </a:xfrm>
                    <a:prstGeom prst="rect">
                      <a:avLst/>
                    </a:prstGeom>
                    <a:noFill/>
                    <a:ln>
                      <a:noFill/>
                    </a:ln>
                  </pic:spPr>
                </pic:pic>
              </a:graphicData>
            </a:graphic>
          </wp:inline>
        </w:drawing>
      </w:r>
      <w:r>
        <w:rPr>
          <w:rFonts w:hint="eastAsia" w:ascii="微软雅黑" w:hAnsi="微软雅黑" w:eastAsia="微软雅黑" w:cs="微软雅黑"/>
          <w:i w:val="0"/>
          <w:iCs w:val="0"/>
          <w:caps w:val="0"/>
          <w:color w:val="auto"/>
          <w:spacing w:val="0"/>
          <w:sz w:val="28"/>
          <w:szCs w:val="28"/>
          <w:highlight w:val="none"/>
          <w:shd w:val="clear" w:color="auto" w:fill="FFFFFF"/>
          <w:vertAlign w:val="baseline"/>
        </w:rPr>
        <w:drawing>
          <wp:inline distT="0" distB="0" distL="114300" distR="114300">
            <wp:extent cx="1800225" cy="1148080"/>
            <wp:effectExtent l="0" t="0" r="9525" b="13970"/>
            <wp:docPr id="10"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IMG_257"/>
                    <pic:cNvPicPr>
                      <a:picLocks noChangeAspect="1"/>
                    </pic:cNvPicPr>
                  </pic:nvPicPr>
                  <pic:blipFill>
                    <a:blip r:embed="rId6"/>
                    <a:stretch>
                      <a:fillRect/>
                    </a:stretch>
                  </pic:blipFill>
                  <pic:spPr>
                    <a:xfrm>
                      <a:off x="0" y="0"/>
                      <a:ext cx="1800225" cy="114808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i w:val="0"/>
          <w:iCs w:val="0"/>
          <w:caps w:val="0"/>
          <w:color w:val="auto"/>
          <w:spacing w:val="0"/>
          <w:sz w:val="28"/>
          <w:szCs w:val="28"/>
          <w:highlight w:val="none"/>
          <w:shd w:val="clear" w:color="auto" w:fill="FFFFFF"/>
          <w:vertAlign w:val="baseline"/>
        </w:rPr>
        <w:drawing>
          <wp:inline distT="0" distB="0" distL="114300" distR="114300">
            <wp:extent cx="5055870" cy="3369945"/>
            <wp:effectExtent l="0" t="0" r="11430" b="1905"/>
            <wp:docPr id="16"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IMG_258"/>
                    <pic:cNvPicPr>
                      <a:picLocks noChangeAspect="1"/>
                    </pic:cNvPicPr>
                  </pic:nvPicPr>
                  <pic:blipFill>
                    <a:blip r:embed="rId7"/>
                    <a:stretch>
                      <a:fillRect/>
                    </a:stretch>
                  </pic:blipFill>
                  <pic:spPr>
                    <a:xfrm>
                      <a:off x="0" y="0"/>
                      <a:ext cx="5055870" cy="3369945"/>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第六条 间距测量标准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baseline"/>
        <w:rPr>
          <w:rFonts w:hint="eastAsia" w:ascii="楷体_GB2312" w:hAnsi="楷体_GB2312" w:eastAsia="楷体_GB2312" w:cs="楷体_GB2312"/>
          <w:b/>
          <w:bCs/>
          <w:color w:val="auto"/>
          <w:kern w:val="2"/>
          <w:sz w:val="32"/>
          <w:szCs w:val="32"/>
          <w:highlight w:val="none"/>
          <w:lang w:val="en-US" w:eastAsia="zh-CN" w:bidi="ar-SA"/>
        </w:rPr>
      </w:pPr>
      <w:r>
        <w:rPr>
          <w:rFonts w:hint="eastAsia" w:ascii="楷体_GB2312" w:hAnsi="楷体_GB2312" w:eastAsia="楷体_GB2312" w:cs="楷体_GB2312"/>
          <w:b/>
          <w:bCs/>
          <w:color w:val="auto"/>
          <w:kern w:val="2"/>
          <w:sz w:val="32"/>
          <w:szCs w:val="32"/>
          <w:highlight w:val="none"/>
          <w:lang w:val="en-US" w:eastAsia="zh-CN" w:bidi="ar-SA"/>
        </w:rPr>
        <w:t>（一）非道路区域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申请点与参照点位于非道路地面区域（包括步行街、市场内等情形）的间距测量，按申请点与参照点之间的无障碍最短距离进行测量，如下图：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auto"/>
          <w:spacing w:val="0"/>
          <w:sz w:val="28"/>
          <w:szCs w:val="28"/>
          <w:highlight w:val="none"/>
          <w:shd w:val="clear" w:color="auto" w:fill="FFFFFF"/>
          <w:vertAlign w:val="baseline"/>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b/>
          <w:bCs/>
          <w:i w:val="0"/>
          <w:iCs w:val="0"/>
          <w:caps w:val="0"/>
          <w:color w:val="auto"/>
          <w:spacing w:val="0"/>
          <w:sz w:val="28"/>
          <w:szCs w:val="28"/>
          <w:highlight w:val="none"/>
          <w:shd w:val="clear" w:color="auto" w:fill="FFFFFF"/>
          <w:vertAlign w:val="baseline"/>
        </w:rPr>
        <w:t>示例二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i w:val="0"/>
          <w:iCs w:val="0"/>
          <w:caps w:val="0"/>
          <w:color w:val="auto"/>
          <w:spacing w:val="0"/>
          <w:sz w:val="28"/>
          <w:szCs w:val="28"/>
          <w:highlight w:val="none"/>
          <w:shd w:val="clear" w:color="auto" w:fill="FFFFFF"/>
          <w:vertAlign w:val="baseline"/>
        </w:rPr>
        <w:drawing>
          <wp:inline distT="0" distB="0" distL="114300" distR="114300">
            <wp:extent cx="4878705" cy="1997710"/>
            <wp:effectExtent l="0" t="0" r="17145" b="2540"/>
            <wp:docPr id="12"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IMG_259"/>
                    <pic:cNvPicPr>
                      <a:picLocks noChangeAspect="1"/>
                    </pic:cNvPicPr>
                  </pic:nvPicPr>
                  <pic:blipFill>
                    <a:blip r:embed="rId8"/>
                    <a:stretch>
                      <a:fillRect/>
                    </a:stretch>
                  </pic:blipFill>
                  <pic:spPr>
                    <a:xfrm>
                      <a:off x="0" y="0"/>
                      <a:ext cx="4878705" cy="199771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right="0" w:firstLine="643" w:firstLineChars="200"/>
        <w:jc w:val="both"/>
        <w:textAlignment w:val="baseline"/>
        <w:rPr>
          <w:rFonts w:hint="eastAsia" w:ascii="楷体_GB2312" w:hAnsi="楷体_GB2312" w:eastAsia="楷体_GB2312" w:cs="楷体_GB2312"/>
          <w:b/>
          <w:bCs/>
          <w:color w:val="auto"/>
          <w:kern w:val="2"/>
          <w:sz w:val="32"/>
          <w:szCs w:val="32"/>
          <w:highlight w:val="none"/>
          <w:lang w:val="en-US" w:eastAsia="zh-CN" w:bidi="ar-SA"/>
        </w:rPr>
      </w:pPr>
      <w:r>
        <w:rPr>
          <w:rFonts w:hint="eastAsia" w:ascii="楷体_GB2312" w:hAnsi="楷体_GB2312" w:eastAsia="楷体_GB2312" w:cs="楷体_GB2312"/>
          <w:b/>
          <w:bCs/>
          <w:color w:val="auto"/>
          <w:kern w:val="2"/>
          <w:sz w:val="32"/>
          <w:szCs w:val="32"/>
          <w:highlight w:val="none"/>
          <w:lang w:val="en-US" w:eastAsia="zh-CN" w:bidi="ar-SA"/>
        </w:rPr>
        <w:t>（二）道路区域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1.申请点与参照点位于平直道路同侧，按申请点与参照点之间的无障碍最短距离进行测量，如下图：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b/>
          <w:bCs/>
          <w:i w:val="0"/>
          <w:iCs w:val="0"/>
          <w:caps w:val="0"/>
          <w:color w:val="auto"/>
          <w:spacing w:val="0"/>
          <w:sz w:val="28"/>
          <w:szCs w:val="28"/>
          <w:highlight w:val="none"/>
          <w:shd w:val="clear" w:color="auto" w:fill="FFFFFF"/>
          <w:vertAlign w:val="baseline"/>
        </w:rPr>
        <w:t>示例三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i w:val="0"/>
          <w:iCs w:val="0"/>
          <w:caps w:val="0"/>
          <w:color w:val="auto"/>
          <w:spacing w:val="0"/>
          <w:sz w:val="28"/>
          <w:szCs w:val="28"/>
          <w:highlight w:val="none"/>
          <w:shd w:val="clear" w:color="auto" w:fill="FFFFFF"/>
          <w:vertAlign w:val="baseline"/>
        </w:rPr>
        <w:drawing>
          <wp:inline distT="0" distB="0" distL="114300" distR="114300">
            <wp:extent cx="4930140" cy="2802890"/>
            <wp:effectExtent l="0" t="0" r="3810" b="16510"/>
            <wp:docPr id="13"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IMG_260"/>
                    <pic:cNvPicPr>
                      <a:picLocks noChangeAspect="1"/>
                    </pic:cNvPicPr>
                  </pic:nvPicPr>
                  <pic:blipFill>
                    <a:blip r:embed="rId9"/>
                    <a:stretch>
                      <a:fillRect/>
                    </a:stretch>
                  </pic:blipFill>
                  <pic:spPr>
                    <a:xfrm>
                      <a:off x="0" y="0"/>
                      <a:ext cx="4930140" cy="2802890"/>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2.申请点和参照点位于交叉路口同侧，按申请点与参照点之间的无障碍最短距离进行测量，如下图：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b/>
          <w:bCs/>
          <w:i w:val="0"/>
          <w:iCs w:val="0"/>
          <w:caps w:val="0"/>
          <w:color w:val="auto"/>
          <w:spacing w:val="0"/>
          <w:sz w:val="28"/>
          <w:szCs w:val="28"/>
          <w:highlight w:val="none"/>
          <w:shd w:val="clear" w:color="auto" w:fill="FFFFFF"/>
          <w:vertAlign w:val="baseline"/>
        </w:rPr>
        <w:t>示例四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i w:val="0"/>
          <w:iCs w:val="0"/>
          <w:caps w:val="0"/>
          <w:color w:val="auto"/>
          <w:spacing w:val="0"/>
          <w:sz w:val="28"/>
          <w:szCs w:val="28"/>
          <w:highlight w:val="none"/>
          <w:shd w:val="clear" w:color="auto" w:fill="FFFFFF"/>
          <w:vertAlign w:val="baseline"/>
        </w:rPr>
        <w:drawing>
          <wp:inline distT="0" distB="0" distL="114300" distR="114300">
            <wp:extent cx="4762500" cy="3434080"/>
            <wp:effectExtent l="0" t="0" r="0" b="13970"/>
            <wp:docPr id="14"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descr="IMG_261"/>
                    <pic:cNvPicPr>
                      <a:picLocks noChangeAspect="1"/>
                    </pic:cNvPicPr>
                  </pic:nvPicPr>
                  <pic:blipFill>
                    <a:blip r:embed="rId10"/>
                    <a:stretch>
                      <a:fillRect/>
                    </a:stretch>
                  </pic:blipFill>
                  <pic:spPr>
                    <a:xfrm>
                      <a:off x="0" y="0"/>
                      <a:ext cx="4762500" cy="343408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b/>
          <w:bCs/>
          <w:i w:val="0"/>
          <w:iCs w:val="0"/>
          <w:caps w:val="0"/>
          <w:color w:val="auto"/>
          <w:spacing w:val="0"/>
          <w:sz w:val="28"/>
          <w:szCs w:val="28"/>
          <w:highlight w:val="none"/>
          <w:shd w:val="clear" w:color="auto" w:fill="FFFFFF"/>
          <w:vertAlign w:val="baseline"/>
        </w:rPr>
        <w:t>示例五</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i w:val="0"/>
          <w:iCs w:val="0"/>
          <w:caps w:val="0"/>
          <w:color w:val="auto"/>
          <w:spacing w:val="0"/>
          <w:sz w:val="28"/>
          <w:szCs w:val="28"/>
          <w:highlight w:val="none"/>
          <w:shd w:val="clear" w:color="auto" w:fill="FFFFFF"/>
          <w:vertAlign w:val="baseline"/>
        </w:rPr>
        <w:drawing>
          <wp:inline distT="0" distB="0" distL="114300" distR="114300">
            <wp:extent cx="4762500" cy="3429000"/>
            <wp:effectExtent l="0" t="0" r="0" b="0"/>
            <wp:docPr id="17"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descr="IMG_262"/>
                    <pic:cNvPicPr>
                      <a:picLocks noChangeAspect="1"/>
                    </pic:cNvPicPr>
                  </pic:nvPicPr>
                  <pic:blipFill>
                    <a:blip r:embed="rId11"/>
                    <a:stretch>
                      <a:fillRect/>
                    </a:stretch>
                  </pic:blipFill>
                  <pic:spPr>
                    <a:xfrm>
                      <a:off x="0" y="0"/>
                      <a:ext cx="4762500" cy="3429000"/>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3.申请点与参照点位于曲线道路同侧，按申请点与参照点之间的无障碍最短距离进行测量，如下图：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b/>
          <w:bCs/>
          <w:i w:val="0"/>
          <w:iCs w:val="0"/>
          <w:caps w:val="0"/>
          <w:color w:val="auto"/>
          <w:spacing w:val="0"/>
          <w:sz w:val="28"/>
          <w:szCs w:val="28"/>
          <w:highlight w:val="none"/>
          <w:shd w:val="clear" w:color="auto" w:fill="FFFFFF"/>
          <w:vertAlign w:val="baseline"/>
        </w:rPr>
        <w:t>示例六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i w:val="0"/>
          <w:iCs w:val="0"/>
          <w:caps w:val="0"/>
          <w:color w:val="auto"/>
          <w:spacing w:val="0"/>
          <w:sz w:val="28"/>
          <w:szCs w:val="28"/>
          <w:highlight w:val="none"/>
          <w:shd w:val="clear" w:color="auto" w:fill="FFFFFF"/>
          <w:vertAlign w:val="baseline"/>
        </w:rPr>
        <w:t>.</w:t>
      </w:r>
      <w:r>
        <w:rPr>
          <w:rFonts w:hint="eastAsia" w:ascii="微软雅黑" w:hAnsi="微软雅黑" w:eastAsia="微软雅黑" w:cs="微软雅黑"/>
          <w:i w:val="0"/>
          <w:iCs w:val="0"/>
          <w:caps w:val="0"/>
          <w:color w:val="auto"/>
          <w:spacing w:val="0"/>
          <w:sz w:val="28"/>
          <w:szCs w:val="28"/>
          <w:highlight w:val="none"/>
          <w:shd w:val="clear" w:color="auto" w:fill="FFFFFF"/>
          <w:vertAlign w:val="baseline"/>
        </w:rPr>
        <w:drawing>
          <wp:inline distT="0" distB="0" distL="114300" distR="114300">
            <wp:extent cx="4916805" cy="2348865"/>
            <wp:effectExtent l="0" t="0" r="17145" b="13335"/>
            <wp:docPr id="15"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descr="IMG_263"/>
                    <pic:cNvPicPr>
                      <a:picLocks noChangeAspect="1"/>
                    </pic:cNvPicPr>
                  </pic:nvPicPr>
                  <pic:blipFill>
                    <a:blip r:embed="rId12"/>
                    <a:stretch>
                      <a:fillRect/>
                    </a:stretch>
                  </pic:blipFill>
                  <pic:spPr>
                    <a:xfrm>
                      <a:off x="0" y="0"/>
                      <a:ext cx="4916805" cy="2348865"/>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b/>
          <w:bCs/>
          <w:i w:val="0"/>
          <w:iCs w:val="0"/>
          <w:caps w:val="0"/>
          <w:color w:val="auto"/>
          <w:spacing w:val="0"/>
          <w:sz w:val="28"/>
          <w:szCs w:val="28"/>
          <w:highlight w:val="none"/>
          <w:shd w:val="clear" w:color="auto" w:fill="FFFFFF"/>
          <w:vertAlign w:val="baseline"/>
        </w:rPr>
        <w:t>示例七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i w:val="0"/>
          <w:iCs w:val="0"/>
          <w:caps w:val="0"/>
          <w:color w:val="auto"/>
          <w:spacing w:val="0"/>
          <w:sz w:val="28"/>
          <w:szCs w:val="28"/>
          <w:highlight w:val="none"/>
          <w:shd w:val="clear" w:color="auto" w:fill="FFFFFF"/>
          <w:vertAlign w:val="baseline"/>
        </w:rPr>
        <w:drawing>
          <wp:inline distT="0" distB="0" distL="114300" distR="114300">
            <wp:extent cx="4945380" cy="2172970"/>
            <wp:effectExtent l="0" t="0" r="7620" b="17780"/>
            <wp:docPr id="18"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descr="IMG_264"/>
                    <pic:cNvPicPr>
                      <a:picLocks noChangeAspect="1"/>
                    </pic:cNvPicPr>
                  </pic:nvPicPr>
                  <pic:blipFill>
                    <a:blip r:embed="rId13"/>
                    <a:stretch>
                      <a:fillRect/>
                    </a:stretch>
                  </pic:blipFill>
                  <pic:spPr>
                    <a:xfrm>
                      <a:off x="0" y="0"/>
                      <a:ext cx="4945380" cy="2172970"/>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4.申请点与参照点位于道路两侧且两者之间为人车混合道路，确认申请点与参照点之间的无障碍最短测量线路后，车道区域按最短距离测量至另一侧，其他区域按两点之间无障碍最短距离测量，如下图：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i w:val="0"/>
          <w:iCs w:val="0"/>
          <w:caps w:val="0"/>
          <w:color w:val="auto"/>
          <w:spacing w:val="0"/>
          <w:sz w:val="28"/>
          <w:szCs w:val="28"/>
          <w:highlight w:val="none"/>
          <w:shd w:val="clear" w:color="auto" w:fill="FFFFFF"/>
          <w:vertAlign w:val="baseline"/>
        </w:rPr>
        <w:drawing>
          <wp:inline distT="0" distB="0" distL="114300" distR="114300">
            <wp:extent cx="4937760" cy="3600450"/>
            <wp:effectExtent l="0" t="0" r="15240" b="0"/>
            <wp:docPr id="11"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IMG_265"/>
                    <pic:cNvPicPr>
                      <a:picLocks noChangeAspect="1"/>
                    </pic:cNvPicPr>
                  </pic:nvPicPr>
                  <pic:blipFill>
                    <a:blip r:embed="rId14"/>
                    <a:stretch>
                      <a:fillRect/>
                    </a:stretch>
                  </pic:blipFill>
                  <pic:spPr>
                    <a:xfrm>
                      <a:off x="0" y="0"/>
                      <a:ext cx="4937760" cy="360045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b/>
          <w:bCs/>
          <w:i w:val="0"/>
          <w:iCs w:val="0"/>
          <w:caps w:val="0"/>
          <w:color w:val="auto"/>
          <w:spacing w:val="0"/>
          <w:sz w:val="28"/>
          <w:szCs w:val="28"/>
          <w:highlight w:val="none"/>
          <w:shd w:val="clear" w:color="auto" w:fill="FFFFFF"/>
          <w:vertAlign w:val="baseline"/>
        </w:rPr>
        <w:t>示例九</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auto"/>
          <w:spacing w:val="0"/>
          <w:sz w:val="28"/>
          <w:szCs w:val="28"/>
          <w:highlight w:val="none"/>
        </w:rPr>
      </w:pPr>
      <w:r>
        <w:rPr>
          <w:color w:val="auto"/>
          <w:sz w:val="28"/>
          <w:highlight w:val="none"/>
        </w:rPr>
        <mc:AlternateContent>
          <mc:Choice Requires="wpg">
            <w:drawing>
              <wp:anchor distT="0" distB="0" distL="114300" distR="114300" simplePos="0" relativeHeight="251667456" behindDoc="0" locked="0" layoutInCell="1" allowOverlap="1">
                <wp:simplePos x="0" y="0"/>
                <wp:positionH relativeFrom="column">
                  <wp:posOffset>795655</wp:posOffset>
                </wp:positionH>
                <wp:positionV relativeFrom="paragraph">
                  <wp:posOffset>694690</wp:posOffset>
                </wp:positionV>
                <wp:extent cx="2963545" cy="1567180"/>
                <wp:effectExtent l="3175" t="0" r="24130" b="13335"/>
                <wp:wrapNone/>
                <wp:docPr id="27" name="组合 27"/>
                <wp:cNvGraphicFramePr/>
                <a:graphic xmlns:a="http://schemas.openxmlformats.org/drawingml/2006/main">
                  <a:graphicData uri="http://schemas.microsoft.com/office/word/2010/wordprocessingGroup">
                    <wpg:wgp>
                      <wpg:cNvGrpSpPr/>
                      <wpg:grpSpPr>
                        <a:xfrm>
                          <a:off x="0" y="0"/>
                          <a:ext cx="2963545" cy="1567180"/>
                          <a:chOff x="8443" y="88422"/>
                          <a:chExt cx="4667" cy="2468"/>
                        </a:xfrm>
                        <a:effectLst/>
                      </wpg:grpSpPr>
                      <wps:wsp>
                        <wps:cNvPr id="21" name="直接连接符 21"/>
                        <wps:cNvCnPr/>
                        <wps:spPr>
                          <a:xfrm flipH="1">
                            <a:off x="8443" y="88587"/>
                            <a:ext cx="1439" cy="2"/>
                          </a:xfrm>
                          <a:prstGeom prst="line">
                            <a:avLst/>
                          </a:prstGeom>
                          <a:noFill/>
                          <a:ln w="28575" cap="flat" cmpd="sng" algn="ctr">
                            <a:solidFill>
                              <a:srgbClr val="C00000"/>
                            </a:solidFill>
                            <a:prstDash val="solid"/>
                            <a:miter lim="800000"/>
                          </a:ln>
                          <a:effectLst/>
                        </wps:spPr>
                        <wps:bodyPr/>
                      </wps:wsp>
                      <wps:wsp>
                        <wps:cNvPr id="24" name="直接连接符 24"/>
                        <wps:cNvCnPr/>
                        <wps:spPr>
                          <a:xfrm>
                            <a:off x="8460" y="88589"/>
                            <a:ext cx="17" cy="2183"/>
                          </a:xfrm>
                          <a:prstGeom prst="line">
                            <a:avLst/>
                          </a:prstGeom>
                          <a:noFill/>
                          <a:ln w="28575" cap="flat" cmpd="sng" algn="ctr">
                            <a:solidFill>
                              <a:srgbClr val="C00000"/>
                            </a:solidFill>
                            <a:prstDash val="solid"/>
                            <a:miter lim="800000"/>
                          </a:ln>
                          <a:effectLst/>
                        </wps:spPr>
                        <wps:bodyPr/>
                      </wps:wsp>
                      <wps:wsp>
                        <wps:cNvPr id="25" name="直接连接符 25"/>
                        <wps:cNvCnPr/>
                        <wps:spPr>
                          <a:xfrm flipV="1">
                            <a:off x="8460" y="90756"/>
                            <a:ext cx="4650" cy="16"/>
                          </a:xfrm>
                          <a:prstGeom prst="line">
                            <a:avLst/>
                          </a:prstGeom>
                          <a:noFill/>
                          <a:ln w="28575" cap="flat" cmpd="sng" algn="ctr">
                            <a:solidFill>
                              <a:srgbClr val="C00000"/>
                            </a:solidFill>
                            <a:prstDash val="solid"/>
                            <a:miter lim="800000"/>
                          </a:ln>
                          <a:effectLst/>
                        </wps:spPr>
                        <wps:bodyPr/>
                      </wps:wsp>
                      <wps:wsp>
                        <wps:cNvPr id="39" name="直接连接符 39"/>
                        <wps:cNvCnPr/>
                        <wps:spPr>
                          <a:xfrm>
                            <a:off x="9894" y="88422"/>
                            <a:ext cx="16" cy="300"/>
                          </a:xfrm>
                          <a:prstGeom prst="line">
                            <a:avLst/>
                          </a:prstGeom>
                          <a:noFill/>
                          <a:ln w="28575" cap="flat" cmpd="sng" algn="ctr">
                            <a:solidFill>
                              <a:srgbClr val="C00000"/>
                            </a:solidFill>
                            <a:prstDash val="solid"/>
                            <a:miter lim="800000"/>
                          </a:ln>
                          <a:effectLst/>
                        </wps:spPr>
                        <wps:bodyPr/>
                      </wps:wsp>
                      <wps:wsp>
                        <wps:cNvPr id="40" name="直接连接符 40"/>
                        <wps:cNvCnPr/>
                        <wps:spPr>
                          <a:xfrm>
                            <a:off x="13094" y="90590"/>
                            <a:ext cx="16" cy="300"/>
                          </a:xfrm>
                          <a:prstGeom prst="line">
                            <a:avLst/>
                          </a:prstGeom>
                          <a:noFill/>
                          <a:ln w="28575" cap="flat" cmpd="sng" algn="ctr">
                            <a:solidFill>
                              <a:srgbClr val="C00000"/>
                            </a:solidFill>
                            <a:prstDash val="solid"/>
                            <a:miter lim="800000"/>
                          </a:ln>
                          <a:effectLst/>
                        </wps:spPr>
                        <wps:bodyPr/>
                      </wps:wsp>
                    </wpg:wgp>
                  </a:graphicData>
                </a:graphic>
              </wp:anchor>
            </w:drawing>
          </mc:Choice>
          <mc:Fallback>
            <w:pict>
              <v:group id="_x0000_s1026" o:spid="_x0000_s1026" o:spt="203" style="position:absolute;left:0pt;margin-left:62.65pt;margin-top:54.7pt;height:123.4pt;width:233.35pt;z-index:251667456;mso-width-relative:page;mso-height-relative:page;" coordorigin="8443,88422" coordsize="4667,2468" o:gfxdata="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Al2GZ7aAAAACwEAAA8A&#10;AAAAAAAAAQAgAAAAIgAAAGRycy9kb3ducmV2LnhtbFBLAQIUABQAAAAIAIdO4kDamJs5+QIAAHEM&#10;AAAOAAAAAAAAAAEAIAAAACkBAABkcnMvZTJvRG9jLnhtbFBLBQYAAAAABgAGAFkBAACUBgAAAAA=&#10;">
                <o:lock v:ext="edit" aspectratio="f"/>
                <v:line id="_x0000_s1026" o:spid="_x0000_s1026" o:spt="20" style="position:absolute;left:8443;top:88587;flip:x;height:2;width:1439;" filled="f" stroked="t" coordsize="21600,21600" o:gfxdata="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lwBh2+AAAA2wAAAA8AAAAAAAAAAQAgAAAAOAAAAGRycy9kb3ducmV2&#10;LnhtbFBLAQIUABQAAAAIAIdO4kAzLwWeOwAAADkAAAAQAAAAAAAAAAEAIAAAACMBAABkcnMvc2hh&#10;cGV4bWwueG1sUEsFBgAAAAAGAAYAWwEAAM0DAAAAAA==&#10;">
                  <v:path arrowok="t"/>
                  <v:fill on="f" focussize="0,0"/>
                  <v:stroke weight="2.25pt" color="#C00000" joinstyle="miter"/>
                  <v:imagedata o:title=""/>
                  <o:lock v:ext="edit" aspectratio="f"/>
                </v:line>
                <v:line id="_x0000_s1026" o:spid="_x0000_s1026" o:spt="20" style="position:absolute;left:8460;top:88589;height:2183;width:17;" filled="f" stroked="t" coordsize="21600,21600" o:gfxdata="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rWOZNvAAAANsAAAAPAAAAAAAAAAEAIAAAADgAAABkcnMvZG93bnJldi54&#10;bWxQSwECFAAUAAAACACHTuJAMy8FnjsAAAA5AAAAEAAAAAAAAAABACAAAAAhAQAAZHJzL3NoYXBl&#10;eG1sLnhtbFBLBQYAAAAABgAGAFsBAADLAwAAAAA=&#10;">
                  <v:path arrowok="t"/>
                  <v:fill on="f" focussize="0,0"/>
                  <v:stroke weight="2.25pt" color="#C00000" joinstyle="miter"/>
                  <v:imagedata o:title=""/>
                  <o:lock v:ext="edit" aspectratio="f"/>
                </v:line>
                <v:line id="_x0000_s1026" o:spid="_x0000_s1026" o:spt="20" style="position:absolute;left:8460;top:90756;flip:y;height:16;width:4650;" filled="f" stroked="t" coordsize="21600,21600" o:gfxdata="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CZLAB6+AAAA2wAAAA8AAAAAAAAAAQAgAAAAOAAAAGRycy9kb3ducmV2&#10;LnhtbFBLAQIUABQAAAAIAIdO4kAzLwWeOwAAADkAAAAQAAAAAAAAAAEAIAAAACMBAABkcnMvc2hh&#10;cGV4bWwueG1sUEsFBgAAAAAGAAYAWwEAAM0DAAAAAA==&#10;">
                  <v:path arrowok="t"/>
                  <v:fill on="f" focussize="0,0"/>
                  <v:stroke weight="2.25pt" color="#C00000" joinstyle="miter"/>
                  <v:imagedata o:title=""/>
                  <o:lock v:ext="edit" aspectratio="f"/>
                </v:line>
                <v:line id="_x0000_s1026" o:spid="_x0000_s1026" o:spt="20" style="position:absolute;left:9894;top:88422;height:300;width:16;" filled="f" stroked="t" coordsize="21600,21600" o:gfxdata="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AgN8OvAAAANsAAAAPAAAAAAAAAAEAIAAAADgAAABkcnMvZG93bnJldi54&#10;bWxQSwECFAAUAAAACACHTuJAMy8FnjsAAAA5AAAAEAAAAAAAAAABACAAAAAhAQAAZHJzL3NoYXBl&#10;eG1sLnhtbFBLBQYAAAAABgAGAFsBAADLAwAAAAA=&#10;">
                  <v:path arrowok="t"/>
                  <v:fill on="f" focussize="0,0"/>
                  <v:stroke weight="2.25pt" color="#C00000" joinstyle="miter"/>
                  <v:imagedata o:title=""/>
                  <o:lock v:ext="edit" aspectratio="f"/>
                </v:line>
                <v:line id="_x0000_s1026" o:spid="_x0000_s1026" o:spt="20" style="position:absolute;left:13094;top:90590;height:300;width:16;" filled="f" stroked="t" coordsize="21600,21600" o:gfxdata="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JvAXuuQAAANsAAAAPAAAAAAAAAAEAIAAAADgAAABkcnMvZG93bnJldi54bWxQ&#10;SwECFAAUAAAACACHTuJAMy8FnjsAAAA5AAAAEAAAAAAAAAABACAAAAAeAQAAZHJzL3NoYXBleG1s&#10;LnhtbFBLBQYAAAAABgAGAFsBAADIAwAAAAA=&#10;">
                  <v:path arrowok="t"/>
                  <v:fill on="f" focussize="0,0"/>
                  <v:stroke weight="2.25pt" color="#C00000" joinstyle="miter"/>
                  <v:imagedata o:title=""/>
                  <o:lock v:ext="edit" aspectratio="f"/>
                </v:line>
              </v:group>
            </w:pict>
          </mc:Fallback>
        </mc:AlternateContent>
      </w:r>
      <w:r>
        <w:rPr>
          <w:rFonts w:hint="eastAsia" w:ascii="微软雅黑" w:hAnsi="微软雅黑" w:eastAsia="微软雅黑" w:cs="微软雅黑"/>
          <w:i w:val="0"/>
          <w:iCs w:val="0"/>
          <w:caps w:val="0"/>
          <w:color w:val="auto"/>
          <w:spacing w:val="0"/>
          <w:sz w:val="28"/>
          <w:szCs w:val="28"/>
          <w:highlight w:val="none"/>
          <w:shd w:val="clear" w:color="auto" w:fill="FFFFFF"/>
          <w:vertAlign w:val="baseline"/>
        </w:rPr>
        <w:drawing>
          <wp:inline distT="0" distB="0" distL="114300" distR="114300">
            <wp:extent cx="4996180" cy="3460115"/>
            <wp:effectExtent l="0" t="0" r="13970" b="6985"/>
            <wp:docPr id="4"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descr="IMG_266"/>
                    <pic:cNvPicPr>
                      <a:picLocks noChangeAspect="1"/>
                    </pic:cNvPicPr>
                  </pic:nvPicPr>
                  <pic:blipFill>
                    <a:blip r:embed="rId15"/>
                    <a:stretch>
                      <a:fillRect/>
                    </a:stretch>
                  </pic:blipFill>
                  <pic:spPr>
                    <a:xfrm>
                      <a:off x="0" y="0"/>
                      <a:ext cx="4996180" cy="3460115"/>
                    </a:xfrm>
                    <a:prstGeom prst="rect">
                      <a:avLst/>
                    </a:prstGeom>
                    <a:noFill/>
                    <a:ln>
                      <a:noFill/>
                    </a:ln>
                  </pic:spPr>
                </pic:pic>
              </a:graphicData>
            </a:graphic>
          </wp:inline>
        </w:drawing>
      </w:r>
      <w:r>
        <w:rPr>
          <w:color w:val="auto"/>
          <w:sz w:val="28"/>
          <w:highlight w:val="none"/>
        </w:rPr>
        <mc:AlternateContent>
          <mc:Choice Requires="wps">
            <w:drawing>
              <wp:anchor distT="0" distB="0" distL="114300" distR="114300" simplePos="0" relativeHeight="251665408" behindDoc="0" locked="0" layoutInCell="1" allowOverlap="1">
                <wp:simplePos x="0" y="0"/>
                <wp:positionH relativeFrom="column">
                  <wp:posOffset>2874010</wp:posOffset>
                </wp:positionH>
                <wp:positionV relativeFrom="paragraph">
                  <wp:posOffset>1202690</wp:posOffset>
                </wp:positionV>
                <wp:extent cx="1374140" cy="277495"/>
                <wp:effectExtent l="0" t="0" r="16510" b="8255"/>
                <wp:wrapNone/>
                <wp:docPr id="22" name="文本框 22"/>
                <wp:cNvGraphicFramePr/>
                <a:graphic xmlns:a="http://schemas.openxmlformats.org/drawingml/2006/main">
                  <a:graphicData uri="http://schemas.microsoft.com/office/word/2010/wordprocessingShape">
                    <wps:wsp>
                      <wps:cNvSpPr txBox="1"/>
                      <wps:spPr>
                        <a:xfrm>
                          <a:off x="4017010" y="5485130"/>
                          <a:ext cx="1374140" cy="277495"/>
                        </a:xfrm>
                        <a:prstGeom prst="rect">
                          <a:avLst/>
                        </a:prstGeom>
                        <a:solidFill>
                          <a:srgbClr val="7E7F7F"/>
                        </a:solidFill>
                        <a:ln w="6350">
                          <a:noFill/>
                        </a:ln>
                        <a:effectLst/>
                      </wps:spPr>
                      <wps:txbx>
                        <w:txbxContent>
                          <w:p>
                            <w:pPr>
                              <w:rPr>
                                <w:rFonts w:hint="eastAsia" w:eastAsia="宋体"/>
                                <w:color w:val="FFFFFF"/>
                                <w:lang w:val="en-US" w:eastAsia="zh-CN"/>
                              </w:rPr>
                            </w:pPr>
                            <w:r>
                              <w:rPr>
                                <w:rFonts w:hint="eastAsia"/>
                                <w:color w:val="FFFFFF"/>
                                <w:lang w:val="en-US" w:eastAsia="zh-CN"/>
                              </w:rPr>
                              <w:t>无护栏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6.3pt;margin-top:94.7pt;height:21.85pt;width:108.2pt;z-index:251665408;mso-width-relative:page;mso-height-relative:page;" fillcolor="#7E7F7F" filled="t" stroked="f" coordsize="21600,21600" o:gfxdata="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hSnDB2wAAAAsBAAAPAAAAAAAA&#10;AAEAIAAAACIAAABkcnMvZG93bnJldi54bWxQSwECFAAUAAAACACHTuJAytkTXEgCAABdBAAADgAA&#10;AAAAAAABACAAAAAqAQAAZHJzL2Uyb0RvYy54bWxQSwUGAAAAAAYABgBZAQAA5AUAAAAA&#10;">
                <v:path/>
                <v:fill on="t" focussize="0,0"/>
                <v:stroke on="f" weight="0.5pt"/>
                <v:imagedata o:title=""/>
                <o:lock v:ext="edit" aspectratio="f"/>
                <v:textbox>
                  <w:txbxContent>
                    <w:p>
                      <w:pPr>
                        <w:rPr>
                          <w:rFonts w:hint="eastAsia" w:eastAsia="宋体"/>
                          <w:color w:val="FFFFFF"/>
                          <w:lang w:val="en-US" w:eastAsia="zh-CN"/>
                        </w:rPr>
                      </w:pPr>
                      <w:r>
                        <w:rPr>
                          <w:rFonts w:hint="eastAsia"/>
                          <w:color w:val="FFFFFF"/>
                          <w:lang w:val="en-US" w:eastAsia="zh-CN"/>
                        </w:rPr>
                        <w:t>无护栏</w:t>
                      </w:r>
                    </w:p>
                  </w:txbxContent>
                </v:textbox>
              </v:shape>
            </w:pict>
          </mc:Fallback>
        </mc:AlternateContent>
      </w:r>
      <w:r>
        <w:rPr>
          <w:color w:val="auto"/>
          <w:sz w:val="28"/>
          <w:highlight w:val="none"/>
        </w:rPr>
        <mc:AlternateContent>
          <mc:Choice Requires="wps">
            <w:drawing>
              <wp:anchor distT="0" distB="0" distL="114300" distR="114300" simplePos="0" relativeHeight="251660288" behindDoc="0" locked="0" layoutInCell="1" allowOverlap="1">
                <wp:simplePos x="0" y="0"/>
                <wp:positionH relativeFrom="column">
                  <wp:posOffset>797560</wp:posOffset>
                </wp:positionH>
                <wp:positionV relativeFrom="paragraph">
                  <wp:posOffset>1517650</wp:posOffset>
                </wp:positionV>
                <wp:extent cx="4212590" cy="666750"/>
                <wp:effectExtent l="6350" t="6350" r="10160" b="12700"/>
                <wp:wrapNone/>
                <wp:docPr id="20" name="矩形 20"/>
                <wp:cNvGraphicFramePr/>
                <a:graphic xmlns:a="http://schemas.openxmlformats.org/drawingml/2006/main">
                  <a:graphicData uri="http://schemas.microsoft.com/office/word/2010/wordprocessingShape">
                    <wps:wsp>
                      <wps:cNvSpPr/>
                      <wps:spPr>
                        <a:xfrm>
                          <a:off x="0" y="0"/>
                          <a:ext cx="4212590" cy="666750"/>
                        </a:xfrm>
                        <a:prstGeom prst="rect">
                          <a:avLst/>
                        </a:prstGeom>
                        <a:solidFill>
                          <a:srgbClr val="7E7F7F"/>
                        </a:solidFill>
                        <a:ln w="12700" cap="flat" cmpd="sng" algn="ctr">
                          <a:solidFill>
                            <a:srgbClr val="7E7F7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8pt;margin-top:119.5pt;height:52.5pt;width:331.7pt;z-index:251660288;v-text-anchor:middle;mso-width-relative:page;mso-height-relative:page;" fillcolor="#7E7F7F" filled="t" stroked="t" coordsize="21600,21600" o:gfxdata="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zcoYTX&#10;AAAACwEAAA8AAAAAAAAAAQAgAAAAIgAAAGRycy9kb3ducmV2LnhtbFBLAQIUABQAAAAIAIdO4kAC&#10;j0aHWgIAALYEAAAOAAAAAAAAAAEAIAAAACYBAABkcnMvZTJvRG9jLnhtbFBLBQYAAAAABgAGAFkB&#10;AADyBQAAAAA=&#10;">
                <v:path/>
                <v:fill on="t" focussize="0,0"/>
                <v:stroke weight="1pt" color="#7E7F7F" joinstyle="miter"/>
                <v:imagedata o:title=""/>
                <o:lock v:ext="edit" aspectratio="f"/>
              </v:rect>
            </w:pict>
          </mc:Fallback>
        </mc:AlternateContent>
      </w:r>
      <w:r>
        <w:rPr>
          <w:color w:val="auto"/>
          <w:sz w:val="28"/>
          <w:highlight w:val="none"/>
        </w:rPr>
        <mc:AlternateContent>
          <mc:Choice Requires="wps">
            <w:drawing>
              <wp:anchor distT="0" distB="0" distL="114300" distR="114300" simplePos="0" relativeHeight="251661312" behindDoc="0" locked="0" layoutInCell="1" allowOverlap="1">
                <wp:simplePos x="0" y="0"/>
                <wp:positionH relativeFrom="column">
                  <wp:posOffset>32385</wp:posOffset>
                </wp:positionH>
                <wp:positionV relativeFrom="paragraph">
                  <wp:posOffset>-24038560</wp:posOffset>
                </wp:positionV>
                <wp:extent cx="4212590" cy="666750"/>
                <wp:effectExtent l="6350" t="6350" r="10160" b="12700"/>
                <wp:wrapNone/>
                <wp:docPr id="23" name="矩形 23"/>
                <wp:cNvGraphicFramePr/>
                <a:graphic xmlns:a="http://schemas.openxmlformats.org/drawingml/2006/main">
                  <a:graphicData uri="http://schemas.microsoft.com/office/word/2010/wordprocessingShape">
                    <wps:wsp>
                      <wps:cNvSpPr/>
                      <wps:spPr>
                        <a:xfrm>
                          <a:off x="0" y="0"/>
                          <a:ext cx="4212590" cy="666750"/>
                        </a:xfrm>
                        <a:prstGeom prst="rect">
                          <a:avLst/>
                        </a:prstGeom>
                        <a:solidFill>
                          <a:srgbClr val="7E7F7F"/>
                        </a:solidFill>
                        <a:ln w="12700" cap="flat" cmpd="sng" algn="ctr">
                          <a:solidFill>
                            <a:srgbClr val="7E7F7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5pt;margin-top:-1892.8pt;height:52.5pt;width:331.7pt;z-index:251661312;v-text-anchor:middle;mso-width-relative:page;mso-height-relative:page;" fillcolor="#7E7F7F" filled="t" stroked="t" coordsize="21600,21600" o:gfxdata="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CnjttoAAAANAQAADwAAAAAAAAABACAAAAAiAAAAZHJzL2Rvd25yZXYueG1sUEsBAhQAFAAAAAgA&#10;h07iQFuQS6BcAgAAtgQAAA4AAAAAAAAAAQAgAAAAKQEAAGRycy9lMm9Eb2MueG1sUEsFBgAAAAAG&#10;AAYAWQEAAPcFAAAAAA==&#10;">
                <v:path/>
                <v:fill on="t" focussize="0,0"/>
                <v:stroke weight="1pt" color="#7E7F7F" joinstyle="miter"/>
                <v:imagedata o:title=""/>
                <o:lock v:ext="edit" aspectratio="f"/>
              </v:rect>
            </w:pict>
          </mc:Fallback>
        </mc:AlternateContent>
      </w:r>
      <w:r>
        <w:rPr>
          <w:color w:val="auto"/>
          <w:sz w:val="28"/>
          <w:highlight w:val="none"/>
        </w:rPr>
        <mc:AlternateContent>
          <mc:Choice Requires="wps">
            <w:drawing>
              <wp:anchor distT="0" distB="0" distL="114300" distR="114300" simplePos="0" relativeHeight="251659264" behindDoc="0" locked="0" layoutInCell="1" allowOverlap="1">
                <wp:simplePos x="0" y="0"/>
                <wp:positionH relativeFrom="column">
                  <wp:posOffset>797560</wp:posOffset>
                </wp:positionH>
                <wp:positionV relativeFrom="paragraph">
                  <wp:posOffset>793115</wp:posOffset>
                </wp:positionV>
                <wp:extent cx="4212590" cy="666750"/>
                <wp:effectExtent l="6350" t="6350" r="10160" b="12700"/>
                <wp:wrapNone/>
                <wp:docPr id="19" name="矩形 19"/>
                <wp:cNvGraphicFramePr/>
                <a:graphic xmlns:a="http://schemas.openxmlformats.org/drawingml/2006/main">
                  <a:graphicData uri="http://schemas.microsoft.com/office/word/2010/wordprocessingShape">
                    <wps:wsp>
                      <wps:cNvSpPr/>
                      <wps:spPr>
                        <a:xfrm>
                          <a:off x="1936115" y="5097780"/>
                          <a:ext cx="4212590" cy="666750"/>
                        </a:xfrm>
                        <a:prstGeom prst="rect">
                          <a:avLst/>
                        </a:prstGeom>
                        <a:solidFill>
                          <a:srgbClr val="7E7F7F"/>
                        </a:solidFill>
                        <a:ln w="12700" cap="flat" cmpd="sng" algn="ctr">
                          <a:solidFill>
                            <a:srgbClr val="7E7F7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8pt;margin-top:62.45pt;height:52.5pt;width:331.7pt;z-index:251659264;v-text-anchor:middle;mso-width-relative:page;mso-height-relative:page;" fillcolor="#7E7F7F" filled="t" stroked="t" coordsize="21600,21600" o:gfxdata="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Nd2cVNgAAAALAQAADwAAAAAAAAABACAAAAAiAAAAZHJzL2Rvd25yZXYueG1sUEsB&#10;AhQAFAAAAAgAh07iQGfrrg9nAgAAwgQAAA4AAAAAAAAAAQAgAAAAJwEAAGRycy9lMm9Eb2MueG1s&#10;UEsFBgAAAAAGAAYAWQEAAAAGAAAAAA==&#10;">
                <v:path/>
                <v:fill on="t" focussize="0,0"/>
                <v:stroke weight="1pt" color="#7E7F7F" joinstyle="miter"/>
                <v:imagedata o:title=""/>
                <o:lock v:ext="edit" aspectratio="f"/>
              </v:rect>
            </w:pict>
          </mc:Fallback>
        </mc:AlternateConten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right="0"/>
        <w:jc w:val="both"/>
        <w:textAlignment w:val="baseline"/>
        <w:rPr>
          <w:rFonts w:hint="eastAsia" w:ascii="微软雅黑" w:hAnsi="微软雅黑" w:eastAsia="微软雅黑" w:cs="微软雅黑"/>
          <w:b/>
          <w:bCs/>
          <w:i w:val="0"/>
          <w:iCs w:val="0"/>
          <w:caps w:val="0"/>
          <w:color w:val="auto"/>
          <w:spacing w:val="0"/>
          <w:sz w:val="28"/>
          <w:szCs w:val="28"/>
          <w:highlight w:val="none"/>
          <w:shd w:val="clear" w:color="auto" w:fill="FFFFFF"/>
          <w:vertAlign w:val="baseline"/>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b/>
          <w:bCs/>
          <w:i w:val="0"/>
          <w:iCs w:val="0"/>
          <w:caps w:val="0"/>
          <w:color w:val="auto"/>
          <w:spacing w:val="0"/>
          <w:sz w:val="28"/>
          <w:szCs w:val="28"/>
          <w:highlight w:val="none"/>
          <w:shd w:val="clear" w:color="auto" w:fill="FFFFFF"/>
          <w:vertAlign w:val="baseline"/>
        </w:rPr>
        <w:t>示例十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i w:val="0"/>
          <w:iCs w:val="0"/>
          <w:caps w:val="0"/>
          <w:color w:val="auto"/>
          <w:spacing w:val="0"/>
          <w:sz w:val="28"/>
          <w:szCs w:val="28"/>
          <w:highlight w:val="none"/>
          <w:shd w:val="clear" w:color="auto" w:fill="FFFFFF"/>
          <w:vertAlign w:val="baseline"/>
        </w:rPr>
        <w:drawing>
          <wp:inline distT="0" distB="0" distL="114300" distR="114300">
            <wp:extent cx="4762500" cy="2905125"/>
            <wp:effectExtent l="0" t="0" r="0" b="9525"/>
            <wp:docPr id="2"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IMG_267"/>
                    <pic:cNvPicPr>
                      <a:picLocks noChangeAspect="1"/>
                    </pic:cNvPicPr>
                  </pic:nvPicPr>
                  <pic:blipFill>
                    <a:blip r:embed="rId16"/>
                    <a:stretch>
                      <a:fillRect/>
                    </a:stretch>
                  </pic:blipFill>
                  <pic:spPr>
                    <a:xfrm>
                      <a:off x="0" y="0"/>
                      <a:ext cx="4762500" cy="2905125"/>
                    </a:xfrm>
                    <a:prstGeom prst="rect">
                      <a:avLst/>
                    </a:prstGeom>
                    <a:noFill/>
                    <a:ln>
                      <a:noFill/>
                    </a:ln>
                  </pic:spPr>
                </pic:pic>
              </a:graphicData>
            </a:graphic>
          </wp:inline>
        </w:drawing>
      </w:r>
      <w:r>
        <w:rPr>
          <w:color w:val="auto"/>
          <w:sz w:val="28"/>
          <w:highlight w:val="none"/>
        </w:rPr>
        <mc:AlternateContent>
          <mc:Choice Requires="wps">
            <w:drawing>
              <wp:anchor distT="0" distB="0" distL="114300" distR="114300" simplePos="0" relativeHeight="251664384" behindDoc="0" locked="0" layoutInCell="1" allowOverlap="1">
                <wp:simplePos x="0" y="0"/>
                <wp:positionH relativeFrom="column">
                  <wp:posOffset>4095750</wp:posOffset>
                </wp:positionH>
                <wp:positionV relativeFrom="paragraph">
                  <wp:posOffset>1219200</wp:posOffset>
                </wp:positionV>
                <wp:extent cx="142240" cy="133350"/>
                <wp:effectExtent l="0" t="4445" r="10160" b="14605"/>
                <wp:wrapNone/>
                <wp:docPr id="36" name="直接箭头连接符 36"/>
                <wp:cNvGraphicFramePr/>
                <a:graphic xmlns:a="http://schemas.openxmlformats.org/drawingml/2006/main">
                  <a:graphicData uri="http://schemas.microsoft.com/office/word/2010/wordprocessingShape">
                    <wps:wsp>
                      <wps:cNvCnPr/>
                      <wps:spPr>
                        <a:xfrm flipH="1">
                          <a:off x="5238750" y="2133600"/>
                          <a:ext cx="142240" cy="133350"/>
                        </a:xfrm>
                        <a:prstGeom prst="straightConnector1">
                          <a:avLst/>
                        </a:prstGeom>
                        <a:noFill/>
                        <a:ln w="12700" cap="flat" cmpd="sng" algn="ctr">
                          <a:solidFill>
                            <a:srgbClr val="FFFFFF"/>
                          </a:solidFill>
                          <a:prstDash val="solid"/>
                          <a:miter lim="800000"/>
                          <a:tailEnd type="arrow"/>
                        </a:ln>
                        <a:effectLst/>
                      </wps:spPr>
                      <wps:bodyPr/>
                    </wps:wsp>
                  </a:graphicData>
                </a:graphic>
              </wp:anchor>
            </w:drawing>
          </mc:Choice>
          <mc:Fallback>
            <w:pict>
              <v:shape id="_x0000_s1026" o:spid="_x0000_s1026" o:spt="32" type="#_x0000_t32" style="position:absolute;left:0pt;flip:x;margin-left:322.5pt;margin-top:96pt;height:10.5pt;width:11.2pt;z-index:251664384;mso-width-relative:page;mso-height-relative:page;" filled="f" stroked="t" coordsize="21600,21600" o:gfxdata="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VcWXhNgAAAALAQAADwAAAAAAAAABACAAAAAiAAAA&#10;ZHJzL2Rvd25yZXYueG1sUEsBAhQAFAAAAAgAh07iQDlPelUHAgAAuwMAAA4AAAAAAAAAAQAgAAAA&#10;JwEAAGRycy9lMm9Eb2MueG1sUEsFBgAAAAAGAAYAWQEAAKAFAAAAAA==&#10;">
                <v:path arrowok="t"/>
                <v:fill on="f" focussize="0,0"/>
                <v:stroke weight="1pt" color="#FFFFFF" joinstyle="miter" endarrow="open"/>
                <v:imagedata o:title=""/>
                <o:lock v:ext="edit" aspectratio="f"/>
              </v:shape>
            </w:pict>
          </mc:Fallback>
        </mc:AlternateContent>
      </w:r>
      <w:r>
        <w:rPr>
          <w:color w:val="auto"/>
          <w:sz w:val="28"/>
          <w:highlight w:val="none"/>
        </w:rPr>
        <mc:AlternateContent>
          <mc:Choice Requires="wps">
            <w:drawing>
              <wp:anchor distT="0" distB="0" distL="114300" distR="114300" simplePos="0" relativeHeight="251663360" behindDoc="0" locked="0" layoutInCell="1" allowOverlap="1">
                <wp:simplePos x="0" y="0"/>
                <wp:positionH relativeFrom="column">
                  <wp:posOffset>4041775</wp:posOffset>
                </wp:positionH>
                <wp:positionV relativeFrom="paragraph">
                  <wp:posOffset>1010285</wp:posOffset>
                </wp:positionV>
                <wp:extent cx="468630" cy="300990"/>
                <wp:effectExtent l="0" t="0" r="0" b="0"/>
                <wp:wrapNone/>
                <wp:docPr id="35" name="文本框 35"/>
                <wp:cNvGraphicFramePr/>
                <a:graphic xmlns:a="http://schemas.openxmlformats.org/drawingml/2006/main">
                  <a:graphicData uri="http://schemas.microsoft.com/office/word/2010/wordprocessingShape">
                    <wps:wsp>
                      <wps:cNvSpPr txBox="1"/>
                      <wps:spPr>
                        <a:xfrm>
                          <a:off x="4624705" y="2045970"/>
                          <a:ext cx="468630" cy="300990"/>
                        </a:xfrm>
                        <a:prstGeom prst="rect">
                          <a:avLst/>
                        </a:prstGeom>
                        <a:noFill/>
                        <a:ln w="6350">
                          <a:noFill/>
                        </a:ln>
                        <a:effectLst/>
                      </wps:spPr>
                      <wps:txbx>
                        <w:txbxContent>
                          <w:p>
                            <w:pPr>
                              <w:rPr>
                                <w:rFonts w:hint="eastAsia" w:eastAsia="宋体"/>
                                <w:color w:val="FFFFFF"/>
                                <w:lang w:val="en-US" w:eastAsia="zh-CN"/>
                              </w:rPr>
                            </w:pPr>
                            <w:r>
                              <w:rPr>
                                <w:rFonts w:hint="eastAsia"/>
                                <w:color w:val="FFFFFF"/>
                                <w:lang w:val="en-US" w:eastAsia="zh-CN"/>
                              </w:rPr>
                              <w:t>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25pt;margin-top:79.55pt;height:23.7pt;width:36.9pt;z-index:251663360;mso-width-relative:page;mso-height-relative:page;" filled="f" stroked="f" coordsize="21600,21600" o:gfxdata="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DmcutdsAAAALAQAADwAAAAAAAAABACAAAAAiAAAAZHJzL2Rvd25yZXYueG1s&#10;UEsBAhQAFAAAAAgAh07iQAbouEUuAgAAMwQAAA4AAAAAAAAAAQAgAAAAKgEAAGRycy9lMm9Eb2Mu&#10;eG1sUEsFBgAAAAAGAAYAWQEAAMoFAAAAAA==&#10;">
                <v:path/>
                <v:fill on="f" focussize="0,0"/>
                <v:stroke on="f" weight="0.5pt"/>
                <v:imagedata o:title=""/>
                <o:lock v:ext="edit" aspectratio="f"/>
                <v:textbox>
                  <w:txbxContent>
                    <w:p>
                      <w:pPr>
                        <w:rPr>
                          <w:rFonts w:hint="eastAsia" w:eastAsia="宋体"/>
                          <w:color w:val="FFFFFF"/>
                          <w:lang w:val="en-US" w:eastAsia="zh-CN"/>
                        </w:rPr>
                      </w:pPr>
                      <w:r>
                        <w:rPr>
                          <w:rFonts w:hint="eastAsia"/>
                          <w:color w:val="FFFFFF"/>
                          <w:lang w:val="en-US" w:eastAsia="zh-CN"/>
                        </w:rPr>
                        <w:t>护栏</w:t>
                      </w:r>
                    </w:p>
                  </w:txbxContent>
                </v:textbox>
              </v:shape>
            </w:pict>
          </mc:Fallback>
        </mc:AlternateContent>
      </w:r>
      <w:r>
        <w:rPr>
          <w:color w:val="auto"/>
          <w:sz w:val="28"/>
          <w:highlight w:val="none"/>
        </w:rPr>
        <mc:AlternateContent>
          <mc:Choice Requires="wps">
            <w:drawing>
              <wp:anchor distT="0" distB="0" distL="114300" distR="114300" simplePos="0" relativeHeight="251662336" behindDoc="0" locked="0" layoutInCell="1" allowOverlap="1">
                <wp:simplePos x="0" y="0"/>
                <wp:positionH relativeFrom="column">
                  <wp:posOffset>841375</wp:posOffset>
                </wp:positionH>
                <wp:positionV relativeFrom="paragraph">
                  <wp:posOffset>1373505</wp:posOffset>
                </wp:positionV>
                <wp:extent cx="4119245" cy="79375"/>
                <wp:effectExtent l="6350" t="6350" r="8255" b="9525"/>
                <wp:wrapNone/>
                <wp:docPr id="34" name="棱台 34"/>
                <wp:cNvGraphicFramePr/>
                <a:graphic xmlns:a="http://schemas.openxmlformats.org/drawingml/2006/main">
                  <a:graphicData uri="http://schemas.microsoft.com/office/word/2010/wordprocessingShape">
                    <wps:wsp>
                      <wps:cNvSpPr/>
                      <wps:spPr>
                        <a:xfrm>
                          <a:off x="1984375" y="2287905"/>
                          <a:ext cx="4119245" cy="79375"/>
                        </a:xfrm>
                        <a:prstGeom prst="bevel">
                          <a:avLst/>
                        </a:prstGeom>
                        <a:solidFill>
                          <a:srgbClr val="FFFFFF"/>
                        </a:solidFill>
                        <a:ln w="12700" cap="flat" cmpd="sng" algn="ctr">
                          <a:solidFill>
                            <a:srgbClr val="2E75B6">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84" type="#_x0000_t84" style="position:absolute;left:0pt;margin-left:66.25pt;margin-top:108.15pt;height:6.25pt;width:324.35pt;z-index:251662336;v-text-anchor:middle;mso-width-relative:page;mso-height-relative:page;" fillcolor="#FFFFFF" filled="t" stroked="t" coordsize="21600,21600" o:gfxdata="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Chfh+1wAAAAsBAAAPAAAAAAAAAAEAIAAAACIA&#10;AABkcnMvZG93bnJldi54bWxQSwECFAAUAAAACACHTuJAI6qHmnwCAADkBAAADgAAAAAAAAABACAA&#10;AAAmAQAAZHJzL2Uyb0RvYy54bWxQSwUGAAAAAAYABgBZAQAAFAYAAAAA&#10;" adj="2700">
                <v:path/>
                <v:fill on="t" focussize="0,0"/>
                <v:stroke weight="1pt" color="#2E75B6" joinstyle="miter"/>
                <v:imagedata o:title=""/>
                <o:lock v:ext="edit" aspectratio="f"/>
              </v:shape>
            </w:pict>
          </mc:Fallback>
        </mc:AlternateConten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b/>
          <w:bCs/>
          <w:i w:val="0"/>
          <w:iCs w:val="0"/>
          <w:caps w:val="0"/>
          <w:color w:val="auto"/>
          <w:spacing w:val="0"/>
          <w:sz w:val="28"/>
          <w:szCs w:val="28"/>
          <w:highlight w:val="none"/>
          <w:shd w:val="clear" w:color="auto" w:fill="FFFFFF"/>
          <w:vertAlign w:val="baseline"/>
        </w:rPr>
        <w:t>示例十一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i w:val="0"/>
          <w:iCs w:val="0"/>
          <w:caps w:val="0"/>
          <w:color w:val="auto"/>
          <w:spacing w:val="0"/>
          <w:sz w:val="28"/>
          <w:szCs w:val="28"/>
          <w:highlight w:val="none"/>
          <w:shd w:val="clear" w:color="auto" w:fill="FFFFFF"/>
          <w:vertAlign w:val="baseline"/>
        </w:rPr>
        <w:drawing>
          <wp:inline distT="0" distB="0" distL="114300" distR="114300">
            <wp:extent cx="4762500" cy="3752850"/>
            <wp:effectExtent l="0" t="0" r="0" b="0"/>
            <wp:docPr id="6"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3" descr="IMG_268"/>
                    <pic:cNvPicPr>
                      <a:picLocks noChangeAspect="1"/>
                    </pic:cNvPicPr>
                  </pic:nvPicPr>
                  <pic:blipFill>
                    <a:blip r:embed="rId17"/>
                    <a:stretch>
                      <a:fillRect/>
                    </a:stretch>
                  </pic:blipFill>
                  <pic:spPr>
                    <a:xfrm>
                      <a:off x="0" y="0"/>
                      <a:ext cx="4762500" cy="3752850"/>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5.申请点与参照点位于道路两侧且两者之间为人车分离道路，确认申请点与参照点之间的无障碍最短测量线路后，车道区域按无障碍最短距离测量至另一侧，其它区域按两点之间无障碍最短距离测量，如下图：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b/>
          <w:bCs/>
          <w:i w:val="0"/>
          <w:iCs w:val="0"/>
          <w:caps w:val="0"/>
          <w:color w:val="auto"/>
          <w:spacing w:val="0"/>
          <w:sz w:val="28"/>
          <w:szCs w:val="28"/>
          <w:highlight w:val="none"/>
          <w:shd w:val="clear" w:color="auto" w:fill="FFFFFF"/>
          <w:vertAlign w:val="baseline"/>
        </w:rPr>
        <w:t>示例十二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auto"/>
          <w:spacing w:val="0"/>
          <w:sz w:val="28"/>
          <w:szCs w:val="28"/>
          <w:highlight w:val="none"/>
        </w:rPr>
      </w:pPr>
      <w:r>
        <w:rPr>
          <w:color w:val="auto"/>
          <w:sz w:val="28"/>
          <w:highlight w:val="none"/>
        </w:rPr>
        <mc:AlternateContent>
          <mc:Choice Requires="wps">
            <w:drawing>
              <wp:anchor distT="0" distB="0" distL="114300" distR="114300" simplePos="0" relativeHeight="251666432" behindDoc="0" locked="0" layoutInCell="1" allowOverlap="1">
                <wp:simplePos x="0" y="0"/>
                <wp:positionH relativeFrom="column">
                  <wp:posOffset>3090545</wp:posOffset>
                </wp:positionH>
                <wp:positionV relativeFrom="paragraph">
                  <wp:posOffset>1379220</wp:posOffset>
                </wp:positionV>
                <wp:extent cx="779780" cy="265430"/>
                <wp:effectExtent l="0" t="0" r="1270" b="1270"/>
                <wp:wrapNone/>
                <wp:docPr id="26" name="文本框 26"/>
                <wp:cNvGraphicFramePr/>
                <a:graphic xmlns:a="http://schemas.openxmlformats.org/drawingml/2006/main">
                  <a:graphicData uri="http://schemas.microsoft.com/office/word/2010/wordprocessingShape">
                    <wps:wsp>
                      <wps:cNvSpPr txBox="1"/>
                      <wps:spPr>
                        <a:xfrm>
                          <a:off x="4112260" y="2597150"/>
                          <a:ext cx="779780" cy="265430"/>
                        </a:xfrm>
                        <a:prstGeom prst="rect">
                          <a:avLst/>
                        </a:prstGeom>
                        <a:solidFill>
                          <a:srgbClr val="7E7E7E"/>
                        </a:solidFill>
                        <a:ln w="6350">
                          <a:noFill/>
                        </a:ln>
                        <a:effectLst/>
                      </wps:spPr>
                      <wps:txbx>
                        <w:txbxContent>
                          <w:p>
                            <w:pPr>
                              <w:rPr>
                                <w:rFonts w:hint="eastAsia" w:eastAsia="宋体"/>
                                <w:color w:val="FFFFFF"/>
                                <w:lang w:val="en-US" w:eastAsia="zh-CN"/>
                              </w:rPr>
                            </w:pPr>
                            <w:r>
                              <w:rPr>
                                <w:rFonts w:hint="eastAsia"/>
                                <w:color w:val="FFFFFF"/>
                                <w:lang w:val="en-US" w:eastAsia="zh-CN"/>
                              </w:rPr>
                              <w:t>无护栏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35pt;margin-top:108.6pt;height:20.9pt;width:61.4pt;z-index:251666432;mso-width-relative:page;mso-height-relative:page;" fillcolor="#7E7E7E" filled="t" stroked="f" coordsize="21600,21600" o:gfxdata="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FAqrmDaAAAACwEAAA8AAAAAAAAA&#10;AQAgAAAAIgAAAGRycy9kb3ducmV2LnhtbFBLAQIUABQAAAAIAIdO4kBdda4FSAIAAFwEAAAOAAAA&#10;AAAAAAEAIAAAACkBAABkcnMvZTJvRG9jLnhtbFBLBQYAAAAABgAGAFkBAADjBQAAAAA=&#10;">
                <v:path/>
                <v:fill on="t" focussize="0,0"/>
                <v:stroke on="f" weight="0.5pt"/>
                <v:imagedata o:title=""/>
                <o:lock v:ext="edit" aspectratio="f"/>
                <v:textbox>
                  <w:txbxContent>
                    <w:p>
                      <w:pPr>
                        <w:rPr>
                          <w:rFonts w:hint="eastAsia" w:eastAsia="宋体"/>
                          <w:color w:val="FFFFFF"/>
                          <w:lang w:val="en-US" w:eastAsia="zh-CN"/>
                        </w:rPr>
                      </w:pPr>
                      <w:r>
                        <w:rPr>
                          <w:rFonts w:hint="eastAsia"/>
                          <w:color w:val="FFFFFF"/>
                          <w:lang w:val="en-US" w:eastAsia="zh-CN"/>
                        </w:rPr>
                        <w:t>无护栏</w:t>
                      </w:r>
                    </w:p>
                  </w:txbxContent>
                </v:textbox>
              </v:shape>
            </w:pict>
          </mc:Fallback>
        </mc:AlternateContent>
      </w:r>
      <w:r>
        <w:rPr>
          <w:rFonts w:hint="eastAsia" w:ascii="微软雅黑" w:hAnsi="微软雅黑" w:eastAsia="微软雅黑" w:cs="微软雅黑"/>
          <w:i w:val="0"/>
          <w:iCs w:val="0"/>
          <w:caps w:val="0"/>
          <w:color w:val="auto"/>
          <w:spacing w:val="0"/>
          <w:sz w:val="28"/>
          <w:szCs w:val="28"/>
          <w:highlight w:val="none"/>
          <w:shd w:val="clear" w:color="auto" w:fill="FFFFFF"/>
          <w:vertAlign w:val="baseline"/>
        </w:rPr>
        <w:drawing>
          <wp:inline distT="0" distB="0" distL="114300" distR="114300">
            <wp:extent cx="5464810" cy="4402455"/>
            <wp:effectExtent l="0" t="0" r="2540" b="17145"/>
            <wp:docPr id="5"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 descr="IMG_269"/>
                    <pic:cNvPicPr>
                      <a:picLocks noChangeAspect="1"/>
                    </pic:cNvPicPr>
                  </pic:nvPicPr>
                  <pic:blipFill>
                    <a:blip r:embed="rId18"/>
                    <a:stretch>
                      <a:fillRect/>
                    </a:stretch>
                  </pic:blipFill>
                  <pic:spPr>
                    <a:xfrm>
                      <a:off x="0" y="0"/>
                      <a:ext cx="5464810" cy="4402455"/>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3" w:firstLineChars="200"/>
        <w:textAlignment w:val="baseline"/>
        <w:rPr>
          <w:rFonts w:hint="eastAsia" w:ascii="楷体_GB2312" w:hAnsi="楷体_GB2312" w:eastAsia="楷体_GB2312" w:cs="楷体_GB2312"/>
          <w:b/>
          <w:bCs/>
          <w:color w:val="auto"/>
          <w:kern w:val="2"/>
          <w:sz w:val="32"/>
          <w:szCs w:val="32"/>
          <w:highlight w:val="none"/>
          <w:lang w:val="en-US" w:eastAsia="zh-CN" w:bidi="ar-SA"/>
        </w:rPr>
      </w:pPr>
      <w:r>
        <w:rPr>
          <w:rFonts w:hint="eastAsia" w:ascii="楷体_GB2312" w:hAnsi="楷体_GB2312" w:eastAsia="楷体_GB2312" w:cs="楷体_GB2312"/>
          <w:b/>
          <w:bCs/>
          <w:color w:val="auto"/>
          <w:kern w:val="2"/>
          <w:sz w:val="32"/>
          <w:szCs w:val="32"/>
          <w:highlight w:val="none"/>
          <w:lang w:val="en-US" w:eastAsia="zh-CN" w:bidi="ar-SA"/>
        </w:rPr>
        <w:t>（三）特殊区域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1.申请点与参照点之间有台阶、楼梯、电扶梯的，以其坡长进行测量，如下图：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auto"/>
          <w:spacing w:val="0"/>
          <w:sz w:val="28"/>
          <w:szCs w:val="28"/>
          <w:highlight w:val="none"/>
          <w:shd w:val="clear" w:color="auto" w:fill="FFFFFF"/>
          <w:vertAlign w:val="baseline"/>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b/>
          <w:bCs/>
          <w:i w:val="0"/>
          <w:iCs w:val="0"/>
          <w:caps w:val="0"/>
          <w:color w:val="auto"/>
          <w:spacing w:val="0"/>
          <w:sz w:val="28"/>
          <w:szCs w:val="28"/>
          <w:highlight w:val="none"/>
          <w:shd w:val="clear" w:color="auto" w:fill="FFFFFF"/>
          <w:vertAlign w:val="baseline"/>
        </w:rPr>
        <w:t>示例十三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i w:val="0"/>
          <w:iCs w:val="0"/>
          <w:caps w:val="0"/>
          <w:color w:val="auto"/>
          <w:spacing w:val="0"/>
          <w:sz w:val="28"/>
          <w:szCs w:val="28"/>
          <w:highlight w:val="none"/>
          <w:shd w:val="clear" w:color="auto" w:fill="FFFFFF"/>
          <w:vertAlign w:val="baseline"/>
        </w:rPr>
        <w:drawing>
          <wp:inline distT="0" distB="0" distL="114300" distR="114300">
            <wp:extent cx="4762500" cy="2066925"/>
            <wp:effectExtent l="0" t="0" r="0" b="9525"/>
            <wp:docPr id="1"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5" descr="IMG_270"/>
                    <pic:cNvPicPr>
                      <a:picLocks noChangeAspect="1"/>
                    </pic:cNvPicPr>
                  </pic:nvPicPr>
                  <pic:blipFill>
                    <a:blip r:embed="rId19"/>
                    <a:stretch>
                      <a:fillRect/>
                    </a:stretch>
                  </pic:blipFill>
                  <pic:spPr>
                    <a:xfrm>
                      <a:off x="0" y="0"/>
                      <a:ext cx="4762500" cy="2066925"/>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申请点或参照点位于大楼内部不同楼层，通过楼梯、电扶梯或垂直升降电梯最短距离进行测量，楼梯、电扶梯依照本规则第六条第（三）项第1目进行测量；通过垂直升降电梯的，以楼层垂直层高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b/>
          <w:bCs/>
          <w:i w:val="0"/>
          <w:iCs w:val="0"/>
          <w:caps w:val="0"/>
          <w:color w:val="auto"/>
          <w:spacing w:val="0"/>
          <w:sz w:val="28"/>
          <w:szCs w:val="28"/>
          <w:highlight w:val="none"/>
          <w:shd w:val="clear" w:color="auto" w:fill="FFFFFF"/>
          <w:vertAlign w:val="baseline"/>
        </w:rPr>
        <w:t>示例十四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i w:val="0"/>
          <w:iCs w:val="0"/>
          <w:caps w:val="0"/>
          <w:color w:val="auto"/>
          <w:spacing w:val="0"/>
          <w:sz w:val="28"/>
          <w:szCs w:val="28"/>
          <w:highlight w:val="none"/>
          <w:shd w:val="clear" w:color="auto" w:fill="FFFFFF"/>
          <w:vertAlign w:val="baseline"/>
        </w:rPr>
        <w:drawing>
          <wp:inline distT="0" distB="0" distL="114300" distR="114300">
            <wp:extent cx="3171825" cy="3181350"/>
            <wp:effectExtent l="0" t="0" r="9525" b="0"/>
            <wp:docPr id="8"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6" descr="IMG_271"/>
                    <pic:cNvPicPr>
                      <a:picLocks noChangeAspect="1"/>
                    </pic:cNvPicPr>
                  </pic:nvPicPr>
                  <pic:blipFill>
                    <a:blip r:embed="rId20"/>
                    <a:stretch>
                      <a:fillRect/>
                    </a:stretch>
                  </pic:blipFill>
                  <pic:spPr>
                    <a:xfrm>
                      <a:off x="0" y="0"/>
                      <a:ext cx="3171825" cy="3181350"/>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3.封闭式道路中间存在天桥、地下通道的，按通过天桥、地下通道的无障碍最短距离进行测量，如下图：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b/>
          <w:bCs/>
          <w:i w:val="0"/>
          <w:iCs w:val="0"/>
          <w:caps w:val="0"/>
          <w:color w:val="auto"/>
          <w:spacing w:val="0"/>
          <w:sz w:val="28"/>
          <w:szCs w:val="28"/>
          <w:highlight w:val="none"/>
          <w:shd w:val="clear" w:color="auto" w:fill="FFFFFF"/>
          <w:vertAlign w:val="baseline"/>
        </w:rPr>
        <w:t>示例十五</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i w:val="0"/>
          <w:iCs w:val="0"/>
          <w:caps w:val="0"/>
          <w:color w:val="auto"/>
          <w:spacing w:val="0"/>
          <w:sz w:val="28"/>
          <w:szCs w:val="28"/>
          <w:highlight w:val="none"/>
          <w:shd w:val="clear" w:color="auto" w:fill="FFFFFF"/>
          <w:vertAlign w:val="baseline"/>
        </w:rPr>
        <w:drawing>
          <wp:inline distT="0" distB="0" distL="114300" distR="114300">
            <wp:extent cx="4762500" cy="685800"/>
            <wp:effectExtent l="0" t="0" r="0" b="0"/>
            <wp:docPr id="3"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7" descr="IMG_272"/>
                    <pic:cNvPicPr>
                      <a:picLocks noChangeAspect="1"/>
                    </pic:cNvPicPr>
                  </pic:nvPicPr>
                  <pic:blipFill>
                    <a:blip r:embed="rId21"/>
                    <a:stretch>
                      <a:fillRect/>
                    </a:stretch>
                  </pic:blipFill>
                  <pic:spPr>
                    <a:xfrm>
                      <a:off x="0" y="0"/>
                      <a:ext cx="4762500" cy="68580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b/>
          <w:bCs/>
          <w:i w:val="0"/>
          <w:iCs w:val="0"/>
          <w:caps w:val="0"/>
          <w:color w:val="auto"/>
          <w:spacing w:val="0"/>
          <w:sz w:val="28"/>
          <w:szCs w:val="28"/>
          <w:highlight w:val="none"/>
          <w:shd w:val="clear" w:color="auto" w:fill="FFFFFF"/>
          <w:vertAlign w:val="baseline"/>
        </w:rPr>
        <w:t>示例十六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auto"/>
          <w:spacing w:val="0"/>
          <w:sz w:val="28"/>
          <w:szCs w:val="28"/>
          <w:highlight w:val="none"/>
        </w:rPr>
      </w:pPr>
      <w:r>
        <w:rPr>
          <w:rFonts w:hint="eastAsia" w:ascii="微软雅黑" w:hAnsi="微软雅黑" w:eastAsia="微软雅黑" w:cs="微软雅黑"/>
          <w:i w:val="0"/>
          <w:iCs w:val="0"/>
          <w:caps w:val="0"/>
          <w:color w:val="auto"/>
          <w:spacing w:val="0"/>
          <w:sz w:val="28"/>
          <w:szCs w:val="28"/>
          <w:highlight w:val="none"/>
          <w:shd w:val="clear" w:color="auto" w:fill="FFFFFF"/>
          <w:vertAlign w:val="baseline"/>
        </w:rPr>
        <w:drawing>
          <wp:inline distT="0" distB="0" distL="114300" distR="114300">
            <wp:extent cx="4762500" cy="1066800"/>
            <wp:effectExtent l="0" t="0" r="0" b="0"/>
            <wp:docPr id="7"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8" descr="IMG_273"/>
                    <pic:cNvPicPr>
                      <a:picLocks noChangeAspect="1"/>
                    </pic:cNvPicPr>
                  </pic:nvPicPr>
                  <pic:blipFill>
                    <a:blip r:embed="rId22"/>
                    <a:stretch>
                      <a:fillRect/>
                    </a:stretch>
                  </pic:blipFill>
                  <pic:spPr>
                    <a:xfrm>
                      <a:off x="0" y="0"/>
                      <a:ext cx="4762500" cy="106680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right="0"/>
        <w:jc w:val="center"/>
        <w:textAlignment w:val="baseline"/>
        <w:rPr>
          <w:rFonts w:hint="eastAsia" w:ascii="仿宋_GB2312" w:hAnsi="仿宋_GB2312" w:eastAsia="仿宋_GB2312" w:cs="仿宋_GB2312"/>
          <w:b/>
          <w:bCs/>
          <w:color w:val="auto"/>
          <w:kern w:val="2"/>
          <w:sz w:val="32"/>
          <w:szCs w:val="32"/>
          <w:highlight w:val="none"/>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right="0"/>
        <w:jc w:val="center"/>
        <w:textAlignment w:val="baseline"/>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第三章 附则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黑体" w:hAnsi="黑体" w:eastAsia="黑体" w:cs="黑体"/>
          <w:color w:val="auto"/>
          <w:sz w:val="32"/>
          <w:szCs w:val="32"/>
          <w:highlight w:val="none"/>
        </w:rPr>
        <w:t>第七条</w:t>
      </w: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b w:val="0"/>
          <w:bCs w:val="0"/>
          <w:color w:val="auto"/>
          <w:kern w:val="2"/>
          <w:sz w:val="32"/>
          <w:szCs w:val="32"/>
          <w:highlight w:val="none"/>
          <w:lang w:val="en-US" w:eastAsia="zh-CN" w:bidi="ar-SA"/>
        </w:rPr>
        <w:t>测量结果在正负0.5米或0.5平方米范围以内，申请人或利害关系人提出复核的，由测量单位负责人参与进行二次勘验，并全程视音频记录。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第八条</w:t>
      </w:r>
      <w:r>
        <w:rPr>
          <w:rFonts w:hint="eastAsia" w:ascii="仿宋_GB2312" w:hAnsi="仿宋_GB2312" w:eastAsia="仿宋_GB2312" w:cs="仿宋_GB2312"/>
          <w:b w:val="0"/>
          <w:bCs w:val="0"/>
          <w:color w:val="auto"/>
          <w:kern w:val="2"/>
          <w:sz w:val="32"/>
          <w:szCs w:val="32"/>
          <w:highlight w:val="none"/>
          <w:lang w:val="en-US" w:eastAsia="zh-CN" w:bidi="ar-SA"/>
        </w:rPr>
        <w:t> 本规则所称参照点是指申请人周边已经设立的最近烟草制品零售点或中小学校、幼儿园。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第九条</w:t>
      </w:r>
      <w:r>
        <w:rPr>
          <w:rFonts w:hint="eastAsia" w:ascii="仿宋_GB2312" w:hAnsi="仿宋_GB2312" w:eastAsia="仿宋_GB2312" w:cs="仿宋_GB2312"/>
          <w:b w:val="0"/>
          <w:bCs w:val="0"/>
          <w:color w:val="auto"/>
          <w:kern w:val="2"/>
          <w:sz w:val="32"/>
          <w:szCs w:val="32"/>
          <w:highlight w:val="none"/>
          <w:lang w:val="en-US" w:eastAsia="zh-CN" w:bidi="ar-SA"/>
        </w:rPr>
        <w:t> 本规则所称障碍物，是指政府相关职能部门依法设置的固定隔离带以及各类河流、湖泊、建筑物等物理屏障。停车线以及临时性设置相关设施、小区消防门、道路阶段性施工或放置物品影响测量等情况均不属于本规定所称的障碍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第十条</w:t>
      </w:r>
      <w:r>
        <w:rPr>
          <w:rFonts w:hint="eastAsia" w:ascii="仿宋_GB2312" w:hAnsi="仿宋_GB2312" w:eastAsia="仿宋_GB2312" w:cs="仿宋_GB2312"/>
          <w:b w:val="0"/>
          <w:bCs w:val="0"/>
          <w:color w:val="auto"/>
          <w:kern w:val="2"/>
          <w:sz w:val="32"/>
          <w:szCs w:val="32"/>
          <w:highlight w:val="none"/>
          <w:lang w:val="en-US" w:eastAsia="zh-CN" w:bidi="ar-SA"/>
        </w:rPr>
        <w:t> 本规则所称店门，是指申请点或参照点中所有通道口，包括但不限于正常通勤门、消防门、货运进出口、餐厨进出口、员工进出口等。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第十一条</w:t>
      </w:r>
      <w:r>
        <w:rPr>
          <w:rFonts w:hint="eastAsia" w:ascii="仿宋_GB2312" w:hAnsi="仿宋_GB2312" w:eastAsia="仿宋_GB2312" w:cs="仿宋_GB2312"/>
          <w:b w:val="0"/>
          <w:bCs w:val="0"/>
          <w:color w:val="auto"/>
          <w:kern w:val="2"/>
          <w:sz w:val="32"/>
          <w:szCs w:val="32"/>
          <w:highlight w:val="none"/>
          <w:lang w:val="en-US" w:eastAsia="zh-CN" w:bidi="ar-SA"/>
        </w:rPr>
        <w:t> 本规则所称中小学、幼儿园进出通勤口是指供学生、幼儿正常出入的通道口。遇特殊情况难以认定进出通勤口的，以实地调查取证为准。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第十二条</w:t>
      </w:r>
      <w:r>
        <w:rPr>
          <w:rFonts w:hint="eastAsia" w:ascii="仿宋_GB2312" w:hAnsi="仿宋_GB2312" w:eastAsia="仿宋_GB2312" w:cs="仿宋_GB2312"/>
          <w:b w:val="0"/>
          <w:bCs w:val="0"/>
          <w:color w:val="auto"/>
          <w:kern w:val="2"/>
          <w:sz w:val="32"/>
          <w:szCs w:val="32"/>
          <w:highlight w:val="none"/>
          <w:lang w:val="en-US" w:eastAsia="zh-CN" w:bidi="ar-SA"/>
        </w:rPr>
        <w:t> 本规则未明确测量方法的特殊情形，按照无障碍最短距离测量原则由疏附县烟草专卖局负责解释。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 xml:space="preserve">第十三条 </w:t>
      </w:r>
      <w:r>
        <w:rPr>
          <w:rFonts w:hint="eastAsia" w:ascii="仿宋_GB2312" w:hAnsi="仿宋_GB2312" w:eastAsia="仿宋_GB2312" w:cs="仿宋_GB2312"/>
          <w:b w:val="0"/>
          <w:bCs w:val="0"/>
          <w:color w:val="auto"/>
          <w:kern w:val="2"/>
          <w:sz w:val="32"/>
          <w:szCs w:val="32"/>
          <w:highlight w:val="none"/>
          <w:lang w:val="en-US" w:eastAsia="zh-CN" w:bidi="ar-SA"/>
        </w:rPr>
        <w:t>本规则由疏附县烟草专卖局负责解释。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 xml:space="preserve">第十四条 </w:t>
      </w:r>
      <w:r>
        <w:rPr>
          <w:rFonts w:hint="eastAsia" w:ascii="仿宋_GB2312" w:hAnsi="仿宋_GB2312" w:eastAsia="仿宋_GB2312" w:cs="仿宋_GB2312"/>
          <w:b w:val="0"/>
          <w:bCs w:val="0"/>
          <w:color w:val="auto"/>
          <w:kern w:val="2"/>
          <w:sz w:val="32"/>
          <w:szCs w:val="32"/>
          <w:highlight w:val="none"/>
          <w:lang w:val="en-US" w:eastAsia="zh-CN" w:bidi="ar-SA"/>
        </w:rPr>
        <w:t>本规则自2026年9月1日起施行。</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b w:val="0"/>
          <w:color w:val="auto"/>
          <w:sz w:val="24"/>
          <w:szCs w:val="24"/>
          <w:u w:val="none"/>
          <w:lang w:eastAsia="zh-CN"/>
        </w:rPr>
      </w:pPr>
    </w:p>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东文宋体">
    <w:altName w:val="宋体"/>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zSVju0AAAAAUBAAAPAAAA&#10;AAAAAAEAIAAAACIAAABkcnMvZG93bnJldi54bWxQSwECFAAUAAAACACHTuJAEMMvQB0CAAAjBAAA&#10;DgAAAAAAAAABACAAAAAfAQAAZHJzL2Uyb0RvYy54bWxQSwUGAAAAAAYABgBZAQAArgUAAAAA&#10;">
              <v:path/>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A400E"/>
    <w:multiLevelType w:val="singleLevel"/>
    <w:tmpl w:val="FFFA400E"/>
    <w:lvl w:ilvl="0" w:tentative="0">
      <w:start w:val="1"/>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4E6C59"/>
    <w:rsid w:val="3D4E6C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8">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unhideWhenUsed/>
    <w:qFormat/>
    <w:uiPriority w:val="0"/>
    <w:pPr>
      <w:spacing w:before="100" w:beforeAutospacing="1" w:after="100" w:afterAutospacing="1"/>
      <w:jc w:val="left"/>
    </w:pPr>
    <w:rPr>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2026-07-31T09:54:00Z</dcterms:created>
  <dc:creator>lenovo</dc:creator>
  <cp:lastModifiedBy>lenovo</cp:lastModifiedBy>
  <dcterms:modified xsi:type="dcterms:W3CDTF">2026-07-31T09:54:41Z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