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0A1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0"/>
          <w:szCs w:val="40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kern w:val="0"/>
          <w:sz w:val="40"/>
          <w:szCs w:val="40"/>
          <w:lang w:val="en-US" w:eastAsia="zh-CN" w:bidi="ar"/>
        </w:rPr>
        <w:t>喀什地区</w:t>
      </w:r>
      <w:r>
        <w:rPr>
          <w:rFonts w:hint="default" w:ascii="Times New Roman" w:hAnsi="Times New Roman" w:eastAsia="方正小标宋_GBK" w:cs="Times New Roman"/>
          <w:kern w:val="0"/>
          <w:sz w:val="40"/>
          <w:szCs w:val="40"/>
          <w:lang w:val="en-US" w:eastAsia="zh-CN" w:bidi="ar"/>
        </w:rPr>
        <w:t>城镇</w:t>
      </w:r>
      <w:r>
        <w:rPr>
          <w:rFonts w:hint="default" w:ascii="Times New Roman" w:hAnsi="Times New Roman" w:eastAsia="方正小标宋_GBK" w:cs="Times New Roman"/>
          <w:kern w:val="0"/>
          <w:sz w:val="40"/>
          <w:szCs w:val="40"/>
          <w:lang w:val="en-US" w:eastAsia="zh-CN" w:bidi="ar"/>
        </w:rPr>
        <w:t>危旧</w:t>
      </w:r>
      <w:r>
        <w:rPr>
          <w:rFonts w:hint="default" w:ascii="Times New Roman" w:hAnsi="Times New Roman" w:eastAsia="方正小标宋_GBK" w:cs="Times New Roman"/>
          <w:kern w:val="0"/>
          <w:sz w:val="40"/>
          <w:szCs w:val="40"/>
          <w:lang w:val="en-US" w:eastAsia="zh-CN" w:bidi="ar"/>
        </w:rPr>
        <w:t>房</w:t>
      </w:r>
      <w:r>
        <w:rPr>
          <w:rFonts w:hint="default" w:ascii="Times New Roman" w:hAnsi="Times New Roman" w:eastAsia="方正小标宋_GBK" w:cs="Times New Roman"/>
          <w:kern w:val="0"/>
          <w:sz w:val="40"/>
          <w:szCs w:val="40"/>
          <w:lang w:val="en-US" w:eastAsia="zh-CN" w:bidi="ar"/>
        </w:rPr>
        <w:t>改造实施方案</w:t>
      </w:r>
      <w:r>
        <w:rPr>
          <w:rFonts w:hint="default" w:ascii="Times New Roman" w:hAnsi="Times New Roman" w:eastAsia="方正小标宋_GBK" w:cs="Times New Roman"/>
          <w:kern w:val="0"/>
          <w:sz w:val="40"/>
          <w:szCs w:val="40"/>
          <w:lang w:val="en-US" w:eastAsia="zh-CN" w:bidi="ar"/>
        </w:rPr>
        <w:t>（试行）</w:t>
      </w:r>
    </w:p>
    <w:p w14:paraId="64D5C0B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both"/>
        <w:textAlignment w:val="auto"/>
        <w:rPr>
          <w:rFonts w:hint="default" w:ascii="Times New Roman" w:hAnsi="Times New Roman" w:cs="Times New Roman"/>
        </w:rPr>
      </w:pPr>
    </w:p>
    <w:p w14:paraId="13F2D0D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为深入贯彻中央、自治区党委和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地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委城市工作会议精神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及地委委员会部署安排，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切实筑牢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城镇房屋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安全防线，全力保障各族人民群众生命财产安全，结合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喀什地区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实际，制定本方案。</w:t>
      </w:r>
    </w:p>
    <w:p w14:paraId="304BCC2B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0"/>
        <w:jc w:val="both"/>
        <w:textAlignment w:val="auto"/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一、总体要求</w:t>
      </w:r>
    </w:p>
    <w:p w14:paraId="7CBADFA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坚持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以习近平新时代中国特色社会主义思想为指导，深入贯彻落实习近平总书记关于防灾减灾救灾、住房安全保障的重要指示批示精神，立足喀什地区地震多发、老旧房屋抗震薄弱的地域特点，严格落实属地管理责任，依据《国务院关于印发〈城市更新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十五五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规划〉的通知》《中共中央办公厅 国务院办公厅关于持续推进城市更新行动的意见》《支持城市更新的规划与土地政策指引》（自然资发〔2023〕47号）等国家相关政策规定规范实施。各县市人民政府切实履行属地主体责任，依托城镇住宅抗震排查评估、自建房安全隐患排查整治成果，精准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掌握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房屋安全底数，统筹推进辖区危旧房屋改造各项工作；按照轻重缓急原则，分期分批、稳妥有序推进改造实施；严格落实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危房不住人、人不进危房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工作要求，对已排查鉴定的危险房屋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及时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落实管控措施，坚决杜绝危房住人、违规使用等问题。</w:t>
      </w:r>
    </w:p>
    <w:p w14:paraId="33C457B0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、适用范围</w:t>
      </w:r>
    </w:p>
    <w:p w14:paraId="6BEECAE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本方案适用于城镇国有化土地上及城中村（规划区内）权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属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合法的房屋建筑，经具备资质的第三方专业机构鉴定为C、D级危险房屋，以及存在抗震安全隐患的</w:t>
      </w:r>
      <w:r>
        <w:rPr>
          <w:rStyle w:val="10"/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城镇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房屋（含住宅、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党政机关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办公用房、公共建筑等）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纳入危旧房改造范围的，应确保土地、房屋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权属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合法、无争议，原则上已办理不动产登记。属于不可移动文物、历史建筑以及传统风貌建筑不纳入改造范围，按照相关规定执行。</w:t>
      </w:r>
    </w:p>
    <w:p w14:paraId="78417F00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、改造方式</w:t>
      </w:r>
    </w:p>
    <w:p w14:paraId="26BC4792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住宅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建筑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结合房屋建设现状、片区条件、群众意愿及规划要求，采取成片改造、原址改建、加固修缮、征收重建四种模式推进。</w:t>
      </w:r>
    </w:p>
    <w:p w14:paraId="46F3227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成片老旧小区原址改造。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针对建设年代久远、抗震不达标、隐患集中连片的老旧小区。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一是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采取市场化共建模式实施改造的，由房地产开发企业作为筹资主体，全额承担开发建设成本，依法缴纳相关税费，通过原业主回购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（按照原房屋不动产登记面积每平方米不高于建设成本进行回购；超出原房屋不动产登记面积的部分，可根据项目协议规定按市场优惠价购买）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商业出售、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后期物业运营等多元收益渠道平衡成本、获取合理收益。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房屋所有权人可依法作为原拆原建改造的实施主体，也可成立自主更新委员会，或授权业主委员会，委托具备独立法人资格、拥有房地产开发建设管理经验的企业统筹实施改造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。改造资金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由全体房屋所有权人（业主）自行筹集。</w:t>
      </w:r>
    </w:p>
    <w:p w14:paraId="31C75C7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2.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原址拆除重建改造。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针对城镇零散分布的自建房、老旧私房，在符合国土空间规划的前提下，原则上按照</w:t>
      </w: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两原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原则</w:t>
      </w: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（原址、原面积）实施拆除重建，严禁超面积、超高度、超范围建设。改造资金由房屋产权人（使用人）自行筹措，相关部门全程提供技术指导。</w:t>
      </w:r>
    </w:p>
    <w:p w14:paraId="1A184DB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3.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加固修缮改造。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针对鉴定为C级、结构整体稳定、仅局部构件受损、抗震性能轻微不达标、具备加固价值的城镇住宅，通过增设抗震构造柱、加固墙体等措施，提升房屋整体抗震能力。改造所需资金由房屋产权人（使用人）自行筹措，相关行业主管部门负责提供专业技术指导。</w:t>
      </w:r>
    </w:p>
    <w:p w14:paraId="289260E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lang w:val="en-US" w:eastAsia="zh-CN" w:bidi="ar"/>
        </w:rPr>
        <w:t>4.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lang w:val="en-US" w:eastAsia="zh-CN" w:bidi="ar"/>
        </w:rPr>
        <w:t>统一拆迁安置改造。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已纳入城市拆迁规划范围内的各类危旧住宅，结合城市危旧房（棚户区）、城中村、老旧街区改造等城市更新工程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积极对接上级政策，主动申报专项改造资金，为项目落地实施提供资金支撑。通过统一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征收安置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，结合收购存量商品房拓宽安置渠道，集中连片建设的方式，统筹推进片区房屋更新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改造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5468AF06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政府机关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办公用房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由地区机关事务管理局牵头统筹，各县市机关事务管理部门配合，对辖区党政机关、事业单位办公用房存在抗震隐患、结构隐患的办公用房，逐一制定专项改造方案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，对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C级办公用房实施抗震加固、局部修缮；D级办公用房及抗震不达标、老化失修无改造价值的，统筹调配办公资源，实施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改造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或异地置换。</w:t>
      </w:r>
    </w:p>
    <w:p w14:paraId="0D9F779A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除政府机关办公用房的其他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公共建筑</w:t>
      </w:r>
      <w:r>
        <w:rPr>
          <w:rFonts w:hint="default" w:ascii="Times New Roman" w:hAnsi="Times New Roman" w:eastAsia="方正楷体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涵盖学校、医院、商超、农贸市场、文体场馆、养老服务设施等各类公共建筑，严格按照鉴定结果分类处置。鉴定为C级局部危险、抗震轻微不达标的公共建筑，由产权单位（使用人）牵头，委托专业机构制定专项加固改造方案，完成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改造加固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。鉴定为D级整体危险、抗震严重不达标或无加固价值的公共建筑，立即停止使用、封闭管控，限期拆除。</w:t>
      </w:r>
    </w:p>
    <w:p w14:paraId="6A53DEDE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、实施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计划及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步骤</w:t>
      </w:r>
    </w:p>
    <w:p w14:paraId="6103251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以保障群众住房安全、彻底消除房屋安全隐患为核心任务，到2030年，利用五年时间稳步完成辖区城镇危旧房改造工作。</w:t>
      </w:r>
    </w:p>
    <w:p w14:paraId="0B1E9E51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3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（一）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落实管控措施。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各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县市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组织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房屋所有权人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按照</w:t>
      </w: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先落实安全措施、后实施治理改造</w:t>
      </w: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的原则，依法限期搬离，腾空停用危险房屋，及时对危险房屋采取治理防护措施，避免发生人员伤亡事故。</w:t>
      </w:r>
    </w:p>
    <w:p w14:paraId="17A2B947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3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明确改造计划。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各县市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应当在充分考虑改造项目实际和业主需求的基础上，合理编制本辖区危旧住房改造计划，明确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改造项目的时序安排、改造方式等。</w:t>
      </w:r>
    </w:p>
    <w:p w14:paraId="72977BAE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3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（三）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确定实施主体。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对于单一产权人的改造项目，由房屋业主作为实施主体，也可委托具有独立法人资格的企业作为实施主体；对于多个产权人的改造项目，在征求全体业主同意的基础上，由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县市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人民政府组织属地住建部门、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乡镇（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街道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、全体业主就实施主体相关事宜签署改造协议；对于产权人不明确的改造项目，由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县市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人民政府依法依规确定实施主体。</w:t>
      </w:r>
    </w:p>
    <w:p w14:paraId="169FE3A7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3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（四）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制定改造方案。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实施主体依照有关法律法规及相关规定确定设计单位，出具项目设计方案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方案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应经全体业主表决同意，并在房屋所在地社区或小区内进行公示。</w:t>
      </w:r>
    </w:p>
    <w:p w14:paraId="6F8F5A2C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3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（五）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明确规划条件。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实施主体持改造项目设计方案向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县市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自然资源部门提出申请，核定改造项目规划条件。经自然资源部门允许取得土地、规划手续，实施主体可按照改造方案组织实施。</w:t>
      </w:r>
    </w:p>
    <w:p w14:paraId="6A4E506C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3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strike/>
          <w:dstrike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（六）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筹措改造资金。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按照</w:t>
      </w: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谁受益、谁出资</w:t>
      </w:r>
      <w:r>
        <w:rPr>
          <w:rFonts w:hint="eastAsia" w:ascii="Times New Roman" w:hAnsi="Times New Roman" w:eastAsia="方正仿宋_GBK" w:cs="Times New Roman"/>
          <w:snapToGrid/>
          <w:color w:val="00000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的原则，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各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县市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协调组织业主自筹危险房屋改造资金，根据改造方案确定业主出资额。</w:t>
      </w:r>
    </w:p>
    <w:p w14:paraId="26864911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3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strike/>
          <w:dstrike w:val="0"/>
          <w:color w:val="000000"/>
          <w:spacing w:val="0"/>
          <w:sz w:val="21"/>
          <w:szCs w:val="21"/>
          <w:u w:val="none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（七）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 规范实施改造。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实施主体依照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有关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法律法规及相关规定选定建筑施工企业、监理企业，并按照基本建设程序办理建设工程规划许可、建筑工程施工许可等相关手续。</w:t>
      </w:r>
    </w:p>
    <w:p w14:paraId="734BA066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1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（八）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竣工验收登记。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改造工程完工后，实施主体组织竣工验收并同步向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县市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住建部门申请竣工验收监督、备案，并向自然资源部门申请办理不动产登记。</w:t>
      </w:r>
    </w:p>
    <w:p w14:paraId="47044DDE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、主要支持政策</w:t>
      </w:r>
    </w:p>
    <w:p w14:paraId="3D9881EE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3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trike w:val="0"/>
          <w:dstrike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一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）资金支持政策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C、D级危险房屋改造可由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各县市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申报年度危旧房改造计划，并申请中央财政城镇保障性安居工程补助资金（城市危旧房改造补助资金）。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trike w:val="0"/>
          <w:dstrike w:val="0"/>
          <w:color w:val="000000"/>
          <w:spacing w:val="0"/>
          <w:sz w:val="32"/>
          <w:szCs w:val="32"/>
          <w:shd w:val="clear" w:fill="FFFFFF"/>
        </w:rPr>
        <w:t>符合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trike w:val="0"/>
          <w:dstrike w:val="0"/>
          <w:color w:val="000000"/>
          <w:spacing w:val="0"/>
          <w:sz w:val="32"/>
          <w:szCs w:val="32"/>
          <w:shd w:val="clear" w:fill="FFFFFF"/>
          <w:lang w:val="en-US" w:eastAsia="zh-CN"/>
        </w:rPr>
        <w:t>地区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trike w:val="0"/>
          <w:dstrike w:val="0"/>
          <w:color w:val="000000"/>
          <w:spacing w:val="0"/>
          <w:sz w:val="32"/>
          <w:szCs w:val="32"/>
          <w:shd w:val="clear" w:fill="FFFFFF"/>
        </w:rPr>
        <w:t>城市更新、老旧小区改造工作要求的，可按规定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trike w:val="0"/>
          <w:dstrike w:val="0"/>
          <w:color w:val="000000"/>
          <w:spacing w:val="0"/>
          <w:sz w:val="32"/>
          <w:szCs w:val="32"/>
          <w:shd w:val="clear" w:fill="FFFFFF"/>
          <w:lang w:val="en-US" w:eastAsia="zh-CN"/>
        </w:rPr>
        <w:t>积极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trike w:val="0"/>
          <w:dstrike w:val="0"/>
          <w:color w:val="000000"/>
          <w:spacing w:val="0"/>
          <w:sz w:val="32"/>
          <w:szCs w:val="32"/>
          <w:shd w:val="clear" w:fill="FFFFFF"/>
        </w:rPr>
        <w:t>申请相应专项资金。</w:t>
      </w:r>
    </w:p>
    <w:p w14:paraId="1F704B95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3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trike/>
          <w:dstrike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二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）金融支持政策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鼓励金融机构创新产品与服务模式，结合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改造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特点，在依法合规的前提下，探索为自主更新提供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普惠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、长周期贷款服务，针对性优化金融支持方案，在现有金融产品的基础上进行优化，在投融资额度、利率等方面给予差异化支持。</w:t>
      </w:r>
    </w:p>
    <w:p w14:paraId="797E902C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3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）过渡安置政策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对于无其他住房且符合保障性住房申请条件的群众，可向属地住房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城乡建设部门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申请公租房、保障性租赁住房作为临时过渡用房，发生的过渡安置费用由申请人自行承担。</w:t>
      </w:r>
    </w:p>
    <w:p w14:paraId="6F0DFB6E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right="0" w:firstLine="641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（四）其他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支持政策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针对已缴纳过住宅专项维修资金的老旧小区，在原拆原建改造后，可将原有住宅专项维修资金余额结转至新设立的维修资金专户；改造项目不影响原有业主子女学籍，原学区入学资格在改造期间保留。</w:t>
      </w:r>
    </w:p>
    <w:p w14:paraId="7A7C7EEB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、职责分工</w:t>
      </w:r>
    </w:p>
    <w:p w14:paraId="6496B67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1.</w:t>
      </w:r>
      <w:r>
        <w:rPr>
          <w:rStyle w:val="10"/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县市人民政府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：落实属地总责，统筹辖区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城镇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危旧房屋改造全面工作，负责方案落地、任务分解、资金统筹、群众动员、施工监管、矛盾化解，确保改造工作有序推进、按时完成。</w:t>
      </w:r>
    </w:p>
    <w:p w14:paraId="7857A7A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2.</w:t>
      </w:r>
      <w:r>
        <w:rPr>
          <w:rStyle w:val="10"/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住建部门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：负责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改造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工程质量安全监管、竣工验收、技术指导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工作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，规范改造流程。</w:t>
      </w:r>
    </w:p>
    <w:p w14:paraId="444A7CE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3.</w:t>
      </w:r>
      <w:r>
        <w:rPr>
          <w:rStyle w:val="10"/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发改部门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：负责改造项目立项审批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，配合行业部门做好项目监管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。</w:t>
      </w:r>
    </w:p>
    <w:p w14:paraId="452734C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4.</w:t>
      </w:r>
      <w:r>
        <w:rPr>
          <w:rStyle w:val="10"/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财政部门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：负责统筹落实本级改造配套资金、专项补助资金，规范资金拨付、使用、监管，确保资金专款专用。</w:t>
      </w:r>
    </w:p>
    <w:p w14:paraId="546D3BE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5.</w:t>
      </w:r>
      <w:r>
        <w:rPr>
          <w:rStyle w:val="10"/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自然资源部门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：负责改造项目规划审核、用地保障、风貌管控，指导原址改建、片区改造合规落地，保障改造项目符合国土空间规划。</w:t>
      </w:r>
    </w:p>
    <w:p w14:paraId="653202D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6.</w:t>
      </w:r>
      <w:r>
        <w:rPr>
          <w:rStyle w:val="10"/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机关事务管理部门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：负责统筹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党政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机关存在安全隐患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的危险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办公用房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的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改造实施工作。</w:t>
      </w:r>
    </w:p>
    <w:p w14:paraId="17791E4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7.</w:t>
      </w:r>
      <w:r>
        <w:rPr>
          <w:rStyle w:val="10"/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乡镇（街道）、社区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：负责辖区房屋排查摸底、群众宣传动员、改造现场协调、危房日常巡查、隐患动态管控。</w:t>
      </w:r>
    </w:p>
    <w:p w14:paraId="120C50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"/>
        </w:rPr>
        <w:t>8.</w:t>
      </w:r>
      <w:r>
        <w:rPr>
          <w:rStyle w:val="10"/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房屋产权所有人（单位）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：履行主体责任，主动配合排查鉴定、改造施工，承担改造自筹资金，落实房屋日常安全管护。</w:t>
      </w:r>
    </w:p>
    <w:p w14:paraId="13F208F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其他部门按照各自职责，做好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本行业领域城镇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危旧房改造工作。</w:t>
      </w:r>
    </w:p>
    <w:p w14:paraId="61C33F72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</w:rPr>
        <w:t>、工作要求</w:t>
      </w:r>
    </w:p>
    <w:p w14:paraId="647BB0E8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（一）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提高政治站位。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各县市、各部门要充分认识房屋抗震危旧房改造工作的重要性，将其作为防范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 w:bidi="ar"/>
        </w:rPr>
        <w:t>安全风险的重点民生工程，压实工作责任，全力推进各项工作落地见效。</w:t>
      </w:r>
    </w:p>
    <w:p w14:paraId="2EDDCAB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强化协同联动。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各行业部门要主动履职、密切配合，打破部门壁垒，形成统筹协调、齐抓共管的工作格局，确保改造工作顺畅推进。</w:t>
      </w:r>
    </w:p>
    <w:p w14:paraId="0AC4B9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（三）</w:t>
      </w:r>
      <w:r>
        <w:rPr>
          <w:rFonts w:hint="default" w:ascii="Times New Roman" w:hAnsi="Times New Roman" w:eastAsia="方正楷体_GBK" w:cs="Times New Roman"/>
          <w:b/>
          <w:bCs/>
          <w:kern w:val="0"/>
          <w:sz w:val="32"/>
          <w:szCs w:val="32"/>
          <w:lang w:val="en-US" w:eastAsia="zh-CN" w:bidi="ar"/>
        </w:rPr>
        <w:t>严守工作纪律。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严格规范改造流程、资金使用、验收标准，坚持公平、公正、公开原则，杜绝违规操作、优亲厚友、虚报冒领等问题，确保改造工作阳光透明、合规有序。</w:t>
      </w:r>
    </w:p>
    <w:p w14:paraId="4378C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本方案自印发之日起施行，有效期为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年。方案施行期间如遇上级政策调整，从其规定并及时修订。</w:t>
      </w:r>
    </w:p>
    <w:p w14:paraId="05CC654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F04BD2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805C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B60525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BAF90A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48EB54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D8ED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Chars="0"/>
        <w:textAlignment w:val="auto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984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154784FF-17CA-4C12-8A09-1B137E55445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D39A4C6-5091-4D2F-97AD-53A0A53FEEA3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C6374E2-2B6A-4FD0-A53E-AC424769B58B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14FAA914-3398-4524-9688-23FDA18B9E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BC5A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9A1EC3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9A1EC3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32975"/>
    <w:rsid w:val="01BB4F9E"/>
    <w:rsid w:val="09BA4FD4"/>
    <w:rsid w:val="0D905F5B"/>
    <w:rsid w:val="16C25E49"/>
    <w:rsid w:val="18C63235"/>
    <w:rsid w:val="20970C07"/>
    <w:rsid w:val="3FC25CDD"/>
    <w:rsid w:val="500D4CCA"/>
    <w:rsid w:val="7093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1"/>
    <w:qFormat/>
    <w:uiPriority w:val="0"/>
    <w:pPr>
      <w:spacing w:line="520" w:lineRule="exact"/>
      <w:ind w:firstLine="658"/>
    </w:pPr>
    <w:rPr>
      <w:rFonts w:ascii="楷体_GB2312" w:hAnsi="楷体_GB2312" w:eastAsia="楷体_GB2312"/>
      <w:b/>
      <w:color w:val="000000"/>
      <w:spacing w:val="4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4"/>
    <w:next w:val="4"/>
    <w:qFormat/>
    <w:uiPriority w:val="0"/>
    <w:pPr>
      <w:ind w:firstLine="420" w:firstLineChars="200"/>
    </w:pPr>
    <w:rPr>
      <w:rFonts w:ascii="Times New Roman" w:hAnsi="Times New Roman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1e3311b5-24f6-44d4-a360-2f13eaa872e0</errorID>
      <errorWord>老旧街区改造</errorWord>
      <group>L1_Political</group>
      <groupName>政治性问题</groupName>
      <ability>L2_Keyword</ability>
      <abilityName>固定表述</abilityName>
      <candidateList>
        <item>老旧小区改造</item>
      </candidateList>
      <explain>词汇“老旧小区改造”在特定场景下为固定表述形式，请确认此处的“老旧街区改造”是否存在不当。</explain>
      <paraID>289260E4</paraID>
      <start>48</start>
      <end>54</end>
      <status>ignored</status>
      <modifiedWord/>
      <trackRevisions>false</trackRevisions>
    </reviewItem>
    <reviewItem>
      <errorID>d61ab612-b85f-41af-9059-3d27e2e4e03b</errorID>
      <errorWord>县市人民政府</errorWord>
      <group>L1_Political</group>
      <groupName>政治性问题</groupName>
      <ability>L2_Keyword</ability>
      <abilityName>固定表述</abilityName>
      <candidateList>
        <item>县级人民政府</item>
      </candidateList>
      <explain>词汇“县级人民政府”在特定场景下为固定表述形式，请确认此处的“县市人民政府”是否存在不当。</explain>
      <paraID>72977BAE</paraID>
      <start>85</start>
      <end>91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25f1d6-5ea5-48e1-905b-18876c3fb9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3546</Words>
  <Characters>3565</Characters>
  <Lines>0</Lines>
  <Paragraphs>0</Paragraphs>
  <TotalTime>7</TotalTime>
  <ScaleCrop>false</ScaleCrop>
  <LinksUpToDate>false</LinksUpToDate>
  <CharactersWithSpaces>3568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2026-06-30T09:58:00Z</dcterms:created>
  <dc:creator>天玉</dc:creator>
  <cp:lastModifiedBy>天玉</cp:lastModifiedBy>
  <cp:lastPrinted>2026-07-29T03:43:52Z</cp:lastPrinted>
  <dcterms:modified xsi:type="dcterms:W3CDTF">2026-07-29T04:47:10Z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7AD0F1CE5EE84D66BF96F93D4103C931_11</vt:lpwstr>
  </property>
  <property fmtid="{D5CDD505-2E9C-101B-9397-08002B2CF9AE}" pid="4" name="KSOTemplateDocerSaveRecord">
    <vt:lpwstr>eyJoZGlkIjoiYjMxYTU3NmQxMWVhOWIxMjgyNTUzMWVjNmJjMTI0OGUiLCJ1c2VySWQiOiI0MTk5NjgzNzYifQ==</vt:lpwstr>
  </property>
</Properties>
</file>