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12" w:lineRule="auto"/>
        <w:rPr>
          <w:rFonts w:hint="eastAsia" w:eastAsia="仿宋"/>
          <w:b w:val="0"/>
          <w:bCs/>
          <w:color w:val="000000" w:themeColor="text1"/>
          <w:sz w:val="32"/>
          <w:szCs w:val="32"/>
          <w:lang w:val="en-US" w:eastAsia="zh-CN"/>
        </w:rPr>
      </w:pPr>
      <w:r>
        <w:rPr>
          <w:rFonts w:hint="eastAsia" w:ascii="方正黑体_GBK" w:hAnsi="方正黑体_GBK" w:eastAsia="方正黑体_GBK" w:cs="方正黑体_GBK"/>
          <w:b w:val="0"/>
          <w:bCs/>
          <w:color w:val="000000" w:themeColor="text1"/>
          <w:sz w:val="32"/>
          <w:szCs w:val="32"/>
          <w:lang w:val="en-US" w:eastAsia="zh-CN"/>
        </w:rPr>
        <w:t>附件</w:t>
      </w: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ascii="楷体_GB2312" w:eastAsia="楷体_GB2312"/>
          <w:bCs/>
          <w:color w:val="000000" w:themeColor="text1"/>
          <w:sz w:val="32"/>
          <w:szCs w:val="32"/>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ind w:firstLine="0" w:firstLineChars="0"/>
        <w:jc w:val="center"/>
        <w:textAlignment w:val="auto"/>
        <w:rPr>
          <w:rFonts w:hint="eastAsia" w:ascii="方正小标宋_GBK" w:eastAsia="方正小标宋_GBK"/>
          <w:bCs/>
          <w:color w:val="000000" w:themeColor="text1"/>
          <w:sz w:val="44"/>
          <w:szCs w:val="44"/>
        </w:rPr>
      </w:pPr>
      <w:r>
        <w:rPr>
          <w:rFonts w:hint="eastAsia" w:ascii="方正小标宋_GBK" w:eastAsia="方正小标宋_GBK"/>
          <w:bCs/>
          <w:color w:val="000000" w:themeColor="text1"/>
          <w:sz w:val="44"/>
          <w:szCs w:val="44"/>
        </w:rPr>
        <w:t>喀什地区国土空间总体规划动态维护方案</w:t>
      </w:r>
    </w:p>
    <w:p>
      <w:pPr>
        <w:keepNext w:val="0"/>
        <w:keepLines w:val="0"/>
        <w:pageBreakBefore w:val="0"/>
        <w:widowControl w:val="0"/>
        <w:kinsoku/>
        <w:wordWrap/>
        <w:overflowPunct/>
        <w:topLinePunct w:val="0"/>
        <w:autoSpaceDE/>
        <w:autoSpaceDN/>
        <w:bidi w:val="0"/>
        <w:adjustRightInd/>
        <w:snapToGrid w:val="0"/>
        <w:ind w:firstLine="0" w:firstLineChars="0"/>
        <w:jc w:val="center"/>
        <w:textAlignment w:val="auto"/>
        <w:rPr>
          <w:rFonts w:ascii="Times New Roman" w:hAnsi="Times New Roman" w:eastAsia="方正小标宋_GBK" w:cs="Times New Roman"/>
          <w:bCs/>
          <w:color w:val="000000" w:themeColor="text1"/>
          <w:sz w:val="44"/>
          <w:szCs w:val="44"/>
        </w:rPr>
      </w:pPr>
      <w:r>
        <w:rPr>
          <w:rFonts w:ascii="Times New Roman" w:hAnsi="Times New Roman" w:eastAsia="方正小标宋_GBK" w:cs="Times New Roman"/>
          <w:bCs/>
          <w:color w:val="000000" w:themeColor="text1"/>
          <w:sz w:val="44"/>
          <w:szCs w:val="44"/>
        </w:rPr>
        <w:t>（2026年度）</w:t>
      </w:r>
      <w:bookmarkStart w:id="0" w:name="_Hlk132367496"/>
    </w:p>
    <w:bookmarkEnd w:id="0"/>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bookmarkStart w:id="19" w:name="_GoBack"/>
      <w:bookmarkEnd w:id="19"/>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snapToGrid w:val="0"/>
        <w:spacing w:line="312" w:lineRule="auto"/>
        <w:ind w:firstLine="0" w:firstLineChars="0"/>
        <w:jc w:val="center"/>
        <w:textAlignment w:val="auto"/>
        <w:rPr>
          <w:rFonts w:hint="eastAsia" w:eastAsia="仿宋"/>
          <w:b/>
          <w:color w:val="000000" w:themeColor="text1"/>
          <w:sz w:val="28"/>
          <w:szCs w:val="28"/>
        </w:rPr>
      </w:pPr>
    </w:p>
    <w:p>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楷体_GB2312" w:hAnsi="楷体_GB2312" w:eastAsia="楷体_GB2312" w:cs="楷体_GB2312"/>
          <w:color w:val="000000" w:themeColor="text1"/>
          <w:sz w:val="32"/>
          <w:szCs w:val="32"/>
        </w:rPr>
      </w:pPr>
      <w:r>
        <w:rPr>
          <w:rFonts w:hint="eastAsia" w:ascii="方正楷体_GBK" w:hAnsi="方正楷体_GBK" w:eastAsia="方正楷体_GBK" w:cs="方正楷体_GBK"/>
          <w:color w:val="000000" w:themeColor="text1"/>
          <w:sz w:val="32"/>
          <w:szCs w:val="32"/>
        </w:rPr>
        <w:t>喀什地区自然资源局</w:t>
      </w:r>
    </w:p>
    <w:p>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楷体_GB2312" w:hAnsi="楷体_GB2312" w:eastAsia="楷体_GB2312" w:cs="楷体_GB2312"/>
          <w:color w:val="000000" w:themeColor="text1"/>
          <w:sz w:val="32"/>
          <w:szCs w:val="32"/>
        </w:rPr>
      </w:pPr>
      <w:r>
        <w:rPr>
          <w:rFonts w:ascii="Times New Roman" w:hAnsi="Times New Roman" w:eastAsia="楷体_GB2312" w:cs="楷体_GB2312"/>
          <w:color w:val="000000" w:themeColor="text1"/>
          <w:sz w:val="32"/>
          <w:szCs w:val="32"/>
        </w:rPr>
        <w:t>202</w:t>
      </w:r>
      <w:r>
        <w:rPr>
          <w:rFonts w:hint="eastAsia" w:ascii="Times New Roman" w:hAnsi="Times New Roman" w:eastAsia="楷体_GB2312" w:cs="楷体_GB2312"/>
          <w:color w:val="000000" w:themeColor="text1"/>
          <w:sz w:val="32"/>
          <w:szCs w:val="32"/>
        </w:rPr>
        <w:t>6</w:t>
      </w:r>
      <w:r>
        <w:rPr>
          <w:rFonts w:hint="eastAsia" w:ascii="楷体_GB2312" w:hAnsi="楷体_GB2312" w:eastAsia="楷体_GB2312" w:cs="楷体_GB2312"/>
          <w:color w:val="000000" w:themeColor="text1"/>
          <w:sz w:val="32"/>
          <w:szCs w:val="32"/>
        </w:rPr>
        <w:t>年</w:t>
      </w:r>
      <w:r>
        <w:rPr>
          <w:rFonts w:hint="eastAsia" w:ascii="Times New Roman" w:hAnsi="Times New Roman" w:eastAsia="楷体_GB2312" w:cs="楷体_GB2312"/>
          <w:color w:val="000000" w:themeColor="text1"/>
          <w:sz w:val="32"/>
          <w:szCs w:val="32"/>
        </w:rPr>
        <w:t>8</w:t>
      </w:r>
      <w:r>
        <w:rPr>
          <w:rFonts w:hint="eastAsia" w:ascii="楷体_GB2312" w:hAnsi="楷体_GB2312" w:eastAsia="楷体_GB2312" w:cs="楷体_GB2312"/>
          <w:color w:val="000000" w:themeColor="text1"/>
          <w:sz w:val="32"/>
          <w:szCs w:val="32"/>
        </w:rPr>
        <w:t>月</w:t>
      </w:r>
    </w:p>
    <w:p>
      <w:pPr>
        <w:snapToGrid w:val="0"/>
        <w:spacing w:line="312" w:lineRule="auto"/>
        <w:jc w:val="center"/>
        <w:rPr>
          <w:rFonts w:hint="eastAsia" w:eastAsia="仿宋"/>
          <w:b/>
          <w:color w:val="000000" w:themeColor="text1"/>
          <w:sz w:val="32"/>
          <w:szCs w:val="32"/>
        </w:rPr>
      </w:pPr>
    </w:p>
    <w:p>
      <w:pPr>
        <w:snapToGrid w:val="0"/>
        <w:spacing w:line="312" w:lineRule="auto"/>
        <w:jc w:val="center"/>
        <w:rPr>
          <w:rFonts w:hint="eastAsia" w:eastAsia="仿宋"/>
          <w:b/>
          <w:color w:val="000000" w:themeColor="text1"/>
          <w:sz w:val="32"/>
          <w:szCs w:val="32"/>
        </w:rPr>
        <w:sectPr>
          <w:pgSz w:w="11906" w:h="16838"/>
          <w:pgMar w:top="1984" w:right="1531" w:bottom="1701" w:left="1531" w:header="851" w:footer="992" w:gutter="0"/>
          <w:cols w:space="425" w:num="1"/>
          <w:titlePg/>
          <w:docGrid w:type="lines" w:linePitch="312" w:charSpace="0"/>
        </w:sectPr>
      </w:pPr>
    </w:p>
    <w:p>
      <w:pPr>
        <w:keepLines/>
        <w:pageBreakBefore w:val="0"/>
        <w:widowControl/>
        <w:kinsoku/>
        <w:wordWrap/>
        <w:topLinePunct w:val="0"/>
        <w:autoSpaceDE w:val="0"/>
        <w:autoSpaceDN w:val="0"/>
        <w:bidi w:val="0"/>
        <w:adjustRightInd/>
        <w:snapToGrid w:val="0"/>
        <w:spacing w:line="570" w:lineRule="exact"/>
        <w:ind w:firstLine="640" w:firstLineChars="200"/>
        <w:jc w:val="both"/>
        <w:textAlignment w:val="auto"/>
        <w:outlineLvl w:val="0"/>
        <w:rPr>
          <w:rFonts w:hint="eastAsia" w:ascii="方正黑体_GBK" w:hAnsi="方正黑体_GBK" w:eastAsia="方正黑体_GBK" w:cs="方正黑体_GBK"/>
          <w:bCs/>
          <w:color w:val="000000" w:themeColor="text1"/>
          <w:kern w:val="44"/>
          <w:sz w:val="32"/>
          <w:szCs w:val="32"/>
          <w14:ligatures w14:val="none"/>
        </w:rPr>
      </w:pPr>
      <w:bookmarkStart w:id="1" w:name="_Toc237007560"/>
      <w:r>
        <w:rPr>
          <w:rFonts w:hint="eastAsia" w:ascii="方正黑体_GBK" w:hAnsi="方正黑体_GBK" w:eastAsia="方正黑体_GBK" w:cs="方正黑体_GBK"/>
          <w:bCs/>
          <w:color w:val="000000" w:themeColor="text1"/>
          <w:kern w:val="44"/>
          <w:sz w:val="32"/>
          <w:szCs w:val="32"/>
          <w14:ligatures w14:val="none"/>
        </w:rPr>
        <w:t>一、</w:t>
      </w:r>
      <w:bookmarkEnd w:id="1"/>
      <w:r>
        <w:rPr>
          <w:rFonts w:hint="eastAsia" w:ascii="方正黑体_GBK" w:hAnsi="方正黑体_GBK" w:eastAsia="方正黑体_GBK" w:cs="方正黑体_GBK"/>
          <w:bCs/>
          <w:color w:val="000000" w:themeColor="text1"/>
          <w:kern w:val="44"/>
          <w:sz w:val="32"/>
          <w:szCs w:val="32"/>
          <w14:ligatures w14:val="none"/>
        </w:rPr>
        <w:t>工作背景</w:t>
      </w:r>
    </w:p>
    <w:p>
      <w:pPr>
        <w:pageBreakBefore w:val="0"/>
        <w:kinsoku/>
        <w:wordWrap/>
        <w:topLinePunct w:val="0"/>
        <w:bidi w:val="0"/>
        <w:adjustRightInd/>
        <w:snapToGrid w:val="0"/>
        <w:spacing w:line="570" w:lineRule="exact"/>
        <w:ind w:firstLine="640" w:firstLineChars="200"/>
        <w:jc w:val="both"/>
        <w:textAlignment w:val="auto"/>
        <w:rPr>
          <w:rFonts w:ascii="仿宋_GB2312" w:hAnsi="Times New Roman" w:eastAsia="方正仿宋_GBK" w:cs="Times New Roman"/>
          <w:color w:val="000000" w:themeColor="text1"/>
          <w:sz w:val="32"/>
          <w:szCs w:val="32"/>
          <w14:ligatures w14:val="none"/>
        </w:rPr>
      </w:pPr>
      <w:r>
        <w:rPr>
          <w:rFonts w:hint="eastAsia" w:ascii="仿宋_GB2312" w:hAnsi="Times New Roman" w:eastAsia="方正仿宋_GBK" w:cs="Times New Roman"/>
          <w:color w:val="000000" w:themeColor="text1"/>
          <w:sz w:val="32"/>
          <w:szCs w:val="32"/>
          <w14:ligatures w14:val="none"/>
        </w:rPr>
        <w:t>为深入贯彻落实党的二十大和二十届历次全会精神和中央城市工作会议精神，全面落实党中央关于建立国土空间规划体系并监督实施的决策部署，和国务院关于设立岑岭县的批复精神，按照自然资源部、自治区关于国土空间总体规划动态调整完善要求以及《自然资源部 国家林业和草原局关于进一步做好自然资源要素保障的通知》(自然资发〔</w:t>
      </w:r>
      <w:r>
        <w:rPr>
          <w:rFonts w:hint="eastAsia" w:ascii="Times New Roman" w:hAnsi="Times New Roman" w:eastAsia="方正仿宋_GBK" w:cs="Times New Roman"/>
          <w:color w:val="000000" w:themeColor="text1"/>
          <w:sz w:val="32"/>
          <w:szCs w:val="32"/>
          <w14:ligatures w14:val="none"/>
        </w:rPr>
        <w:t>2026</w:t>
      </w:r>
      <w:r>
        <w:rPr>
          <w:rFonts w:hint="eastAsia" w:ascii="仿宋_GB2312" w:hAnsi="Times New Roman" w:eastAsia="方正仿宋_GBK" w:cs="Times New Roman"/>
          <w:color w:val="000000" w:themeColor="text1"/>
          <w:sz w:val="32"/>
          <w:szCs w:val="32"/>
          <w14:ligatures w14:val="none"/>
        </w:rPr>
        <w:t>〕</w:t>
      </w:r>
      <w:r>
        <w:rPr>
          <w:rFonts w:hint="eastAsia" w:ascii="Times New Roman" w:hAnsi="Times New Roman" w:eastAsia="方正仿宋_GBK" w:cs="Times New Roman"/>
          <w:color w:val="000000" w:themeColor="text1"/>
          <w:sz w:val="32"/>
          <w:szCs w:val="32"/>
          <w14:ligatures w14:val="none"/>
        </w:rPr>
        <w:t>38</w:t>
      </w:r>
      <w:r>
        <w:rPr>
          <w:rFonts w:hint="eastAsia" w:ascii="仿宋_GB2312" w:hAnsi="Times New Roman" w:eastAsia="方正仿宋_GBK" w:cs="Times New Roman"/>
          <w:color w:val="000000" w:themeColor="text1"/>
          <w:sz w:val="32"/>
          <w:szCs w:val="32"/>
          <w14:ligatures w14:val="none"/>
        </w:rPr>
        <w:t>号)等系列工作要求，紧密衔接喀什地区“十五五”规划纲要，开展《喀什地区国土空间总体规划动态维护方案(</w:t>
      </w:r>
      <w:r>
        <w:rPr>
          <w:rFonts w:hint="eastAsia" w:ascii="Times New Roman" w:hAnsi="Times New Roman" w:eastAsia="方正仿宋_GBK" w:cs="Times New Roman"/>
          <w:color w:val="000000" w:themeColor="text1"/>
          <w:sz w:val="32"/>
          <w:szCs w:val="32"/>
          <w14:ligatures w14:val="none"/>
        </w:rPr>
        <w:t>2026</w:t>
      </w:r>
      <w:r>
        <w:rPr>
          <w:rFonts w:hint="eastAsia" w:ascii="仿宋_GB2312" w:hAnsi="Times New Roman" w:eastAsia="方正仿宋_GBK" w:cs="Times New Roman"/>
          <w:color w:val="000000" w:themeColor="text1"/>
          <w:sz w:val="32"/>
          <w:szCs w:val="32"/>
          <w14:ligatures w14:val="none"/>
        </w:rPr>
        <w:t>年度)》编制工作，更好发挥国土空间规划的基础性和引领性作用，为喀什地区高水平建设丝绸之路经济带核心区重要支点提供坚实的空间保障。</w:t>
      </w:r>
    </w:p>
    <w:p>
      <w:pPr>
        <w:keepLines/>
        <w:pageBreakBefore w:val="0"/>
        <w:widowControl/>
        <w:kinsoku/>
        <w:wordWrap/>
        <w:topLinePunct w:val="0"/>
        <w:autoSpaceDE w:val="0"/>
        <w:autoSpaceDN w:val="0"/>
        <w:bidi w:val="0"/>
        <w:adjustRightInd/>
        <w:snapToGrid w:val="0"/>
        <w:spacing w:line="570" w:lineRule="exact"/>
        <w:ind w:firstLine="640" w:firstLineChars="200"/>
        <w:jc w:val="both"/>
        <w:textAlignment w:val="auto"/>
        <w:outlineLvl w:val="0"/>
        <w:rPr>
          <w:rFonts w:hint="eastAsia" w:ascii="方正黑体_GBK" w:hAnsi="方正黑体_GBK" w:eastAsia="方正黑体_GBK" w:cs="方正黑体_GBK"/>
          <w:bCs/>
          <w:color w:val="000000" w:themeColor="text1"/>
          <w:kern w:val="44"/>
          <w:sz w:val="32"/>
          <w:szCs w:val="32"/>
          <w14:ligatures w14:val="none"/>
        </w:rPr>
      </w:pPr>
      <w:bookmarkStart w:id="2" w:name="_Toc237007562"/>
      <w:r>
        <w:rPr>
          <w:rFonts w:hint="eastAsia" w:ascii="方正黑体_GBK" w:hAnsi="方正黑体_GBK" w:eastAsia="方正黑体_GBK" w:cs="方正黑体_GBK"/>
          <w:bCs/>
          <w:color w:val="000000" w:themeColor="text1"/>
          <w:kern w:val="44"/>
          <w:sz w:val="32"/>
          <w:szCs w:val="32"/>
          <w14:ligatures w14:val="none"/>
        </w:rPr>
        <w:t>二、编制原则</w:t>
      </w:r>
      <w:bookmarkEnd w:id="2"/>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方正楷体_GBK" w:hAnsi="方正楷体_GBK" w:eastAsia="方正楷体_GBK" w:cs="方正楷体_GBK"/>
          <w:b/>
          <w:bCs/>
          <w:color w:val="000000" w:themeColor="text1"/>
          <w:sz w:val="32"/>
          <w:szCs w:val="32"/>
          <w14:ligatures w14:val="none"/>
        </w:rPr>
        <w:t>坚持底线约束、绿色发展。</w:t>
      </w:r>
      <w:r>
        <w:rPr>
          <w:rFonts w:hint="eastAsia" w:ascii="仿宋_GB2312" w:hAnsi="Times New Roman" w:eastAsia="方正仿宋_GBK" w:cs="Times New Roman"/>
          <w:color w:val="000000" w:themeColor="text1"/>
          <w:sz w:val="32"/>
          <w:szCs w:val="32"/>
          <w14:ligatures w14:val="none"/>
        </w:rPr>
        <w:t>严格落实规划确定的保护目标和约束指标，筑牢国土安全、粮食安全、生态安全、水安全和历史文化保护等空间安全底线。坚持绿色发展和节约集约导向，合理优化各类空间管控边界，推动内涵式高质量发展。</w:t>
      </w:r>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方正楷体_GBK" w:hAnsi="方正楷体_GBK" w:eastAsia="方正楷体_GBK" w:cs="方正楷体_GBK"/>
          <w:b/>
          <w:bCs/>
          <w:color w:val="000000" w:themeColor="text1"/>
          <w:sz w:val="32"/>
          <w:szCs w:val="32"/>
          <w14:ligatures w14:val="none"/>
        </w:rPr>
        <w:t>坚持战略引领、开放发展。</w:t>
      </w:r>
      <w:r>
        <w:rPr>
          <w:rFonts w:hint="eastAsia" w:ascii="仿宋_GB2312" w:hAnsi="Times New Roman" w:eastAsia="方正仿宋_GBK" w:cs="Times New Roman"/>
          <w:color w:val="000000" w:themeColor="text1"/>
          <w:sz w:val="32"/>
          <w:szCs w:val="32"/>
          <w14:ligatures w14:val="none"/>
        </w:rPr>
        <w:t>立足丝绸之路经济带核心区重要支点建设，围绕国家重大战略布局和“十五五”规划发展等新要求，统筹优化全域国土空间格局，推动喀什由网络末端转变为联动内外的窗口和支点，形成国内国际双循环互相促进的新发展格局。</w:t>
      </w:r>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方正楷体_GBK" w:hAnsi="方正楷体_GBK" w:eastAsia="方正楷体_GBK" w:cs="方正楷体_GBK"/>
          <w:b/>
          <w:bCs/>
          <w:color w:val="000000" w:themeColor="text1"/>
          <w:sz w:val="32"/>
          <w:szCs w:val="32"/>
          <w14:ligatures w14:val="none"/>
        </w:rPr>
        <w:t>坚持问题导向、精准配置。</w:t>
      </w:r>
      <w:r>
        <w:rPr>
          <w:rFonts w:hint="eastAsia" w:ascii="仿宋_GB2312" w:hAnsi="Times New Roman" w:eastAsia="方正仿宋_GBK" w:cs="Times New Roman"/>
          <w:color w:val="000000" w:themeColor="text1"/>
          <w:sz w:val="32"/>
          <w:szCs w:val="32"/>
          <w14:ligatures w14:val="none"/>
        </w:rPr>
        <w:t>聚焦规划实施中的重大问题和突出矛盾，牵引动态优化规划布局，精准调整空间供给结构、要素配置方式与任务实施时序，着力破解制约规划落地实施的堵点难点，确保规划布局更加贴合发展实际、适配治理需求。</w:t>
      </w:r>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方正楷体_GBK" w:hAnsi="方正楷体_GBK" w:eastAsia="方正楷体_GBK" w:cs="方正楷体_GBK"/>
          <w:b/>
          <w:bCs/>
          <w:color w:val="000000" w:themeColor="text1"/>
          <w:sz w:val="32"/>
          <w:szCs w:val="32"/>
          <w14:ligatures w14:val="none"/>
        </w:rPr>
        <w:t>坚持协同联动、上下传导。</w:t>
      </w:r>
      <w:r>
        <w:rPr>
          <w:rFonts w:hint="eastAsia" w:ascii="仿宋_GB2312" w:hAnsi="Times New Roman" w:eastAsia="方正仿宋_GBK" w:cs="Times New Roman"/>
          <w:color w:val="000000" w:themeColor="text1"/>
          <w:sz w:val="32"/>
          <w:szCs w:val="32"/>
          <w14:ligatures w14:val="none"/>
        </w:rPr>
        <w:t>主动对接自治区和地区“十五五”重大项目空间需求。加强地区、县（市）级国土空间总体规划实施评估与调整完善工作联动，强化地区级规划对县（市）规划传导落实，确保各级规划上下贯通、衔接一致。</w:t>
      </w:r>
    </w:p>
    <w:p>
      <w:pPr>
        <w:keepLines/>
        <w:pageBreakBefore w:val="0"/>
        <w:widowControl/>
        <w:kinsoku/>
        <w:wordWrap/>
        <w:topLinePunct w:val="0"/>
        <w:autoSpaceDE w:val="0"/>
        <w:autoSpaceDN w:val="0"/>
        <w:bidi w:val="0"/>
        <w:adjustRightInd/>
        <w:snapToGrid w:val="0"/>
        <w:spacing w:line="570" w:lineRule="exact"/>
        <w:ind w:firstLine="640" w:firstLineChars="200"/>
        <w:jc w:val="both"/>
        <w:textAlignment w:val="auto"/>
        <w:outlineLvl w:val="0"/>
        <w:rPr>
          <w:rFonts w:hint="eastAsia" w:ascii="方正黑体_GBK" w:hAnsi="方正黑体_GBK" w:eastAsia="方正黑体_GBK" w:cs="方正黑体_GBK"/>
          <w:bCs/>
          <w:color w:val="000000" w:themeColor="text1"/>
          <w:kern w:val="44"/>
          <w:sz w:val="32"/>
          <w:szCs w:val="32"/>
          <w14:ligatures w14:val="none"/>
        </w:rPr>
      </w:pPr>
      <w:bookmarkStart w:id="3" w:name="_Toc237007563"/>
      <w:r>
        <w:rPr>
          <w:rFonts w:hint="eastAsia" w:ascii="方正黑体_GBK" w:hAnsi="方正黑体_GBK" w:eastAsia="方正黑体_GBK" w:cs="方正黑体_GBK"/>
          <w:bCs/>
          <w:color w:val="000000" w:themeColor="text1"/>
          <w:kern w:val="44"/>
          <w:sz w:val="32"/>
          <w:szCs w:val="32"/>
          <w14:ligatures w14:val="none"/>
        </w:rPr>
        <w:t>三、编制依据</w:t>
      </w:r>
      <w:bookmarkEnd w:id="3"/>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《中华人民共和国土地管理法》（</w:t>
      </w:r>
      <w:r>
        <w:rPr>
          <w:rFonts w:hint="eastAsia" w:ascii="Times New Roman" w:hAnsi="Times New Roman" w:eastAsia="方正仿宋_GBK" w:cs="Times New Roman"/>
          <w:color w:val="000000" w:themeColor="text1"/>
          <w:kern w:val="2"/>
          <w:sz w:val="32"/>
          <w:szCs w:val="32"/>
          <w:lang w:val="en-US" w:eastAsia="zh-CN" w:bidi="ar-SA"/>
          <w14:ligatures w14:val="none"/>
        </w:rPr>
        <w:t>2019</w:t>
      </w:r>
      <w:r>
        <w:rPr>
          <w:rFonts w:hint="eastAsia" w:ascii="仿宋_GB2312" w:hAnsi="Times New Roman" w:eastAsia="方正仿宋_GBK" w:cs="Times New Roman"/>
          <w:color w:val="000000" w:themeColor="text1"/>
          <w:kern w:val="2"/>
          <w:sz w:val="32"/>
          <w:szCs w:val="32"/>
          <w:lang w:val="en-US" w:eastAsia="zh-CN" w:bidi="ar-SA"/>
          <w14:ligatures w14:val="none"/>
        </w:rPr>
        <w:t>年修正）</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《中华人民共和国城乡规划法》（</w:t>
      </w:r>
      <w:r>
        <w:rPr>
          <w:rFonts w:hint="eastAsia" w:ascii="Times New Roman" w:hAnsi="Times New Roman" w:eastAsia="方正仿宋_GBK" w:cs="Times New Roman"/>
          <w:color w:val="000000" w:themeColor="text1"/>
          <w:kern w:val="2"/>
          <w:sz w:val="32"/>
          <w:szCs w:val="32"/>
          <w:lang w:val="en-US" w:eastAsia="zh-CN" w:bidi="ar-SA"/>
          <w14:ligatures w14:val="none"/>
        </w:rPr>
        <w:t>2019</w:t>
      </w:r>
      <w:r>
        <w:rPr>
          <w:rFonts w:hint="eastAsia" w:ascii="仿宋_GB2312" w:hAnsi="Times New Roman" w:eastAsia="方正仿宋_GBK" w:cs="Times New Roman"/>
          <w:color w:val="000000" w:themeColor="text1"/>
          <w:kern w:val="2"/>
          <w:sz w:val="32"/>
          <w:szCs w:val="32"/>
          <w:lang w:val="en-US" w:eastAsia="zh-CN" w:bidi="ar-SA"/>
          <w14:ligatures w14:val="none"/>
        </w:rPr>
        <w:t>年修正）</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《中华人民共和国土地管理法实施条例》（</w:t>
      </w:r>
      <w:r>
        <w:rPr>
          <w:rFonts w:hint="eastAsia" w:ascii="Times New Roman" w:hAnsi="Times New Roman" w:eastAsia="方正仿宋_GBK" w:cs="Times New Roman"/>
          <w:color w:val="000000" w:themeColor="text1"/>
          <w:kern w:val="2"/>
          <w:sz w:val="32"/>
          <w:szCs w:val="32"/>
          <w:lang w:val="en-US" w:eastAsia="zh-CN" w:bidi="ar-SA"/>
          <w14:ligatures w14:val="none"/>
        </w:rPr>
        <w:t>2021</w:t>
      </w:r>
      <w:r>
        <w:rPr>
          <w:rFonts w:hint="eastAsia" w:ascii="仿宋_GB2312" w:hAnsi="Times New Roman" w:eastAsia="方正仿宋_GBK" w:cs="Times New Roman"/>
          <w:color w:val="000000" w:themeColor="text1"/>
          <w:kern w:val="2"/>
          <w:sz w:val="32"/>
          <w:szCs w:val="32"/>
          <w:lang w:val="en-US" w:eastAsia="zh-CN" w:bidi="ar-SA"/>
          <w14:ligatures w14:val="none"/>
        </w:rPr>
        <w:t>年修订）</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《中共中央 国务院关于建立国土空间规划体系并监督实施的若干意见》（中发〔</w:t>
      </w:r>
      <w:r>
        <w:rPr>
          <w:rFonts w:hint="eastAsia" w:ascii="Times New Roman" w:hAnsi="Times New Roman" w:eastAsia="方正仿宋_GBK" w:cs="Times New Roman"/>
          <w:color w:val="000000" w:themeColor="text1"/>
          <w:kern w:val="2"/>
          <w:sz w:val="32"/>
          <w:szCs w:val="32"/>
          <w:lang w:val="en-US" w:eastAsia="zh-CN" w:bidi="ar-SA"/>
          <w14:ligatures w14:val="none"/>
        </w:rPr>
        <w:t>2019</w:t>
      </w:r>
      <w:r>
        <w:rPr>
          <w:rFonts w:hint="eastAsia" w:ascii="仿宋_GB2312" w:hAnsi="Times New Roman" w:eastAsia="方正仿宋_GBK" w:cs="Times New Roman"/>
          <w:color w:val="000000" w:themeColor="text1"/>
          <w:kern w:val="2"/>
          <w:sz w:val="32"/>
          <w:szCs w:val="32"/>
          <w:lang w:val="en-US" w:eastAsia="zh-CN" w:bidi="ar-SA"/>
          <w14:ligatures w14:val="none"/>
        </w:rPr>
        <w:t>〕</w:t>
      </w:r>
      <w:r>
        <w:rPr>
          <w:rFonts w:hint="eastAsia" w:ascii="Times New Roman" w:hAnsi="Times New Roman" w:eastAsia="方正仿宋_GBK" w:cs="Times New Roman"/>
          <w:color w:val="000000" w:themeColor="text1"/>
          <w:kern w:val="2"/>
          <w:sz w:val="32"/>
          <w:szCs w:val="32"/>
          <w:lang w:val="en-US" w:eastAsia="zh-CN" w:bidi="ar-SA"/>
          <w14:ligatures w14:val="none"/>
        </w:rPr>
        <w:t>18</w:t>
      </w:r>
      <w:r>
        <w:rPr>
          <w:rFonts w:hint="eastAsia" w:ascii="仿宋_GB2312" w:hAnsi="Times New Roman" w:eastAsia="方正仿宋_GBK" w:cs="Times New Roman"/>
          <w:color w:val="000000" w:themeColor="text1"/>
          <w:kern w:val="2"/>
          <w:sz w:val="32"/>
          <w:szCs w:val="32"/>
          <w:lang w:val="en-US" w:eastAsia="zh-CN" w:bidi="ar-SA"/>
          <w14:ligatures w14:val="none"/>
        </w:rPr>
        <w:t>号）</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《永久基本农田保护红线管理办法》（自然资源部、农业农村部令第</w:t>
      </w:r>
      <w:r>
        <w:rPr>
          <w:rFonts w:hint="eastAsia" w:ascii="Times New Roman" w:hAnsi="Times New Roman" w:eastAsia="方正仿宋_GBK" w:cs="Times New Roman"/>
          <w:color w:val="000000" w:themeColor="text1"/>
          <w:kern w:val="2"/>
          <w:sz w:val="32"/>
          <w:szCs w:val="32"/>
          <w:lang w:val="en-US" w:eastAsia="zh-CN" w:bidi="ar-SA"/>
          <w14:ligatures w14:val="none"/>
        </w:rPr>
        <w:t>17</w:t>
      </w:r>
      <w:r>
        <w:rPr>
          <w:rFonts w:hint="eastAsia" w:ascii="仿宋_GB2312" w:hAnsi="Times New Roman" w:eastAsia="方正仿宋_GBK" w:cs="Times New Roman"/>
          <w:color w:val="000000" w:themeColor="text1"/>
          <w:kern w:val="2"/>
          <w:sz w:val="32"/>
          <w:szCs w:val="32"/>
          <w:lang w:val="en-US" w:eastAsia="zh-CN" w:bidi="ar-SA"/>
          <w14:ligatures w14:val="none"/>
        </w:rPr>
        <w:t>号）</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《自然资源部关于印发&lt;城镇开发边界管理办法(试行)&gt;的通知》(自然资规〔</w:t>
      </w:r>
      <w:r>
        <w:rPr>
          <w:rFonts w:hint="eastAsia" w:ascii="Times New Roman" w:hAnsi="Times New Roman" w:eastAsia="方正仿宋_GBK" w:cs="Times New Roman"/>
          <w:color w:val="000000" w:themeColor="text1"/>
          <w:kern w:val="2"/>
          <w:sz w:val="32"/>
          <w:szCs w:val="32"/>
          <w:lang w:val="en-US" w:eastAsia="zh-CN" w:bidi="ar-SA"/>
          <w14:ligatures w14:val="none"/>
        </w:rPr>
        <w:t>2026</w:t>
      </w:r>
      <w:r>
        <w:rPr>
          <w:rFonts w:hint="eastAsia" w:ascii="仿宋_GB2312" w:hAnsi="Times New Roman" w:eastAsia="方正仿宋_GBK" w:cs="Times New Roman"/>
          <w:color w:val="000000" w:themeColor="text1"/>
          <w:kern w:val="2"/>
          <w:sz w:val="32"/>
          <w:szCs w:val="32"/>
          <w:lang w:val="en-US" w:eastAsia="zh-CN" w:bidi="ar-SA"/>
          <w14:ligatures w14:val="none"/>
        </w:rPr>
        <w:t>〕</w:t>
      </w:r>
      <w:r>
        <w:rPr>
          <w:rFonts w:hint="eastAsia" w:ascii="Times New Roman" w:hAnsi="Times New Roman" w:eastAsia="方正仿宋_GBK" w:cs="Times New Roman"/>
          <w:color w:val="000000" w:themeColor="text1"/>
          <w:kern w:val="2"/>
          <w:sz w:val="32"/>
          <w:szCs w:val="32"/>
          <w:lang w:val="en-US" w:eastAsia="zh-CN" w:bidi="ar-SA"/>
          <w14:ligatures w14:val="none"/>
        </w:rPr>
        <w:t>1</w:t>
      </w:r>
      <w:r>
        <w:rPr>
          <w:rFonts w:hint="eastAsia" w:ascii="仿宋_GB2312" w:hAnsi="Times New Roman" w:eastAsia="方正仿宋_GBK" w:cs="Times New Roman"/>
          <w:color w:val="000000" w:themeColor="text1"/>
          <w:kern w:val="2"/>
          <w:sz w:val="32"/>
          <w:szCs w:val="32"/>
          <w:lang w:val="en-US" w:eastAsia="zh-CN" w:bidi="ar-SA"/>
          <w14:ligatures w14:val="none"/>
        </w:rPr>
        <w:t>号)</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《自然资源部 国家林业和草原局关于进一步做好自然资源要素保障的通知》(自然资发〔</w:t>
      </w:r>
      <w:r>
        <w:rPr>
          <w:rFonts w:hint="eastAsia" w:ascii="Times New Roman" w:hAnsi="Times New Roman" w:eastAsia="方正仿宋_GBK" w:cs="Times New Roman"/>
          <w:color w:val="000000" w:themeColor="text1"/>
          <w:kern w:val="2"/>
          <w:sz w:val="32"/>
          <w:szCs w:val="32"/>
          <w:lang w:val="en-US" w:eastAsia="zh-CN" w:bidi="ar-SA"/>
          <w14:ligatures w14:val="none"/>
        </w:rPr>
        <w:t>2026</w:t>
      </w:r>
      <w:r>
        <w:rPr>
          <w:rFonts w:hint="eastAsia" w:ascii="仿宋_GB2312" w:hAnsi="Times New Roman" w:eastAsia="方正仿宋_GBK" w:cs="Times New Roman"/>
          <w:color w:val="000000" w:themeColor="text1"/>
          <w:kern w:val="2"/>
          <w:sz w:val="32"/>
          <w:szCs w:val="32"/>
          <w:lang w:val="en-US" w:eastAsia="zh-CN" w:bidi="ar-SA"/>
          <w14:ligatures w14:val="none"/>
        </w:rPr>
        <w:t>〕</w:t>
      </w:r>
      <w:r>
        <w:rPr>
          <w:rFonts w:hint="eastAsia" w:ascii="Times New Roman" w:hAnsi="Times New Roman" w:eastAsia="方正仿宋_GBK" w:cs="Times New Roman"/>
          <w:color w:val="000000" w:themeColor="text1"/>
          <w:kern w:val="2"/>
          <w:sz w:val="32"/>
          <w:szCs w:val="32"/>
          <w:lang w:val="en-US" w:eastAsia="zh-CN" w:bidi="ar-SA"/>
          <w14:ligatures w14:val="none"/>
        </w:rPr>
        <w:t>38</w:t>
      </w:r>
      <w:r>
        <w:rPr>
          <w:rFonts w:hint="eastAsia" w:ascii="仿宋_GB2312" w:hAnsi="Times New Roman" w:eastAsia="方正仿宋_GBK" w:cs="Times New Roman"/>
          <w:color w:val="000000" w:themeColor="text1"/>
          <w:kern w:val="2"/>
          <w:sz w:val="32"/>
          <w:szCs w:val="32"/>
          <w:lang w:val="en-US" w:eastAsia="zh-CN" w:bidi="ar-SA"/>
          <w14:ligatures w14:val="none"/>
        </w:rPr>
        <w:t>号)</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《自然资源部办公厅关于开展国土空间规划体检评估的通知》(自然资办发〔</w:t>
      </w:r>
      <w:r>
        <w:rPr>
          <w:rFonts w:hint="eastAsia" w:ascii="Times New Roman" w:hAnsi="Times New Roman" w:eastAsia="方正仿宋_GBK" w:cs="Times New Roman"/>
          <w:color w:val="000000" w:themeColor="text1"/>
          <w:kern w:val="2"/>
          <w:sz w:val="32"/>
          <w:szCs w:val="32"/>
          <w:lang w:val="en-US" w:eastAsia="zh-CN" w:bidi="ar-SA"/>
          <w14:ligatures w14:val="none"/>
        </w:rPr>
        <w:t>2025</w:t>
      </w:r>
      <w:r>
        <w:rPr>
          <w:rFonts w:hint="eastAsia" w:ascii="仿宋_GB2312" w:hAnsi="Times New Roman" w:eastAsia="方正仿宋_GBK" w:cs="Times New Roman"/>
          <w:color w:val="000000" w:themeColor="text1"/>
          <w:kern w:val="2"/>
          <w:sz w:val="32"/>
          <w:szCs w:val="32"/>
          <w:lang w:val="en-US" w:eastAsia="zh-CN" w:bidi="ar-SA"/>
          <w14:ligatures w14:val="none"/>
        </w:rPr>
        <w:t>〕</w:t>
      </w:r>
      <w:r>
        <w:rPr>
          <w:rFonts w:hint="eastAsia" w:ascii="Times New Roman" w:hAnsi="Times New Roman" w:eastAsia="方正仿宋_GBK" w:cs="Times New Roman"/>
          <w:color w:val="000000" w:themeColor="text1"/>
          <w:kern w:val="2"/>
          <w:sz w:val="32"/>
          <w:szCs w:val="32"/>
          <w:lang w:val="en-US" w:eastAsia="zh-CN" w:bidi="ar-SA"/>
          <w14:ligatures w14:val="none"/>
        </w:rPr>
        <w:t>20</w:t>
      </w:r>
      <w:r>
        <w:rPr>
          <w:rFonts w:hint="eastAsia" w:ascii="仿宋_GB2312" w:hAnsi="Times New Roman" w:eastAsia="方正仿宋_GBK" w:cs="Times New Roman"/>
          <w:color w:val="000000" w:themeColor="text1"/>
          <w:kern w:val="2"/>
          <w:sz w:val="32"/>
          <w:szCs w:val="32"/>
          <w:lang w:val="en-US" w:eastAsia="zh-CN" w:bidi="ar-SA"/>
          <w14:ligatures w14:val="none"/>
        </w:rPr>
        <w:t>号)</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《国土空间总体规划动态调整完善工作相关政策口径》</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《国土空间总体规划动态调整完善工作相关政策口径（第二版）（试行）》</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《国土空间总体规划动态调整完善工作相关政策口径（第三版）（试行）》（自然资空间规划函〔</w:t>
      </w:r>
      <w:r>
        <w:rPr>
          <w:rFonts w:hint="eastAsia" w:ascii="Times New Roman" w:hAnsi="Times New Roman" w:eastAsia="方正仿宋_GBK" w:cs="Times New Roman"/>
          <w:color w:val="000000" w:themeColor="text1"/>
          <w:kern w:val="2"/>
          <w:sz w:val="32"/>
          <w:szCs w:val="32"/>
          <w:lang w:val="en-US" w:eastAsia="zh-CN" w:bidi="ar-SA"/>
          <w14:ligatures w14:val="none"/>
        </w:rPr>
        <w:t>2026</w:t>
      </w:r>
      <w:r>
        <w:rPr>
          <w:rFonts w:hint="eastAsia" w:ascii="仿宋_GB2312" w:hAnsi="Times New Roman" w:eastAsia="方正仿宋_GBK" w:cs="Times New Roman"/>
          <w:color w:val="000000" w:themeColor="text1"/>
          <w:kern w:val="2"/>
          <w:sz w:val="32"/>
          <w:szCs w:val="32"/>
          <w:lang w:val="en-US" w:eastAsia="zh-CN" w:bidi="ar-SA"/>
          <w14:ligatures w14:val="none"/>
        </w:rPr>
        <w:t>〕</w:t>
      </w:r>
      <w:r>
        <w:rPr>
          <w:rFonts w:hint="eastAsia" w:ascii="Times New Roman" w:hAnsi="Times New Roman" w:eastAsia="方正仿宋_GBK" w:cs="Times New Roman"/>
          <w:color w:val="000000" w:themeColor="text1"/>
          <w:kern w:val="2"/>
          <w:sz w:val="32"/>
          <w:szCs w:val="32"/>
          <w:lang w:val="en-US" w:eastAsia="zh-CN" w:bidi="ar-SA"/>
          <w14:ligatures w14:val="none"/>
        </w:rPr>
        <w:t>107</w:t>
      </w:r>
      <w:r>
        <w:rPr>
          <w:rFonts w:hint="eastAsia" w:ascii="仿宋_GB2312" w:hAnsi="Times New Roman" w:eastAsia="方正仿宋_GBK" w:cs="Times New Roman"/>
          <w:color w:val="000000" w:themeColor="text1"/>
          <w:kern w:val="2"/>
          <w:sz w:val="32"/>
          <w:szCs w:val="32"/>
          <w:lang w:val="en-US" w:eastAsia="zh-CN" w:bidi="ar-SA"/>
          <w14:ligatures w14:val="none"/>
        </w:rPr>
        <w:t>号）</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《关于开展国土空间规划实施评估工作的通知》（新自然资办函〔</w:t>
      </w:r>
      <w:r>
        <w:rPr>
          <w:rFonts w:hint="eastAsia" w:ascii="Times New Roman" w:hAnsi="Times New Roman" w:eastAsia="方正仿宋_GBK" w:cs="Times New Roman"/>
          <w:color w:val="000000" w:themeColor="text1"/>
          <w:kern w:val="2"/>
          <w:sz w:val="32"/>
          <w:szCs w:val="32"/>
          <w:lang w:val="en-US" w:eastAsia="zh-CN" w:bidi="ar-SA"/>
          <w14:ligatures w14:val="none"/>
        </w:rPr>
        <w:t>2025</w:t>
      </w:r>
      <w:r>
        <w:rPr>
          <w:rFonts w:hint="eastAsia" w:ascii="仿宋_GB2312" w:hAnsi="Times New Roman" w:eastAsia="方正仿宋_GBK" w:cs="Times New Roman"/>
          <w:color w:val="000000" w:themeColor="text1"/>
          <w:kern w:val="2"/>
          <w:sz w:val="32"/>
          <w:szCs w:val="32"/>
          <w:lang w:val="en-US" w:eastAsia="zh-CN" w:bidi="ar-SA"/>
          <w14:ligatures w14:val="none"/>
        </w:rPr>
        <w:t>〕</w:t>
      </w:r>
      <w:r>
        <w:rPr>
          <w:rFonts w:hint="eastAsia" w:ascii="Times New Roman" w:hAnsi="Times New Roman" w:eastAsia="方正仿宋_GBK" w:cs="Times New Roman"/>
          <w:color w:val="000000" w:themeColor="text1"/>
          <w:kern w:val="2"/>
          <w:sz w:val="32"/>
          <w:szCs w:val="32"/>
          <w:lang w:val="en-US" w:eastAsia="zh-CN" w:bidi="ar-SA"/>
          <w14:ligatures w14:val="none"/>
        </w:rPr>
        <w:t>164</w:t>
      </w:r>
      <w:r>
        <w:rPr>
          <w:rFonts w:hint="eastAsia" w:ascii="仿宋_GB2312" w:hAnsi="Times New Roman" w:eastAsia="方正仿宋_GBK" w:cs="Times New Roman"/>
          <w:color w:val="000000" w:themeColor="text1"/>
          <w:kern w:val="2"/>
          <w:sz w:val="32"/>
          <w:szCs w:val="32"/>
          <w:lang w:val="en-US" w:eastAsia="zh-CN" w:bidi="ar-SA"/>
          <w14:ligatures w14:val="none"/>
        </w:rPr>
        <w:t>号）</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《关于开展全区国土空间总体规划动态调整完善工作的通知》（新自然资办发〔</w:t>
      </w:r>
      <w:r>
        <w:rPr>
          <w:rFonts w:hint="eastAsia" w:ascii="Times New Roman" w:hAnsi="Times New Roman" w:eastAsia="方正仿宋_GBK" w:cs="Times New Roman"/>
          <w:color w:val="000000" w:themeColor="text1"/>
          <w:kern w:val="2"/>
          <w:sz w:val="32"/>
          <w:szCs w:val="32"/>
          <w:lang w:val="en-US" w:eastAsia="zh-CN" w:bidi="ar-SA"/>
          <w14:ligatures w14:val="none"/>
        </w:rPr>
        <w:t>2026</w:t>
      </w:r>
      <w:r>
        <w:rPr>
          <w:rFonts w:hint="eastAsia" w:ascii="仿宋_GB2312" w:hAnsi="Times New Roman" w:eastAsia="方正仿宋_GBK" w:cs="Times New Roman"/>
          <w:color w:val="000000" w:themeColor="text1"/>
          <w:kern w:val="2"/>
          <w:sz w:val="32"/>
          <w:szCs w:val="32"/>
          <w:lang w:val="en-US" w:eastAsia="zh-CN" w:bidi="ar-SA"/>
          <w14:ligatures w14:val="none"/>
        </w:rPr>
        <w:t>〕</w:t>
      </w:r>
      <w:r>
        <w:rPr>
          <w:rFonts w:hint="eastAsia" w:ascii="Times New Roman" w:hAnsi="Times New Roman" w:eastAsia="方正仿宋_GBK" w:cs="Times New Roman"/>
          <w:color w:val="000000" w:themeColor="text1"/>
          <w:kern w:val="2"/>
          <w:sz w:val="32"/>
          <w:szCs w:val="32"/>
          <w:lang w:val="en-US" w:eastAsia="zh-CN" w:bidi="ar-SA"/>
          <w14:ligatures w14:val="none"/>
        </w:rPr>
        <w:t>13</w:t>
      </w:r>
      <w:r>
        <w:rPr>
          <w:rFonts w:hint="eastAsia" w:ascii="仿宋_GB2312" w:hAnsi="Times New Roman" w:eastAsia="方正仿宋_GBK" w:cs="Times New Roman"/>
          <w:color w:val="000000" w:themeColor="text1"/>
          <w:kern w:val="2"/>
          <w:sz w:val="32"/>
          <w:szCs w:val="32"/>
          <w:lang w:val="en-US" w:eastAsia="zh-CN" w:bidi="ar-SA"/>
          <w14:ligatures w14:val="none"/>
        </w:rPr>
        <w:t>号）</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default"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《喀什地区国民经济和社会发展第十五个五年规划纲要》</w:t>
      </w:r>
      <w:r>
        <w:rPr>
          <w:rFonts w:hint="eastAsia" w:ascii="Times New Roman" w:hAnsi="Times New Roman" w:eastAsia="方正仿宋_GBK" w:cs="Times New Roman"/>
          <w:color w:val="000000" w:themeColor="text1"/>
          <w:kern w:val="2"/>
          <w:sz w:val="32"/>
          <w:szCs w:val="32"/>
          <w:lang w:val="en-US" w:eastAsia="zh-CN" w:bidi="ar-SA"/>
          <w14:ligatures w14:val="none"/>
        </w:rPr>
        <w:t>；</w:t>
      </w:r>
    </w:p>
    <w:p>
      <w:pPr>
        <w:pStyle w:val="38"/>
        <w:pageBreakBefore w:val="0"/>
        <w:numPr>
          <w:ilvl w:val="1"/>
          <w:numId w:val="0"/>
        </w:numPr>
        <w:kinsoku/>
        <w:wordWrap/>
        <w:topLinePunct w:val="0"/>
        <w:bidi w:val="0"/>
        <w:adjustRightInd/>
        <w:snapToGrid w:val="0"/>
        <w:spacing w:line="570" w:lineRule="exact"/>
        <w:ind w:left="0" w:firstLine="640" w:firstLineChars="200"/>
        <w:jc w:val="both"/>
        <w:textAlignment w:val="auto"/>
        <w:rPr>
          <w:rFonts w:hint="eastAsia" w:ascii="仿宋_GB2312" w:hAnsi="Times New Roman" w:eastAsia="方正仿宋_GBK" w:cs="Times New Roman"/>
          <w:color w:val="000000" w:themeColor="text1"/>
          <w:kern w:val="2"/>
          <w:sz w:val="32"/>
          <w:szCs w:val="32"/>
          <w:lang w:val="en-US" w:eastAsia="zh-CN" w:bidi="ar-SA"/>
          <w14:ligatures w14:val="none"/>
        </w:rPr>
      </w:pPr>
      <w:r>
        <w:rPr>
          <w:rFonts w:hint="eastAsia" w:ascii="仿宋_GB2312" w:hAnsi="Times New Roman" w:eastAsia="方正仿宋_GBK" w:cs="Times New Roman"/>
          <w:color w:val="000000" w:themeColor="text1"/>
          <w:kern w:val="2"/>
          <w:sz w:val="32"/>
          <w:szCs w:val="32"/>
          <w:lang w:val="en-US" w:eastAsia="zh-CN" w:bidi="ar-SA"/>
          <w14:ligatures w14:val="none"/>
        </w:rPr>
        <w:t>国家、新疆维吾尔自治区其他相关法律法规、标准规范和政策文件。</w:t>
      </w:r>
    </w:p>
    <w:p>
      <w:pPr>
        <w:keepLines/>
        <w:pageBreakBefore w:val="0"/>
        <w:widowControl/>
        <w:kinsoku/>
        <w:wordWrap/>
        <w:topLinePunct w:val="0"/>
        <w:autoSpaceDE w:val="0"/>
        <w:autoSpaceDN w:val="0"/>
        <w:bidi w:val="0"/>
        <w:adjustRightInd/>
        <w:snapToGrid w:val="0"/>
        <w:spacing w:line="570" w:lineRule="exact"/>
        <w:ind w:firstLine="640" w:firstLineChars="200"/>
        <w:jc w:val="both"/>
        <w:textAlignment w:val="auto"/>
        <w:outlineLvl w:val="0"/>
        <w:rPr>
          <w:rFonts w:hint="eastAsia" w:ascii="方正黑体_GBK" w:hAnsi="方正黑体_GBK" w:eastAsia="方正黑体_GBK" w:cs="方正黑体_GBK"/>
          <w:bCs/>
          <w:color w:val="000000" w:themeColor="text1"/>
          <w:kern w:val="44"/>
          <w:sz w:val="32"/>
          <w:szCs w:val="32"/>
          <w14:ligatures w14:val="none"/>
        </w:rPr>
      </w:pPr>
      <w:bookmarkStart w:id="4" w:name="_Toc237007564"/>
      <w:r>
        <w:rPr>
          <w:rFonts w:hint="eastAsia" w:ascii="方正黑体_GBK" w:hAnsi="方正黑体_GBK" w:eastAsia="方正黑体_GBK" w:cs="方正黑体_GBK"/>
          <w:bCs/>
          <w:color w:val="000000" w:themeColor="text1"/>
          <w:kern w:val="44"/>
          <w:sz w:val="32"/>
          <w:szCs w:val="32"/>
          <w14:ligatures w14:val="none"/>
        </w:rPr>
        <w:t>四、规划范围</w:t>
      </w:r>
      <w:bookmarkEnd w:id="4"/>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仿宋_GB2312" w:hAnsi="Times New Roman" w:eastAsia="方正仿宋_GBK" w:cs="Times New Roman"/>
          <w:color w:val="000000" w:themeColor="text1"/>
          <w:sz w:val="32"/>
          <w:szCs w:val="32"/>
          <w14:ligatures w14:val="none"/>
        </w:rPr>
        <w:t>本次动态维护规划范围与已批复的《喀什地区国土空间总体规划(</w:t>
      </w:r>
      <w:r>
        <w:rPr>
          <w:rFonts w:hint="eastAsia" w:ascii="Times New Roman" w:hAnsi="Times New Roman" w:eastAsia="方正仿宋_GBK" w:cs="Times New Roman"/>
          <w:color w:val="000000" w:themeColor="text1"/>
          <w:sz w:val="32"/>
          <w:szCs w:val="32"/>
          <w14:ligatures w14:val="none"/>
        </w:rPr>
        <w:t>2021</w:t>
      </w:r>
      <w:r>
        <w:rPr>
          <w:rFonts w:hint="eastAsia" w:ascii="Times New Roman" w:hAnsi="Times New Roman" w:eastAsia="方正仿宋_GBK" w:cs="Times New Roman"/>
          <w:color w:val="000000" w:themeColor="text1"/>
          <w:sz w:val="32"/>
          <w:szCs w:val="32"/>
          <w:lang w:eastAsia="zh-CN"/>
          <w14:ligatures w14:val="none"/>
        </w:rPr>
        <w:t>—</w:t>
      </w:r>
      <w:r>
        <w:rPr>
          <w:rFonts w:hint="eastAsia" w:ascii="Times New Roman" w:hAnsi="Times New Roman" w:eastAsia="方正仿宋_GBK" w:cs="Times New Roman"/>
          <w:color w:val="000000" w:themeColor="text1"/>
          <w:sz w:val="32"/>
          <w:szCs w:val="32"/>
          <w14:ligatures w14:val="none"/>
        </w:rPr>
        <w:t>2035</w:t>
      </w:r>
      <w:r>
        <w:rPr>
          <w:rFonts w:hint="eastAsia" w:ascii="仿宋_GB2312" w:hAnsi="Times New Roman" w:eastAsia="方正仿宋_GBK" w:cs="Times New Roman"/>
          <w:color w:val="000000" w:themeColor="text1"/>
          <w:sz w:val="32"/>
          <w:szCs w:val="32"/>
          <w14:ligatures w14:val="none"/>
        </w:rPr>
        <w:t>年)》（以下简称《规划》）规划范围保持一致，即喀什地区全域国土空间。本范围只作为规划工作界线，不作为确权依据。</w:t>
      </w:r>
    </w:p>
    <w:p>
      <w:pPr>
        <w:keepLines/>
        <w:pageBreakBefore w:val="0"/>
        <w:widowControl/>
        <w:kinsoku/>
        <w:wordWrap/>
        <w:topLinePunct w:val="0"/>
        <w:autoSpaceDE w:val="0"/>
        <w:autoSpaceDN w:val="0"/>
        <w:bidi w:val="0"/>
        <w:adjustRightInd/>
        <w:snapToGrid w:val="0"/>
        <w:spacing w:line="570" w:lineRule="exact"/>
        <w:ind w:firstLine="640" w:firstLineChars="200"/>
        <w:jc w:val="both"/>
        <w:textAlignment w:val="auto"/>
        <w:outlineLvl w:val="0"/>
        <w:rPr>
          <w:rFonts w:hint="eastAsia" w:ascii="方正黑体_GBK" w:hAnsi="方正黑体_GBK" w:eastAsia="方正黑体_GBK" w:cs="方正黑体_GBK"/>
          <w:bCs/>
          <w:color w:val="000000" w:themeColor="text1"/>
          <w:kern w:val="44"/>
          <w:sz w:val="32"/>
          <w:szCs w:val="32"/>
          <w14:ligatures w14:val="none"/>
        </w:rPr>
      </w:pPr>
      <w:bookmarkStart w:id="5" w:name="_Toc237007565"/>
      <w:r>
        <w:rPr>
          <w:rFonts w:hint="eastAsia" w:ascii="方正黑体_GBK" w:hAnsi="方正黑体_GBK" w:eastAsia="方正黑体_GBK" w:cs="方正黑体_GBK"/>
          <w:bCs/>
          <w:color w:val="000000" w:themeColor="text1"/>
          <w:kern w:val="44"/>
          <w:sz w:val="32"/>
          <w:szCs w:val="32"/>
          <w14:ligatures w14:val="none"/>
        </w:rPr>
        <w:t>五、</w:t>
      </w:r>
      <w:bookmarkEnd w:id="5"/>
      <w:r>
        <w:rPr>
          <w:rFonts w:hint="eastAsia" w:ascii="方正黑体_GBK" w:hAnsi="方正黑体_GBK" w:eastAsia="方正黑体_GBK" w:cs="方正黑体_GBK"/>
          <w:bCs/>
          <w:color w:val="000000" w:themeColor="text1"/>
          <w:kern w:val="44"/>
          <w:sz w:val="32"/>
          <w:szCs w:val="32"/>
          <w14:ligatures w14:val="none"/>
        </w:rPr>
        <w:t>方案主要内容</w:t>
      </w:r>
    </w:p>
    <w:p>
      <w:pPr>
        <w:keepNext/>
        <w:keepLines/>
        <w:pageBreakBefore w:val="0"/>
        <w:kinsoku/>
        <w:wordWrap/>
        <w:overflowPunct w:val="0"/>
        <w:topLinePunct w:val="0"/>
        <w:bidi w:val="0"/>
        <w:adjustRightInd/>
        <w:snapToGrid w:val="0"/>
        <w:spacing w:line="570" w:lineRule="exact"/>
        <w:ind w:firstLine="640" w:firstLineChars="200"/>
        <w:jc w:val="both"/>
        <w:textAlignment w:val="auto"/>
        <w:outlineLvl w:val="1"/>
        <w:rPr>
          <w:rFonts w:hint="eastAsia" w:ascii="方正楷体_GBK" w:hAnsi="方正楷体_GBK" w:eastAsia="方正楷体_GBK" w:cs="方正楷体_GBK"/>
          <w:b/>
          <w:bCs w:val="0"/>
          <w:color w:val="000000" w:themeColor="text1"/>
          <w:kern w:val="0"/>
          <w:sz w:val="32"/>
          <w:szCs w:val="32"/>
          <w14:ligatures w14:val="none"/>
        </w:rPr>
      </w:pPr>
      <w:bookmarkStart w:id="6" w:name="_Toc237007587"/>
      <w:r>
        <w:rPr>
          <w:rFonts w:hint="eastAsia" w:ascii="方正楷体_GBK" w:hAnsi="方正楷体_GBK" w:eastAsia="方正楷体_GBK" w:cs="方正楷体_GBK"/>
          <w:b/>
          <w:bCs w:val="0"/>
          <w:color w:val="000000" w:themeColor="text1"/>
          <w:kern w:val="0"/>
          <w:sz w:val="32"/>
          <w:szCs w:val="32"/>
          <w14:ligatures w14:val="none"/>
        </w:rPr>
        <w:t>（一）耕地和永久基本农田的正向优化</w:t>
      </w:r>
      <w:bookmarkEnd w:id="6"/>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仿宋_GB2312" w:hAnsi="Times New Roman" w:eastAsia="方正仿宋_GBK" w:cs="Times New Roman"/>
          <w:color w:val="000000" w:themeColor="text1"/>
          <w:sz w:val="32"/>
          <w:szCs w:val="32"/>
          <w14:ligatures w14:val="none"/>
        </w:rPr>
        <w:t>守牢耕地和永久基本农田保护底线，衔接耕地保护和国土绿化空间专项规划，以“数量不减少、质量有提升、布局更优化”为正向优化标准，化解空间矛盾。方案调出影响行洪安全、零星破碎等不稳定耕种的永久基本农田，调入已建高标准农田内符合要求耕地、永久基本农田储备区内长期稳定利用耕地等。维护后的耕地和永久基本农田严格落实《规划》保护任务要求。</w:t>
      </w:r>
    </w:p>
    <w:p>
      <w:pPr>
        <w:keepNext/>
        <w:keepLines/>
        <w:pageBreakBefore w:val="0"/>
        <w:kinsoku/>
        <w:wordWrap/>
        <w:overflowPunct w:val="0"/>
        <w:topLinePunct w:val="0"/>
        <w:bidi w:val="0"/>
        <w:adjustRightInd/>
        <w:snapToGrid w:val="0"/>
        <w:spacing w:line="570" w:lineRule="exact"/>
        <w:ind w:firstLine="640" w:firstLineChars="200"/>
        <w:jc w:val="both"/>
        <w:textAlignment w:val="auto"/>
        <w:outlineLvl w:val="1"/>
        <w:rPr>
          <w:rFonts w:hint="eastAsia" w:ascii="方正楷体_GBK" w:hAnsi="方正楷体_GBK" w:eastAsia="方正楷体_GBK" w:cs="方正楷体_GBK"/>
          <w:b/>
          <w:bCs w:val="0"/>
          <w:color w:val="000000" w:themeColor="text1"/>
          <w:kern w:val="0"/>
          <w:sz w:val="32"/>
          <w:szCs w:val="32"/>
          <w14:ligatures w14:val="none"/>
        </w:rPr>
      </w:pPr>
      <w:bookmarkStart w:id="7" w:name="_Toc237007589"/>
      <w:bookmarkStart w:id="8" w:name="_Toc237007246"/>
      <w:r>
        <w:rPr>
          <w:rFonts w:hint="eastAsia" w:ascii="方正楷体_GBK" w:hAnsi="方正楷体_GBK" w:eastAsia="方正楷体_GBK" w:cs="方正楷体_GBK"/>
          <w:b/>
          <w:bCs w:val="0"/>
          <w:color w:val="000000" w:themeColor="text1"/>
          <w:kern w:val="0"/>
          <w:sz w:val="32"/>
          <w:szCs w:val="32"/>
          <w14:ligatures w14:val="none"/>
        </w:rPr>
        <w:t>（二）生态保护红线的正向优化</w:t>
      </w:r>
      <w:bookmarkEnd w:id="7"/>
      <w:bookmarkEnd w:id="8"/>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仿宋_GB2312" w:hAnsi="Times New Roman" w:eastAsia="方正仿宋_GBK" w:cs="Times New Roman"/>
          <w:color w:val="000000" w:themeColor="text1"/>
          <w:sz w:val="32"/>
          <w:szCs w:val="32"/>
          <w14:ligatures w14:val="none"/>
        </w:rPr>
        <w:t>本次动态维护工作不涉及生态保护红线。</w:t>
      </w:r>
    </w:p>
    <w:p>
      <w:pPr>
        <w:keepNext/>
        <w:keepLines/>
        <w:pageBreakBefore w:val="0"/>
        <w:kinsoku/>
        <w:wordWrap/>
        <w:overflowPunct w:val="0"/>
        <w:topLinePunct w:val="0"/>
        <w:bidi w:val="0"/>
        <w:adjustRightInd/>
        <w:snapToGrid w:val="0"/>
        <w:spacing w:line="570" w:lineRule="exact"/>
        <w:ind w:firstLine="640" w:firstLineChars="200"/>
        <w:jc w:val="both"/>
        <w:textAlignment w:val="auto"/>
        <w:outlineLvl w:val="1"/>
        <w:rPr>
          <w:rFonts w:hint="eastAsia" w:ascii="方正楷体_GBK" w:hAnsi="方正楷体_GBK" w:eastAsia="方正楷体_GBK" w:cs="方正楷体_GBK"/>
          <w:b/>
          <w:bCs w:val="0"/>
          <w:color w:val="000000" w:themeColor="text1"/>
          <w:kern w:val="0"/>
          <w:sz w:val="32"/>
          <w:szCs w:val="32"/>
          <w14:ligatures w14:val="none"/>
        </w:rPr>
      </w:pPr>
      <w:bookmarkStart w:id="9" w:name="_Toc237007590"/>
      <w:bookmarkStart w:id="10" w:name="_Toc237007247"/>
      <w:r>
        <w:rPr>
          <w:rFonts w:hint="eastAsia" w:ascii="方正楷体_GBK" w:hAnsi="方正楷体_GBK" w:eastAsia="方正楷体_GBK" w:cs="方正楷体_GBK"/>
          <w:b/>
          <w:bCs w:val="0"/>
          <w:color w:val="000000" w:themeColor="text1"/>
          <w:kern w:val="0"/>
          <w:sz w:val="32"/>
          <w:szCs w:val="32"/>
          <w14:ligatures w14:val="none"/>
        </w:rPr>
        <w:t>（三）城镇开发边界的正向优化</w:t>
      </w:r>
      <w:bookmarkEnd w:id="9"/>
      <w:bookmarkEnd w:id="10"/>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仿宋_GB2312" w:hAnsi="Times New Roman" w:eastAsia="方正仿宋_GBK" w:cs="Times New Roman"/>
          <w:color w:val="000000" w:themeColor="text1"/>
          <w:sz w:val="32"/>
          <w:szCs w:val="32"/>
          <w14:ligatures w14:val="none"/>
        </w:rPr>
        <w:t>落实最严格的耕地保护制度与生态保护要求，坚持节约集约发展。维护后的城镇开发边界扩展倍数和新增城镇建设用地规模不突破《规划》约束性指标要求。</w:t>
      </w:r>
    </w:p>
    <w:p>
      <w:pPr>
        <w:keepNext/>
        <w:keepLines/>
        <w:pageBreakBefore w:val="0"/>
        <w:kinsoku/>
        <w:wordWrap/>
        <w:overflowPunct w:val="0"/>
        <w:topLinePunct w:val="0"/>
        <w:bidi w:val="0"/>
        <w:adjustRightInd/>
        <w:snapToGrid w:val="0"/>
        <w:spacing w:line="570" w:lineRule="exact"/>
        <w:ind w:firstLine="640" w:firstLineChars="200"/>
        <w:jc w:val="both"/>
        <w:textAlignment w:val="auto"/>
        <w:outlineLvl w:val="1"/>
        <w:rPr>
          <w:rFonts w:hint="eastAsia" w:ascii="方正楷体_GBK" w:hAnsi="方正楷体_GBK" w:eastAsia="方正楷体_GBK" w:cs="方正楷体_GBK"/>
          <w:b/>
          <w:bCs w:val="0"/>
          <w:color w:val="000000" w:themeColor="text1"/>
          <w:kern w:val="0"/>
          <w:sz w:val="32"/>
          <w:szCs w:val="32"/>
          <w14:ligatures w14:val="none"/>
        </w:rPr>
      </w:pPr>
      <w:bookmarkStart w:id="11" w:name="_Toc237007248"/>
      <w:bookmarkStart w:id="12" w:name="_Toc237007591"/>
      <w:r>
        <w:rPr>
          <w:rFonts w:hint="eastAsia" w:ascii="方正楷体_GBK" w:hAnsi="方正楷体_GBK" w:eastAsia="方正楷体_GBK" w:cs="方正楷体_GBK"/>
          <w:b/>
          <w:bCs w:val="0"/>
          <w:color w:val="000000" w:themeColor="text1"/>
          <w:kern w:val="0"/>
          <w:sz w:val="32"/>
          <w:szCs w:val="32"/>
          <w14:ligatures w14:val="none"/>
        </w:rPr>
        <w:t>（四）其他重要控制线的正向优化</w:t>
      </w:r>
      <w:bookmarkEnd w:id="11"/>
      <w:bookmarkEnd w:id="12"/>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仿宋_GB2312" w:hAnsi="Times New Roman" w:eastAsia="方正仿宋_GBK" w:cs="Times New Roman"/>
          <w:color w:val="000000" w:themeColor="text1"/>
          <w:sz w:val="32"/>
          <w:szCs w:val="32"/>
          <w14:ligatures w14:val="none"/>
        </w:rPr>
        <w:t>衔接第四次全国文物普查成果，对喀什地区历史文化保护线中相关文物保护单位保护范围和建设控制地带进行动态更新。</w:t>
      </w:r>
    </w:p>
    <w:p>
      <w:pPr>
        <w:keepNext/>
        <w:keepLines/>
        <w:pageBreakBefore w:val="0"/>
        <w:kinsoku/>
        <w:wordWrap/>
        <w:overflowPunct w:val="0"/>
        <w:topLinePunct w:val="0"/>
        <w:bidi w:val="0"/>
        <w:adjustRightInd/>
        <w:snapToGrid w:val="0"/>
        <w:spacing w:line="570" w:lineRule="exact"/>
        <w:ind w:firstLine="640" w:firstLineChars="200"/>
        <w:jc w:val="both"/>
        <w:textAlignment w:val="auto"/>
        <w:outlineLvl w:val="1"/>
        <w:rPr>
          <w:rFonts w:hint="eastAsia" w:ascii="方正楷体_GBK" w:hAnsi="方正楷体_GBK" w:eastAsia="方正楷体_GBK" w:cs="方正楷体_GBK"/>
          <w:b/>
          <w:bCs w:val="0"/>
          <w:color w:val="000000" w:themeColor="text1"/>
          <w:kern w:val="0"/>
          <w:sz w:val="32"/>
          <w:szCs w:val="32"/>
          <w14:ligatures w14:val="none"/>
        </w:rPr>
      </w:pPr>
      <w:bookmarkStart w:id="13" w:name="_Toc237007592"/>
      <w:r>
        <w:rPr>
          <w:rFonts w:hint="eastAsia" w:ascii="方正楷体_GBK" w:hAnsi="方正楷体_GBK" w:eastAsia="方正楷体_GBK" w:cs="方正楷体_GBK"/>
          <w:b/>
          <w:bCs w:val="0"/>
          <w:color w:val="000000" w:themeColor="text1"/>
          <w:kern w:val="0"/>
          <w:sz w:val="32"/>
          <w:szCs w:val="32"/>
          <w14:ligatures w14:val="none"/>
        </w:rPr>
        <w:t>（五）规划分区维护</w:t>
      </w:r>
      <w:bookmarkEnd w:id="13"/>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仿宋_GB2312" w:hAnsi="Times New Roman" w:eastAsia="方正仿宋_GBK" w:cs="Times New Roman"/>
          <w:color w:val="000000" w:themeColor="text1"/>
          <w:sz w:val="32"/>
          <w:szCs w:val="32"/>
          <w14:ligatures w14:val="none"/>
        </w:rPr>
        <w:t>结合三条控制线的正向优化，同步开展规划分区动态维护，促进空间管控边界布局与规划分区相适应。本次规划分区维护重点对农田保护区、城镇发展区进行优化调整，乡村发展区和生态控制区联动调整，确保各分区主导功能稳定，空间布局集中连片。</w:t>
      </w:r>
    </w:p>
    <w:p>
      <w:pPr>
        <w:keepNext/>
        <w:keepLines/>
        <w:pageBreakBefore w:val="0"/>
        <w:kinsoku/>
        <w:wordWrap/>
        <w:overflowPunct w:val="0"/>
        <w:topLinePunct w:val="0"/>
        <w:bidi w:val="0"/>
        <w:adjustRightInd/>
        <w:snapToGrid w:val="0"/>
        <w:spacing w:line="570" w:lineRule="exact"/>
        <w:ind w:firstLine="640" w:firstLineChars="200"/>
        <w:jc w:val="both"/>
        <w:textAlignment w:val="auto"/>
        <w:outlineLvl w:val="1"/>
        <w:rPr>
          <w:rFonts w:hint="eastAsia" w:ascii="方正楷体_GBK" w:hAnsi="方正楷体_GBK" w:eastAsia="方正楷体_GBK" w:cs="方正楷体_GBK"/>
          <w:b/>
          <w:bCs w:val="0"/>
          <w:color w:val="000000" w:themeColor="text1"/>
          <w:kern w:val="0"/>
          <w:sz w:val="32"/>
          <w:szCs w:val="32"/>
          <w14:ligatures w14:val="none"/>
        </w:rPr>
      </w:pPr>
      <w:bookmarkStart w:id="14" w:name="_Toc237007593"/>
      <w:r>
        <w:rPr>
          <w:rFonts w:hint="eastAsia" w:ascii="方正楷体_GBK" w:hAnsi="方正楷体_GBK" w:eastAsia="方正楷体_GBK" w:cs="方正楷体_GBK"/>
          <w:b/>
          <w:bCs w:val="0"/>
          <w:color w:val="000000" w:themeColor="text1"/>
          <w:kern w:val="0"/>
          <w:sz w:val="32"/>
          <w:szCs w:val="32"/>
          <w14:ligatures w14:val="none"/>
        </w:rPr>
        <w:t>（六）重点建设项目清单维护</w:t>
      </w:r>
      <w:bookmarkEnd w:id="14"/>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仿宋_GB2312" w:hAnsi="Times New Roman" w:eastAsia="方正仿宋_GBK" w:cs="Times New Roman"/>
          <w:color w:val="000000" w:themeColor="text1"/>
          <w:sz w:val="32"/>
          <w:szCs w:val="32"/>
          <w14:ligatures w14:val="none"/>
        </w:rPr>
        <w:t>落实自治区、地区“十五五”规划纲要确定的重大任务、重大工程空间需求，在《规划》重点建设项目清单基础上，增补交通、水利、能源等项目，按照精准上图、示意上图或项目清单上图等方式纳入“一张图”系统。</w:t>
      </w:r>
    </w:p>
    <w:p>
      <w:pPr>
        <w:keepLines/>
        <w:pageBreakBefore w:val="0"/>
        <w:widowControl/>
        <w:kinsoku/>
        <w:wordWrap/>
        <w:topLinePunct w:val="0"/>
        <w:autoSpaceDE w:val="0"/>
        <w:autoSpaceDN w:val="0"/>
        <w:bidi w:val="0"/>
        <w:adjustRightInd/>
        <w:snapToGrid w:val="0"/>
        <w:spacing w:line="570" w:lineRule="exact"/>
        <w:ind w:firstLine="640" w:firstLineChars="200"/>
        <w:jc w:val="both"/>
        <w:textAlignment w:val="auto"/>
        <w:outlineLvl w:val="0"/>
        <w:rPr>
          <w:rFonts w:hint="eastAsia" w:ascii="方正黑体_GBK" w:hAnsi="方正黑体_GBK" w:eastAsia="方正黑体_GBK" w:cs="方正黑体_GBK"/>
          <w:bCs/>
          <w:color w:val="000000" w:themeColor="text1"/>
          <w:kern w:val="44"/>
          <w:sz w:val="32"/>
          <w:szCs w:val="32"/>
          <w14:ligatures w14:val="none"/>
        </w:rPr>
      </w:pPr>
      <w:bookmarkStart w:id="15" w:name="_Toc237007598"/>
      <w:r>
        <w:rPr>
          <w:rFonts w:hint="eastAsia" w:ascii="方正黑体_GBK" w:hAnsi="方正黑体_GBK" w:eastAsia="方正黑体_GBK" w:cs="方正黑体_GBK"/>
          <w:bCs/>
          <w:color w:val="000000" w:themeColor="text1"/>
          <w:kern w:val="44"/>
          <w:sz w:val="32"/>
          <w:szCs w:val="32"/>
          <w14:ligatures w14:val="none"/>
        </w:rPr>
        <w:t>六、实施保障</w:t>
      </w:r>
      <w:bookmarkEnd w:id="15"/>
    </w:p>
    <w:p>
      <w:pPr>
        <w:keepNext/>
        <w:keepLines/>
        <w:pageBreakBefore w:val="0"/>
        <w:kinsoku/>
        <w:wordWrap/>
        <w:overflowPunct w:val="0"/>
        <w:topLinePunct w:val="0"/>
        <w:bidi w:val="0"/>
        <w:adjustRightInd/>
        <w:snapToGrid w:val="0"/>
        <w:spacing w:line="570" w:lineRule="exact"/>
        <w:ind w:firstLine="640" w:firstLineChars="200"/>
        <w:jc w:val="both"/>
        <w:textAlignment w:val="auto"/>
        <w:outlineLvl w:val="1"/>
        <w:rPr>
          <w:rFonts w:hint="eastAsia" w:ascii="方正楷体_GBK" w:hAnsi="方正楷体_GBK" w:eastAsia="方正楷体_GBK" w:cs="方正楷体_GBK"/>
          <w:b/>
          <w:bCs w:val="0"/>
          <w:color w:val="000000" w:themeColor="text1"/>
          <w:kern w:val="0"/>
          <w:sz w:val="32"/>
          <w:szCs w:val="32"/>
          <w14:ligatures w14:val="none"/>
        </w:rPr>
      </w:pPr>
      <w:bookmarkStart w:id="16" w:name="_Toc237007599"/>
      <w:r>
        <w:rPr>
          <w:rFonts w:hint="eastAsia" w:ascii="方正楷体_GBK" w:hAnsi="方正楷体_GBK" w:eastAsia="方正楷体_GBK" w:cs="方正楷体_GBK"/>
          <w:b/>
          <w:bCs w:val="0"/>
          <w:color w:val="000000" w:themeColor="text1"/>
          <w:kern w:val="0"/>
          <w:sz w:val="32"/>
          <w:szCs w:val="32"/>
          <w14:ligatures w14:val="none"/>
        </w:rPr>
        <w:t>（一）健全规划实施动态调整完善机制</w:t>
      </w:r>
      <w:bookmarkEnd w:id="16"/>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仿宋_GB2312" w:hAnsi="Times New Roman" w:eastAsia="方正仿宋_GBK" w:cs="Times New Roman"/>
          <w:color w:val="000000" w:themeColor="text1"/>
          <w:sz w:val="32"/>
          <w:szCs w:val="32"/>
          <w14:ligatures w14:val="none"/>
        </w:rPr>
        <w:t>按照定期体检和五年一评估要求，结合年度国土变更调查等成果，定期开展规划体检评估和动态维护工作</w:t>
      </w:r>
      <w:r>
        <w:rPr>
          <w:rFonts w:hint="eastAsia" w:ascii="仿宋_GB2312" w:hAnsi="Times New Roman" w:eastAsia="方正仿宋_GBK" w:cs="Times New Roman"/>
          <w:color w:val="000000" w:themeColor="text1"/>
          <w:sz w:val="32"/>
          <w:szCs w:val="32"/>
          <w:lang w:eastAsia="zh-CN"/>
          <w14:ligatures w14:val="none"/>
        </w:rPr>
        <w:t>；</w:t>
      </w:r>
      <w:r>
        <w:rPr>
          <w:rFonts w:hint="eastAsia" w:ascii="仿宋_GB2312" w:hAnsi="Times New Roman" w:eastAsia="方正仿宋_GBK" w:cs="Times New Roman"/>
          <w:color w:val="000000" w:themeColor="text1"/>
          <w:sz w:val="32"/>
          <w:szCs w:val="32"/>
          <w14:ligatures w14:val="none"/>
        </w:rPr>
        <w:t>涉及规划范围、总体格局、主体功能定位等重大调整的，按法定程序开展规划修改。</w:t>
      </w:r>
    </w:p>
    <w:p>
      <w:pPr>
        <w:keepNext/>
        <w:keepLines/>
        <w:pageBreakBefore w:val="0"/>
        <w:kinsoku/>
        <w:wordWrap/>
        <w:overflowPunct w:val="0"/>
        <w:topLinePunct w:val="0"/>
        <w:bidi w:val="0"/>
        <w:adjustRightInd/>
        <w:snapToGrid w:val="0"/>
        <w:spacing w:line="570" w:lineRule="exact"/>
        <w:ind w:firstLine="640" w:firstLineChars="200"/>
        <w:jc w:val="both"/>
        <w:textAlignment w:val="auto"/>
        <w:outlineLvl w:val="1"/>
        <w:rPr>
          <w:rFonts w:hint="eastAsia" w:ascii="方正楷体_GBK" w:hAnsi="方正楷体_GBK" w:eastAsia="方正楷体_GBK" w:cs="方正楷体_GBK"/>
          <w:b/>
          <w:bCs w:val="0"/>
          <w:color w:val="000000" w:themeColor="text1"/>
          <w:kern w:val="0"/>
          <w:sz w:val="32"/>
          <w:szCs w:val="32"/>
          <w14:ligatures w14:val="none"/>
        </w:rPr>
      </w:pPr>
      <w:bookmarkStart w:id="17" w:name="_Toc237007600"/>
      <w:r>
        <w:rPr>
          <w:rFonts w:hint="eastAsia" w:ascii="方正楷体_GBK" w:hAnsi="方正楷体_GBK" w:eastAsia="方正楷体_GBK" w:cs="方正楷体_GBK"/>
          <w:b/>
          <w:bCs w:val="0"/>
          <w:color w:val="000000" w:themeColor="text1"/>
          <w:kern w:val="0"/>
          <w:sz w:val="32"/>
          <w:szCs w:val="32"/>
          <w14:ligatures w14:val="none"/>
        </w:rPr>
        <w:t>（二）加强动态维护方案层级传导与落实</w:t>
      </w:r>
      <w:bookmarkEnd w:id="17"/>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仿宋_GB2312" w:hAnsi="Times New Roman" w:eastAsia="方正仿宋_GBK" w:cs="Times New Roman"/>
          <w:color w:val="000000" w:themeColor="text1"/>
          <w:sz w:val="32"/>
          <w:szCs w:val="32"/>
          <w14:ligatures w14:val="none"/>
        </w:rPr>
        <w:t>制定“指标、清单、数据”等传导要求，将喀什地区国土空间总体规划动态维护方案确定的目标指标、重大建设项目清单和核心矢量数据等内容，逐级深化、细化传导。健全国土空间总体规划与相关专项规划动态衔接机制。</w:t>
      </w:r>
    </w:p>
    <w:p>
      <w:pPr>
        <w:keepNext/>
        <w:keepLines/>
        <w:pageBreakBefore w:val="0"/>
        <w:kinsoku/>
        <w:wordWrap/>
        <w:overflowPunct w:val="0"/>
        <w:topLinePunct w:val="0"/>
        <w:bidi w:val="0"/>
        <w:adjustRightInd/>
        <w:snapToGrid w:val="0"/>
        <w:spacing w:line="570" w:lineRule="exact"/>
        <w:ind w:firstLine="640" w:firstLineChars="200"/>
        <w:jc w:val="both"/>
        <w:textAlignment w:val="auto"/>
        <w:outlineLvl w:val="1"/>
        <w:rPr>
          <w:rFonts w:hint="eastAsia" w:ascii="方正楷体_GBK" w:hAnsi="方正楷体_GBK" w:eastAsia="方正楷体_GBK" w:cs="方正楷体_GBK"/>
          <w:b/>
          <w:bCs w:val="0"/>
          <w:color w:val="000000" w:themeColor="text1"/>
          <w:kern w:val="0"/>
          <w:sz w:val="32"/>
          <w:szCs w:val="32"/>
          <w14:ligatures w14:val="none"/>
        </w:rPr>
      </w:pPr>
      <w:bookmarkStart w:id="18" w:name="_Toc237007601"/>
      <w:r>
        <w:rPr>
          <w:rFonts w:hint="eastAsia" w:ascii="方正楷体_GBK" w:hAnsi="方正楷体_GBK" w:eastAsia="方正楷体_GBK" w:cs="方正楷体_GBK"/>
          <w:b/>
          <w:bCs w:val="0"/>
          <w:color w:val="000000" w:themeColor="text1"/>
          <w:kern w:val="0"/>
          <w:sz w:val="32"/>
          <w:szCs w:val="32"/>
          <w14:ligatures w14:val="none"/>
        </w:rPr>
        <w:t>（三）完善“一张图”全生命周期管理</w:t>
      </w:r>
      <w:bookmarkEnd w:id="18"/>
    </w:p>
    <w:p>
      <w:pPr>
        <w:pageBreakBefore w:val="0"/>
        <w:kinsoku/>
        <w:wordWrap/>
        <w:topLinePunct w:val="0"/>
        <w:bidi w:val="0"/>
        <w:adjustRightInd/>
        <w:snapToGrid w:val="0"/>
        <w:spacing w:line="570" w:lineRule="exact"/>
        <w:ind w:firstLine="640" w:firstLineChars="200"/>
        <w:jc w:val="both"/>
        <w:textAlignment w:val="auto"/>
        <w:rPr>
          <w:rFonts w:hint="eastAsia" w:ascii="仿宋_GB2312" w:hAnsi="Times New Roman" w:eastAsia="方正仿宋_GBK" w:cs="Times New Roman"/>
          <w:color w:val="000000" w:themeColor="text1"/>
          <w:sz w:val="32"/>
          <w:szCs w:val="32"/>
          <w14:ligatures w14:val="none"/>
        </w:rPr>
      </w:pPr>
      <w:r>
        <w:rPr>
          <w:rFonts w:hint="eastAsia" w:ascii="仿宋_GB2312" w:hAnsi="Times New Roman" w:eastAsia="方正仿宋_GBK" w:cs="Times New Roman"/>
          <w:color w:val="000000" w:themeColor="text1"/>
          <w:sz w:val="32"/>
          <w:szCs w:val="32"/>
          <w14:ligatures w14:val="none"/>
        </w:rPr>
        <w:t>依托国土空间规划“一张图”系统，全面支撑规划体检评估与动态调整完善工作。规范动态维护成果汇交、审查与入库，建立规划成果动态更新机制。强化分级管控和监督实施，将动态维护方案执行情况纳入国土空间监测，实现“监测</w:t>
      </w:r>
      <w:r>
        <w:rPr>
          <w:rFonts w:hint="eastAsia" w:ascii="Times New Roman" w:hAnsi="Times New Roman" w:eastAsia="方正仿宋_GBK" w:cs="Times New Roman"/>
          <w:color w:val="000000" w:themeColor="text1"/>
          <w:sz w:val="32"/>
          <w:szCs w:val="32"/>
          <w:lang w:eastAsia="zh-CN"/>
          <w14:ligatures w14:val="none"/>
        </w:rPr>
        <w:t>—</w:t>
      </w:r>
      <w:r>
        <w:rPr>
          <w:rFonts w:hint="eastAsia" w:ascii="仿宋_GB2312" w:hAnsi="Times New Roman" w:eastAsia="方正仿宋_GBK" w:cs="Times New Roman"/>
          <w:color w:val="000000" w:themeColor="text1"/>
          <w:sz w:val="32"/>
          <w:szCs w:val="32"/>
          <w14:ligatures w14:val="none"/>
        </w:rPr>
        <w:t>评估</w:t>
      </w:r>
      <w:r>
        <w:rPr>
          <w:rFonts w:hint="eastAsia" w:ascii="Times New Roman" w:hAnsi="Times New Roman" w:eastAsia="方正仿宋_GBK" w:cs="Times New Roman"/>
          <w:color w:val="000000" w:themeColor="text1"/>
          <w:sz w:val="32"/>
          <w:szCs w:val="32"/>
          <w:lang w:eastAsia="zh-CN"/>
          <w14:ligatures w14:val="none"/>
        </w:rPr>
        <w:t>—</w:t>
      </w:r>
      <w:r>
        <w:rPr>
          <w:rFonts w:hint="eastAsia" w:ascii="仿宋_GB2312" w:hAnsi="Times New Roman" w:eastAsia="方正仿宋_GBK" w:cs="Times New Roman"/>
          <w:color w:val="000000" w:themeColor="text1"/>
          <w:sz w:val="32"/>
          <w:szCs w:val="32"/>
          <w14:ligatures w14:val="none"/>
        </w:rPr>
        <w:t>调整</w:t>
      </w:r>
      <w:r>
        <w:rPr>
          <w:rFonts w:hint="eastAsia" w:ascii="Times New Roman" w:hAnsi="Times New Roman" w:eastAsia="方正仿宋_GBK" w:cs="Times New Roman"/>
          <w:color w:val="000000" w:themeColor="text1"/>
          <w:sz w:val="32"/>
          <w:szCs w:val="32"/>
          <w:lang w:eastAsia="zh-CN"/>
          <w14:ligatures w14:val="none"/>
        </w:rPr>
        <w:t>—</w:t>
      </w:r>
      <w:r>
        <w:rPr>
          <w:rFonts w:hint="eastAsia" w:ascii="仿宋_GB2312" w:hAnsi="Times New Roman" w:eastAsia="方正仿宋_GBK" w:cs="Times New Roman"/>
          <w:color w:val="000000" w:themeColor="text1"/>
          <w:sz w:val="32"/>
          <w:szCs w:val="32"/>
          <w14:ligatures w14:val="none"/>
        </w:rPr>
        <w:t>监督”的闭环管理。</w:t>
      </w:r>
    </w:p>
    <w:p>
      <w:pPr>
        <w:pageBreakBefore w:val="0"/>
        <w:kinsoku/>
        <w:wordWrap/>
        <w:topLinePunct w:val="0"/>
        <w:bidi w:val="0"/>
        <w:adjustRightInd/>
        <w:snapToGrid w:val="0"/>
        <w:spacing w:line="570" w:lineRule="exact"/>
        <w:ind w:firstLine="640" w:firstLineChars="200"/>
        <w:jc w:val="both"/>
        <w:textAlignment w:val="auto"/>
        <w:rPr>
          <w:rFonts w:hint="eastAsia" w:ascii="楷体" w:hAnsi="楷体" w:eastAsia="楷体"/>
          <w:sz w:val="32"/>
          <w:szCs w:val="32"/>
        </w:rPr>
      </w:pPr>
      <w:r>
        <w:rPr>
          <w:rFonts w:hint="eastAsia" w:ascii="楷体" w:hAnsi="楷体" w:eastAsia="楷体"/>
          <w:sz w:val="32"/>
          <w:szCs w:val="32"/>
        </w:rPr>
        <w:t>注：本次动态维护方案内容以审查核准后成果为准</w:t>
      </w:r>
    </w:p>
    <w:sectPr>
      <w:footerReference r:id="rId3" w:type="default"/>
      <w:pgSz w:w="11906" w:h="16838"/>
      <w:pgMar w:top="1440" w:right="1800" w:bottom="1440" w:left="1800" w:header="851" w:footer="1077"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panose1 w:val="02000000000000000000"/>
    <w:charset w:val="86"/>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panose1 w:val="02000000000000000000"/>
    <w:charset w:val="86"/>
    <w:family w:val="auto"/>
    <w:pitch w:val="default"/>
    <w:sig w:usb0="00000000" w:usb1="00000000" w:usb2="00000000" w:usb3="00000000" w:csb0="00000000" w:csb1="00000000"/>
  </w:font>
  <w:font w:name="楷体_GB2312">
    <w:altName w:val="楷体"/>
    <w:panose1 w:val="00000000000000000000"/>
    <w:charset w:val="86"/>
    <w:family w:val="modern"/>
    <w:pitch w:val="default"/>
    <w:sig w:usb0="00000000" w:usb1="00000000" w:usb2="00000010" w:usb3="00000000" w:csb0="00040000" w:csb1="00000000"/>
  </w:font>
  <w:font w:name="方正楷体_GBK">
    <w:altName w:val="微软雅黑"/>
    <w:panose1 w:val="02000000000000000000"/>
    <w:charset w:val="86"/>
    <w:family w:val="auto"/>
    <w:pitch w:val="default"/>
    <w:sig w:usb0="00000000" w:usb1="00000000" w:usb2="00082016" w:usb3="00000000" w:csb0="00040001" w:csb1="00000000"/>
  </w:font>
  <w:font w:name="方正仿宋_GBK">
    <w:panose1 w:val="02000000000000000000"/>
    <w:charset w:val="86"/>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rPr>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3"/>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characterSpacingControl w:val="doNotCompress"/>
  <w:hdrShapeDefaults>
    <o:shapelayout v:ext="edit">
      <o:idmap v:ext="edit" data="3,4"/>
    </o:shapelayout>
  </w:hdrShapeDefaults>
  <w:compat>
    <w:useFELayout/>
    <w:compatSetting w:name="compatibilityMode" w:uri="http://schemas.microsoft.com/office/word" w:val="12"/>
  </w:compat>
  <w:docVars>
    <w:docVar w:name="commondata" w:val="eyJoZGlkIjoiMjQwYjlkYmNlMzdlYTFkZTFjYTJhNGVlY2M4MjhiNzMifQ=="/>
  </w:docVars>
  <w:rsids>
    <w:rsidRoot w:val="00CA7746"/>
    <w:rsid w:val="000136DF"/>
    <w:rsid w:val="000218A4"/>
    <w:rsid w:val="000462C0"/>
    <w:rsid w:val="00061776"/>
    <w:rsid w:val="000725F8"/>
    <w:rsid w:val="00085B98"/>
    <w:rsid w:val="0009762D"/>
    <w:rsid w:val="000B4A79"/>
    <w:rsid w:val="000C32A7"/>
    <w:rsid w:val="000D3001"/>
    <w:rsid w:val="000D784A"/>
    <w:rsid w:val="000E04C4"/>
    <w:rsid w:val="000E100D"/>
    <w:rsid w:val="00104651"/>
    <w:rsid w:val="0011272E"/>
    <w:rsid w:val="00121EE1"/>
    <w:rsid w:val="001228E8"/>
    <w:rsid w:val="00133B66"/>
    <w:rsid w:val="00136DAC"/>
    <w:rsid w:val="00141C52"/>
    <w:rsid w:val="00145033"/>
    <w:rsid w:val="001509D2"/>
    <w:rsid w:val="001810B8"/>
    <w:rsid w:val="00192421"/>
    <w:rsid w:val="00195688"/>
    <w:rsid w:val="001A1DF9"/>
    <w:rsid w:val="001A6803"/>
    <w:rsid w:val="001B42C0"/>
    <w:rsid w:val="001C28E8"/>
    <w:rsid w:val="001D1EAB"/>
    <w:rsid w:val="001D3EAF"/>
    <w:rsid w:val="001E3C0B"/>
    <w:rsid w:val="00204365"/>
    <w:rsid w:val="002144B5"/>
    <w:rsid w:val="00216E6B"/>
    <w:rsid w:val="0021723E"/>
    <w:rsid w:val="0024675A"/>
    <w:rsid w:val="00251211"/>
    <w:rsid w:val="00295D35"/>
    <w:rsid w:val="002A451D"/>
    <w:rsid w:val="002A6168"/>
    <w:rsid w:val="002B17FB"/>
    <w:rsid w:val="002C0808"/>
    <w:rsid w:val="002C3F2E"/>
    <w:rsid w:val="002C48C0"/>
    <w:rsid w:val="002C6CC1"/>
    <w:rsid w:val="002D080D"/>
    <w:rsid w:val="002F2604"/>
    <w:rsid w:val="003100A8"/>
    <w:rsid w:val="00317379"/>
    <w:rsid w:val="00317FEA"/>
    <w:rsid w:val="00330551"/>
    <w:rsid w:val="003333FD"/>
    <w:rsid w:val="00336BEA"/>
    <w:rsid w:val="003640D0"/>
    <w:rsid w:val="00375111"/>
    <w:rsid w:val="00384D14"/>
    <w:rsid w:val="00392204"/>
    <w:rsid w:val="003974C7"/>
    <w:rsid w:val="003B2FF4"/>
    <w:rsid w:val="003B4741"/>
    <w:rsid w:val="003C1DC6"/>
    <w:rsid w:val="00407359"/>
    <w:rsid w:val="00415DC8"/>
    <w:rsid w:val="00417416"/>
    <w:rsid w:val="004269F7"/>
    <w:rsid w:val="00452E05"/>
    <w:rsid w:val="00455869"/>
    <w:rsid w:val="00470975"/>
    <w:rsid w:val="004710A2"/>
    <w:rsid w:val="00485CBA"/>
    <w:rsid w:val="004A6852"/>
    <w:rsid w:val="005008A6"/>
    <w:rsid w:val="00502C85"/>
    <w:rsid w:val="00510AB5"/>
    <w:rsid w:val="0052036B"/>
    <w:rsid w:val="00572583"/>
    <w:rsid w:val="00576187"/>
    <w:rsid w:val="00580475"/>
    <w:rsid w:val="00586935"/>
    <w:rsid w:val="005B0F8F"/>
    <w:rsid w:val="005B5A88"/>
    <w:rsid w:val="005B79C0"/>
    <w:rsid w:val="005C4EF8"/>
    <w:rsid w:val="005C5861"/>
    <w:rsid w:val="005E5AC0"/>
    <w:rsid w:val="00660A70"/>
    <w:rsid w:val="00670958"/>
    <w:rsid w:val="00670E10"/>
    <w:rsid w:val="006B7242"/>
    <w:rsid w:val="006C1ABD"/>
    <w:rsid w:val="006E45AB"/>
    <w:rsid w:val="00711B66"/>
    <w:rsid w:val="00741CDB"/>
    <w:rsid w:val="0077784E"/>
    <w:rsid w:val="00783F10"/>
    <w:rsid w:val="008238F6"/>
    <w:rsid w:val="008244CF"/>
    <w:rsid w:val="00827A7B"/>
    <w:rsid w:val="008358DB"/>
    <w:rsid w:val="0085164D"/>
    <w:rsid w:val="0085412E"/>
    <w:rsid w:val="00866870"/>
    <w:rsid w:val="00870A3B"/>
    <w:rsid w:val="00885B9C"/>
    <w:rsid w:val="00886B4D"/>
    <w:rsid w:val="008D2729"/>
    <w:rsid w:val="008E1324"/>
    <w:rsid w:val="008E6EA6"/>
    <w:rsid w:val="008F4F0B"/>
    <w:rsid w:val="00904136"/>
    <w:rsid w:val="00935BA1"/>
    <w:rsid w:val="00951D44"/>
    <w:rsid w:val="0095691F"/>
    <w:rsid w:val="00975883"/>
    <w:rsid w:val="00975AF1"/>
    <w:rsid w:val="00991FE2"/>
    <w:rsid w:val="009D529D"/>
    <w:rsid w:val="00A0230C"/>
    <w:rsid w:val="00A02D5E"/>
    <w:rsid w:val="00A330D9"/>
    <w:rsid w:val="00A5387B"/>
    <w:rsid w:val="00A66616"/>
    <w:rsid w:val="00AB1695"/>
    <w:rsid w:val="00AB589A"/>
    <w:rsid w:val="00AC6769"/>
    <w:rsid w:val="00AD5DAE"/>
    <w:rsid w:val="00AF7158"/>
    <w:rsid w:val="00B22B92"/>
    <w:rsid w:val="00B310C7"/>
    <w:rsid w:val="00B43272"/>
    <w:rsid w:val="00B46EEC"/>
    <w:rsid w:val="00B76218"/>
    <w:rsid w:val="00B9427A"/>
    <w:rsid w:val="00B965B3"/>
    <w:rsid w:val="00BA3400"/>
    <w:rsid w:val="00BE4980"/>
    <w:rsid w:val="00C1308C"/>
    <w:rsid w:val="00C40C07"/>
    <w:rsid w:val="00C54537"/>
    <w:rsid w:val="00C740BC"/>
    <w:rsid w:val="00C81B91"/>
    <w:rsid w:val="00C86318"/>
    <w:rsid w:val="00C92A94"/>
    <w:rsid w:val="00CA7746"/>
    <w:rsid w:val="00CA7C64"/>
    <w:rsid w:val="00CB6258"/>
    <w:rsid w:val="00CB691E"/>
    <w:rsid w:val="00CD0CA3"/>
    <w:rsid w:val="00D034CD"/>
    <w:rsid w:val="00D079B3"/>
    <w:rsid w:val="00D07F6E"/>
    <w:rsid w:val="00D167CD"/>
    <w:rsid w:val="00D207D1"/>
    <w:rsid w:val="00D26AE3"/>
    <w:rsid w:val="00D31A2A"/>
    <w:rsid w:val="00D5010F"/>
    <w:rsid w:val="00D538F0"/>
    <w:rsid w:val="00D53EC2"/>
    <w:rsid w:val="00D843E9"/>
    <w:rsid w:val="00D87FFB"/>
    <w:rsid w:val="00D938FF"/>
    <w:rsid w:val="00D96DB5"/>
    <w:rsid w:val="00DB5F93"/>
    <w:rsid w:val="00DC1EAA"/>
    <w:rsid w:val="00DC4455"/>
    <w:rsid w:val="00DC6B28"/>
    <w:rsid w:val="00DD693C"/>
    <w:rsid w:val="00E025BB"/>
    <w:rsid w:val="00E370C2"/>
    <w:rsid w:val="00E40B49"/>
    <w:rsid w:val="00E4712D"/>
    <w:rsid w:val="00E47399"/>
    <w:rsid w:val="00E524E7"/>
    <w:rsid w:val="00E71755"/>
    <w:rsid w:val="00E847C9"/>
    <w:rsid w:val="00E86429"/>
    <w:rsid w:val="00E86BB8"/>
    <w:rsid w:val="00EA2FD5"/>
    <w:rsid w:val="00EB41C1"/>
    <w:rsid w:val="00EC05C8"/>
    <w:rsid w:val="00F17FBD"/>
    <w:rsid w:val="00F27F1E"/>
    <w:rsid w:val="00F42C8C"/>
    <w:rsid w:val="00F50FD7"/>
    <w:rsid w:val="00F53F3C"/>
    <w:rsid w:val="00F7088A"/>
    <w:rsid w:val="00F86AE9"/>
    <w:rsid w:val="00FA368B"/>
    <w:rsid w:val="00FB134D"/>
    <w:rsid w:val="00FB4731"/>
    <w:rsid w:val="00FE155A"/>
    <w:rsid w:val="00FF021D"/>
    <w:rsid w:val="00FF4065"/>
    <w:rsid w:val="026C6D7F"/>
    <w:rsid w:val="02F0175E"/>
    <w:rsid w:val="1131605C"/>
    <w:rsid w:val="11E7415C"/>
    <w:rsid w:val="1DAB4E9F"/>
    <w:rsid w:val="21894E00"/>
    <w:rsid w:val="254E4D73"/>
    <w:rsid w:val="2EEC0654"/>
    <w:rsid w:val="3077052C"/>
    <w:rsid w:val="34C9456A"/>
    <w:rsid w:val="37067ABE"/>
    <w:rsid w:val="42703746"/>
    <w:rsid w:val="43DB4BDF"/>
    <w:rsid w:val="53A55F31"/>
    <w:rsid w:val="558E1B22"/>
    <w:rsid w:val="63C14EE7"/>
    <w:rsid w:val="63F9354D"/>
    <w:rsid w:val="688D4E15"/>
    <w:rsid w:val="6B691307"/>
    <w:rsid w:val="70685640"/>
    <w:rsid w:val="73F30E2F"/>
    <w:rsid w:val="7AB76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3">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4">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2">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0F4761" w:themeColor="accent1" w:themeShade="BF"/>
      <w:sz w:val="24"/>
      <w:szCs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2"/>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85858" w:themeColor="text1" w:themeTint="A6"/>
    </w:rPr>
  </w:style>
  <w:style w:type="character" w:default="1" w:styleId="22">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11">
    <w:name w:val="annotation text"/>
    <w:basedOn w:val="1"/>
    <w:link w:val="46"/>
    <w:semiHidden/>
    <w:unhideWhenUsed/>
    <w:qFormat/>
    <w:uiPriority w:val="99"/>
    <w:pPr>
      <w:jc w:val="left"/>
    </w:pPr>
  </w:style>
  <w:style w:type="paragraph" w:styleId="12">
    <w:name w:val="toc 3"/>
    <w:basedOn w:val="1"/>
    <w:next w:val="1"/>
    <w:unhideWhenUsed/>
    <w:uiPriority w:val="39"/>
    <w:pPr>
      <w:ind w:left="840" w:leftChars="400"/>
    </w:pPr>
  </w:style>
  <w:style w:type="paragraph" w:styleId="13">
    <w:name w:val="footer"/>
    <w:basedOn w:val="1"/>
    <w:link w:val="44"/>
    <w:unhideWhenUsed/>
    <w:qFormat/>
    <w:uiPriority w:val="99"/>
    <w:pPr>
      <w:tabs>
        <w:tab w:val="center" w:pos="4153"/>
        <w:tab w:val="right" w:pos="8306"/>
      </w:tabs>
      <w:snapToGrid w:val="0"/>
      <w:jc w:val="left"/>
    </w:pPr>
    <w:rPr>
      <w:sz w:val="18"/>
      <w:szCs w:val="18"/>
    </w:rPr>
  </w:style>
  <w:style w:type="paragraph" w:styleId="14">
    <w:name w:val="header"/>
    <w:basedOn w:val="1"/>
    <w:link w:val="43"/>
    <w:unhideWhenUsed/>
    <w:qFormat/>
    <w:uiPriority w:val="99"/>
    <w:pPr>
      <w:tabs>
        <w:tab w:val="center" w:pos="4153"/>
        <w:tab w:val="right" w:pos="8306"/>
      </w:tabs>
      <w:snapToGrid w:val="0"/>
      <w:jc w:val="center"/>
    </w:pPr>
    <w:rPr>
      <w:sz w:val="18"/>
      <w:szCs w:val="18"/>
    </w:rPr>
  </w:style>
  <w:style w:type="paragraph" w:styleId="15">
    <w:name w:val="toc 1"/>
    <w:basedOn w:val="1"/>
    <w:next w:val="1"/>
    <w:unhideWhenUsed/>
    <w:qFormat/>
    <w:uiPriority w:val="39"/>
    <w:pPr>
      <w:tabs>
        <w:tab w:val="right" w:leader="dot" w:pos="8296"/>
      </w:tabs>
    </w:pPr>
    <w:rPr>
      <w:rFonts w:ascii="仿宋_GB2312" w:hAnsi="方正小标宋_GBK" w:eastAsia="仿宋_GB2312" w:cs="方正小标宋_GBK"/>
      <w:b/>
      <w:kern w:val="44"/>
      <w:sz w:val="32"/>
      <w:szCs w:val="32"/>
      <w14:ligatures w14:val="none"/>
    </w:rPr>
  </w:style>
  <w:style w:type="paragraph" w:styleId="16">
    <w:name w:val="Subtitle"/>
    <w:basedOn w:val="1"/>
    <w:next w:val="1"/>
    <w:link w:val="35"/>
    <w:qFormat/>
    <w:uiPriority w:val="11"/>
    <w:pPr>
      <w:spacing w:after="160"/>
      <w:jc w:val="center"/>
    </w:pPr>
    <w:rPr>
      <w:rFonts w:asciiTheme="majorHAnsi" w:hAnsiTheme="majorHAnsi" w:eastAsiaTheme="majorEastAsia" w:cstheme="majorBidi"/>
      <w:color w:val="585858" w:themeColor="text1" w:themeTint="A6"/>
      <w:spacing w:val="15"/>
      <w:sz w:val="28"/>
      <w:szCs w:val="28"/>
    </w:rPr>
  </w:style>
  <w:style w:type="paragraph" w:styleId="17">
    <w:name w:val="toc 2"/>
    <w:basedOn w:val="1"/>
    <w:next w:val="1"/>
    <w:unhideWhenUsed/>
    <w:qFormat/>
    <w:uiPriority w:val="39"/>
    <w:pPr>
      <w:ind w:left="420" w:leftChars="200"/>
    </w:pPr>
  </w:style>
  <w:style w:type="paragraph" w:styleId="18">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9">
    <w:name w:val="annotation subject"/>
    <w:basedOn w:val="11"/>
    <w:next w:val="11"/>
    <w:link w:val="47"/>
    <w:semiHidden/>
    <w:unhideWhenUsed/>
    <w:uiPriority w:val="99"/>
    <w:rPr>
      <w:b/>
      <w:bCs/>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3">
    <w:name w:val="Hyperlink"/>
    <w:basedOn w:val="22"/>
    <w:unhideWhenUsed/>
    <w:qFormat/>
    <w:uiPriority w:val="99"/>
    <w:rPr>
      <w:color w:val="467886" w:themeColor="hyperlink"/>
      <w:u w:val="single"/>
    </w:rPr>
  </w:style>
  <w:style w:type="character" w:styleId="24">
    <w:name w:val="annotation reference"/>
    <w:basedOn w:val="22"/>
    <w:semiHidden/>
    <w:unhideWhenUsed/>
    <w:qFormat/>
    <w:uiPriority w:val="99"/>
    <w:rPr>
      <w:sz w:val="21"/>
      <w:szCs w:val="21"/>
    </w:rPr>
  </w:style>
  <w:style w:type="character" w:customStyle="1" w:styleId="25">
    <w:name w:val="标题 1 字符"/>
    <w:basedOn w:val="22"/>
    <w:link w:val="3"/>
    <w:qFormat/>
    <w:uiPriority w:val="9"/>
    <w:rPr>
      <w:rFonts w:asciiTheme="majorHAnsi" w:hAnsiTheme="majorHAnsi" w:eastAsiaTheme="majorEastAsia" w:cstheme="majorBidi"/>
      <w:color w:val="0F4761" w:themeColor="accent1" w:themeShade="BF"/>
      <w:sz w:val="48"/>
      <w:szCs w:val="48"/>
    </w:rPr>
  </w:style>
  <w:style w:type="character" w:customStyle="1" w:styleId="26">
    <w:name w:val="标题 2 字符"/>
    <w:basedOn w:val="22"/>
    <w:link w:val="4"/>
    <w:semiHidden/>
    <w:qFormat/>
    <w:uiPriority w:val="9"/>
    <w:rPr>
      <w:rFonts w:asciiTheme="majorHAnsi" w:hAnsiTheme="majorHAnsi" w:eastAsiaTheme="majorEastAsia" w:cstheme="majorBidi"/>
      <w:color w:val="0F4761" w:themeColor="accent1" w:themeShade="BF"/>
      <w:sz w:val="40"/>
      <w:szCs w:val="40"/>
    </w:rPr>
  </w:style>
  <w:style w:type="character" w:customStyle="1" w:styleId="27">
    <w:name w:val="标题 3 字符"/>
    <w:basedOn w:val="22"/>
    <w:link w:val="2"/>
    <w:semiHidden/>
    <w:qFormat/>
    <w:uiPriority w:val="9"/>
    <w:rPr>
      <w:rFonts w:asciiTheme="majorHAnsi" w:hAnsiTheme="majorHAnsi" w:eastAsiaTheme="majorEastAsia" w:cstheme="majorBidi"/>
      <w:color w:val="0F4761" w:themeColor="accent1" w:themeShade="BF"/>
      <w:sz w:val="32"/>
      <w:szCs w:val="32"/>
    </w:rPr>
  </w:style>
  <w:style w:type="character" w:customStyle="1" w:styleId="28">
    <w:name w:val="标题 4 字符"/>
    <w:basedOn w:val="22"/>
    <w:link w:val="5"/>
    <w:semiHidden/>
    <w:uiPriority w:val="9"/>
    <w:rPr>
      <w:rFonts w:cstheme="majorBidi"/>
      <w:color w:val="0F4761" w:themeColor="accent1" w:themeShade="BF"/>
      <w:sz w:val="28"/>
      <w:szCs w:val="28"/>
    </w:rPr>
  </w:style>
  <w:style w:type="character" w:customStyle="1" w:styleId="29">
    <w:name w:val="标题 5 字符"/>
    <w:basedOn w:val="22"/>
    <w:link w:val="6"/>
    <w:semiHidden/>
    <w:qFormat/>
    <w:uiPriority w:val="9"/>
    <w:rPr>
      <w:rFonts w:cstheme="majorBidi"/>
      <w:color w:val="0F4761" w:themeColor="accent1" w:themeShade="BF"/>
      <w:sz w:val="24"/>
      <w:szCs w:val="24"/>
    </w:rPr>
  </w:style>
  <w:style w:type="character" w:customStyle="1" w:styleId="30">
    <w:name w:val="标题 6 字符"/>
    <w:basedOn w:val="22"/>
    <w:link w:val="7"/>
    <w:semiHidden/>
    <w:uiPriority w:val="9"/>
    <w:rPr>
      <w:rFonts w:cstheme="majorBidi"/>
      <w:b/>
      <w:bCs/>
      <w:color w:val="0F4761" w:themeColor="accent1" w:themeShade="BF"/>
    </w:rPr>
  </w:style>
  <w:style w:type="character" w:customStyle="1" w:styleId="31">
    <w:name w:val="标题 7 字符"/>
    <w:basedOn w:val="22"/>
    <w:link w:val="8"/>
    <w:semiHidden/>
    <w:qFormat/>
    <w:uiPriority w:val="9"/>
    <w:rPr>
      <w:rFonts w:cstheme="majorBidi"/>
      <w:b/>
      <w:bCs/>
      <w:color w:val="585858" w:themeColor="text1" w:themeTint="A6"/>
    </w:rPr>
  </w:style>
  <w:style w:type="character" w:customStyle="1" w:styleId="32">
    <w:name w:val="标题 8 字符"/>
    <w:basedOn w:val="22"/>
    <w:link w:val="9"/>
    <w:semiHidden/>
    <w:qFormat/>
    <w:uiPriority w:val="9"/>
    <w:rPr>
      <w:rFonts w:cstheme="majorBidi"/>
      <w:color w:val="585858" w:themeColor="text1" w:themeTint="A6"/>
    </w:rPr>
  </w:style>
  <w:style w:type="character" w:customStyle="1" w:styleId="33">
    <w:name w:val="标题 9 字符"/>
    <w:basedOn w:val="22"/>
    <w:link w:val="10"/>
    <w:semiHidden/>
    <w:qFormat/>
    <w:uiPriority w:val="9"/>
    <w:rPr>
      <w:rFonts w:eastAsiaTheme="majorEastAsia" w:cstheme="majorBidi"/>
      <w:color w:val="585858" w:themeColor="text1" w:themeTint="A6"/>
    </w:rPr>
  </w:style>
  <w:style w:type="character" w:customStyle="1" w:styleId="34">
    <w:name w:val="标题 字符"/>
    <w:basedOn w:val="22"/>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2"/>
    <w:link w:val="16"/>
    <w:qFormat/>
    <w:uiPriority w:val="11"/>
    <w:rPr>
      <w:rFonts w:asciiTheme="majorHAnsi" w:hAnsiTheme="majorHAnsi" w:eastAsiaTheme="majorEastAsia" w:cstheme="majorBidi"/>
      <w:color w:val="585858" w:themeColor="text1" w:themeTint="A6"/>
      <w:spacing w:val="15"/>
      <w:sz w:val="28"/>
      <w:szCs w:val="28"/>
    </w:rPr>
  </w:style>
  <w:style w:type="paragraph" w:styleId="36">
    <w:name w:val="Quote"/>
    <w:basedOn w:val="1"/>
    <w:next w:val="1"/>
    <w:link w:val="37"/>
    <w:qFormat/>
    <w:uiPriority w:val="29"/>
    <w:pPr>
      <w:spacing w:before="160" w:after="160"/>
      <w:jc w:val="center"/>
    </w:pPr>
    <w:rPr>
      <w:i/>
      <w:iCs/>
      <w:color w:val="3F3F3F" w:themeColor="text1" w:themeTint="BF"/>
    </w:rPr>
  </w:style>
  <w:style w:type="character" w:customStyle="1" w:styleId="37">
    <w:name w:val="引用 字符"/>
    <w:basedOn w:val="22"/>
    <w:link w:val="36"/>
    <w:qFormat/>
    <w:uiPriority w:val="29"/>
    <w:rPr>
      <w:i/>
      <w:iCs/>
      <w:color w:val="3F3F3F" w:themeColor="text1" w:themeTint="BF"/>
    </w:rPr>
  </w:style>
  <w:style w:type="paragraph" w:styleId="38">
    <w:name w:val="List Paragraph"/>
    <w:basedOn w:val="1"/>
    <w:qFormat/>
    <w:uiPriority w:val="34"/>
    <w:pPr>
      <w:ind w:left="720"/>
      <w:contextualSpacing/>
    </w:pPr>
  </w:style>
  <w:style w:type="character" w:customStyle="1" w:styleId="39">
    <w:name w:val="Intense Emphasis"/>
    <w:basedOn w:val="22"/>
    <w:qFormat/>
    <w:uiPriority w:val="21"/>
    <w:rPr>
      <w:i/>
      <w:iCs/>
      <w:color w:val="0F4761"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41">
    <w:name w:val="明显引用 字符"/>
    <w:basedOn w:val="22"/>
    <w:link w:val="40"/>
    <w:qFormat/>
    <w:uiPriority w:val="30"/>
    <w:rPr>
      <w:i/>
      <w:iCs/>
      <w:color w:val="0F4761" w:themeColor="accent1" w:themeShade="BF"/>
    </w:rPr>
  </w:style>
  <w:style w:type="character" w:customStyle="1" w:styleId="42">
    <w:name w:val="Intense Reference"/>
    <w:basedOn w:val="22"/>
    <w:qFormat/>
    <w:uiPriority w:val="32"/>
    <w:rPr>
      <w:b/>
      <w:bCs/>
      <w:smallCaps/>
      <w:color w:val="0F4761" w:themeColor="accent1" w:themeShade="BF"/>
      <w:spacing w:val="5"/>
    </w:rPr>
  </w:style>
  <w:style w:type="character" w:customStyle="1" w:styleId="43">
    <w:name w:val="页眉 字符"/>
    <w:basedOn w:val="22"/>
    <w:link w:val="14"/>
    <w:qFormat/>
    <w:uiPriority w:val="99"/>
    <w:rPr>
      <w:sz w:val="18"/>
      <w:szCs w:val="18"/>
    </w:rPr>
  </w:style>
  <w:style w:type="character" w:customStyle="1" w:styleId="44">
    <w:name w:val="页脚 字符"/>
    <w:basedOn w:val="22"/>
    <w:link w:val="13"/>
    <w:qFormat/>
    <w:uiPriority w:val="99"/>
    <w:rPr>
      <w:sz w:val="18"/>
      <w:szCs w:val="18"/>
    </w:rPr>
  </w:style>
  <w:style w:type="table" w:customStyle="1" w:styleId="45">
    <w:name w:val="网格型1"/>
    <w:basedOn w:val="20"/>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46">
    <w:name w:val="批注文字 字符"/>
    <w:basedOn w:val="22"/>
    <w:link w:val="11"/>
    <w:semiHidden/>
    <w:qFormat/>
    <w:uiPriority w:val="99"/>
  </w:style>
  <w:style w:type="character" w:customStyle="1" w:styleId="47">
    <w:name w:val="批注主题 字符"/>
    <w:basedOn w:val="46"/>
    <w:link w:val="19"/>
    <w:semiHidden/>
    <w:qFormat/>
    <w:uiPriority w:val="99"/>
    <w:rPr>
      <w:b/>
      <w:bCs/>
    </w:rPr>
  </w:style>
  <w:style w:type="paragraph" w:customStyle="1" w:styleId="48">
    <w:name w:val="TOC Heading"/>
    <w:basedOn w:val="3"/>
    <w:next w:val="1"/>
    <w:unhideWhenUsed/>
    <w:qFormat/>
    <w:uiPriority w:val="39"/>
    <w:pPr>
      <w:widowControl/>
      <w:spacing w:before="240" w:after="0" w:line="259" w:lineRule="auto"/>
      <w:jc w:val="left"/>
      <w:outlineLvl w:val="9"/>
    </w:pPr>
    <w:rPr>
      <w:kern w:val="0"/>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3234F3-01F5-474D-BF0B-D181EF686DCC}">
  <ds:schemaRefs/>
</ds:datastoreItem>
</file>

<file path=docProps/app.xml><?xml version="1.0" encoding="utf-8"?>
<Properties xmlns="http://schemas.openxmlformats.org/officeDocument/2006/extended-properties" xmlns:vt="http://schemas.openxmlformats.org/officeDocument/2006/docPropsVTypes">
  <Template>Normal.dotm</Template>
  <Pages>6</Pages>
  <Words>2333</Words>
  <Characters>2394</Characters>
  <Lines>17</Lines>
  <Paragraphs>4</Paragraphs>
  <TotalTime>2</TotalTime>
  <ScaleCrop>false</ScaleCrop>
  <LinksUpToDate>false</LinksUpToDate>
  <CharactersWithSpaces>2397</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2026-07-22T01:36:00Z</dcterms:created>
  <dc:creator>杰 林</dc:creator>
  <cp:lastModifiedBy>lenovo</cp:lastModifiedBy>
  <cp:lastPrinted>2026-08-13T05:38:00Z</cp:lastPrinted>
  <dcterms:modified xsi:type="dcterms:W3CDTF">2026-08-13T10:58:06Z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603A9F7605284D8EAB54D74F53FA94EF</vt:lpwstr>
  </property>
</Properties>
</file>