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rPr>
          <w:rFonts w:hint="eastAsia" w:ascii="仿宋" w:hAnsi="仿宋" w:eastAsia="仿宋" w:cs="仿宋"/>
          <w:bCs/>
          <w:color w:val="auto"/>
          <w:sz w:val="32"/>
          <w:szCs w:val="48"/>
          <w:highlight w:val="none"/>
        </w:rPr>
      </w:pPr>
      <w:r>
        <w:rPr>
          <w:rFonts w:hint="eastAsia" w:ascii="仿宋" w:hAnsi="仿宋" w:eastAsia="仿宋" w:cs="仿宋"/>
          <w:color w:val="auto"/>
          <w:highlight w:val="none"/>
          <w:lang w:val="en-US" w:eastAsia="zh-CN"/>
        </w:rPr>
        <w:t>附件：</w:t>
      </w:r>
      <w:bookmarkStart w:id="164" w:name="_GoBack"/>
      <w:bookmarkEnd w:id="164"/>
      <w:r>
        <w:rPr>
          <w:rFonts w:hint="eastAsia" w:ascii="仿宋" w:hAnsi="仿宋" w:eastAsia="仿宋" w:cs="仿宋"/>
          <w:bCs/>
          <w:color w:val="auto"/>
          <w:sz w:val="32"/>
          <w:szCs w:val="48"/>
          <w:highlight w:val="none"/>
        </w:rPr>
        <w:t>目  录</w:t>
      </w:r>
    </w:p>
    <w:p>
      <w:pPr>
        <w:pStyle w:val="24"/>
        <w:tabs>
          <w:tab w:val="right" w:leader="dot" w:pos="8306"/>
        </w:tabs>
        <w:rPr>
          <w:rFonts w:hint="eastAsia" w:ascii="仿宋" w:hAnsi="仿宋" w:eastAsia="仿宋" w:cs="仿宋"/>
        </w:rPr>
      </w:pPr>
      <w:bookmarkStart w:id="0" w:name="_Toc4175"/>
      <w:bookmarkStart w:id="1" w:name="_Toc482370915"/>
      <w:r>
        <w:rPr>
          <w:rFonts w:hint="eastAsia" w:ascii="仿宋" w:hAnsi="仿宋" w:eastAsia="仿宋" w:cs="仿宋"/>
          <w:bCs/>
          <w:color w:val="auto"/>
          <w:szCs w:val="44"/>
          <w:highlight w:val="none"/>
        </w:rPr>
        <w:fldChar w:fldCharType="begin"/>
      </w:r>
      <w:r>
        <w:rPr>
          <w:rFonts w:hint="eastAsia" w:ascii="仿宋" w:hAnsi="仿宋" w:eastAsia="仿宋" w:cs="仿宋"/>
          <w:bCs/>
          <w:color w:val="auto"/>
          <w:szCs w:val="44"/>
          <w:highlight w:val="none"/>
        </w:rPr>
        <w:instrText xml:space="preserve"> TOC \o "1-2" \h \z \u </w:instrText>
      </w:r>
      <w:r>
        <w:rPr>
          <w:rFonts w:hint="eastAsia" w:ascii="仿宋" w:hAnsi="仿宋" w:eastAsia="仿宋" w:cs="仿宋"/>
          <w:bCs/>
          <w:color w:val="auto"/>
          <w:szCs w:val="44"/>
          <w:highlight w:val="none"/>
        </w:rPr>
        <w:fldChar w:fldCharType="separate"/>
      </w:r>
      <w:r>
        <w:rPr>
          <w:rFonts w:hint="eastAsia" w:ascii="仿宋" w:hAnsi="仿宋" w:eastAsia="仿宋" w:cs="仿宋"/>
          <w:bCs/>
          <w:color w:val="auto"/>
          <w:szCs w:val="44"/>
          <w:highlight w:val="none"/>
        </w:rPr>
        <w:fldChar w:fldCharType="begin"/>
      </w:r>
      <w:r>
        <w:rPr>
          <w:rFonts w:hint="eastAsia" w:ascii="仿宋" w:hAnsi="仿宋" w:eastAsia="仿宋" w:cs="仿宋"/>
          <w:bCs/>
          <w:szCs w:val="44"/>
          <w:highlight w:val="none"/>
        </w:rPr>
        <w:instrText xml:space="preserve"> HYPERLINK \l _Toc1406 </w:instrText>
      </w:r>
      <w:r>
        <w:rPr>
          <w:rFonts w:hint="eastAsia" w:ascii="仿宋" w:hAnsi="仿宋" w:eastAsia="仿宋" w:cs="仿宋"/>
          <w:bCs/>
          <w:szCs w:val="44"/>
          <w:highlight w:val="none"/>
        </w:rPr>
        <w:fldChar w:fldCharType="separate"/>
      </w:r>
      <w:r>
        <w:rPr>
          <w:rFonts w:hint="eastAsia" w:ascii="仿宋" w:hAnsi="仿宋" w:eastAsia="仿宋" w:cs="仿宋"/>
        </w:rPr>
        <w:t xml:space="preserve">第一章 </w:t>
      </w:r>
      <w:r>
        <w:rPr>
          <w:rFonts w:hint="eastAsia" w:ascii="仿宋" w:hAnsi="仿宋" w:eastAsia="仿宋" w:cs="仿宋"/>
          <w:highlight w:val="none"/>
        </w:rPr>
        <w:t>现状基础</w:t>
      </w:r>
      <w:r>
        <w:rPr>
          <w:rFonts w:hint="eastAsia" w:ascii="仿宋" w:hAnsi="仿宋" w:eastAsia="仿宋" w:cs="仿宋"/>
        </w:rPr>
        <w:tab/>
      </w:r>
      <w:r>
        <w:rPr>
          <w:rFonts w:hint="eastAsia" w:ascii="仿宋" w:hAnsi="仿宋" w:eastAsia="仿宋" w:cs="仿宋"/>
          <w:bCs/>
          <w:color w:val="auto"/>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_Toc25914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第一节 </w:t>
      </w:r>
      <w:r>
        <w:rPr>
          <w:rFonts w:hint="eastAsia" w:ascii="仿宋" w:hAnsi="仿宋" w:eastAsia="仿宋" w:cs="仿宋"/>
          <w:highlight w:val="none"/>
        </w:rPr>
        <w:t>发展成就</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_Toc25914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_Toc31375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第二节 </w:t>
      </w:r>
      <w:r>
        <w:rPr>
          <w:rFonts w:hint="eastAsia" w:ascii="仿宋" w:hAnsi="仿宋" w:eastAsia="仿宋" w:cs="仿宋"/>
          <w:highlight w:val="none"/>
          <w:lang w:val="en-US" w:eastAsia="zh-CN"/>
        </w:rPr>
        <w:t>面临</w:t>
      </w:r>
      <w:r>
        <w:rPr>
          <w:rFonts w:hint="eastAsia" w:ascii="仿宋" w:hAnsi="仿宋" w:eastAsia="仿宋" w:cs="仿宋"/>
          <w:highlight w:val="none"/>
        </w:rPr>
        <w:t>形势</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_Toc31375 \h </w:instrText>
      </w:r>
      <w:r>
        <w:rPr>
          <w:rFonts w:hint="eastAsia" w:ascii="仿宋" w:hAnsi="仿宋" w:eastAsia="仿宋" w:cs="仿宋"/>
        </w:rPr>
        <w:fldChar w:fldCharType="separate"/>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4"/>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_Toc5604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第二章 </w:t>
      </w:r>
      <w:r>
        <w:rPr>
          <w:rFonts w:hint="eastAsia" w:ascii="仿宋" w:hAnsi="仿宋" w:eastAsia="仿宋" w:cs="仿宋"/>
          <w:highlight w:val="none"/>
        </w:rPr>
        <w:t>总体要求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_Toc5604 \h </w:instrText>
      </w:r>
      <w:r>
        <w:rPr>
          <w:rFonts w:hint="eastAsia" w:ascii="仿宋" w:hAnsi="仿宋" w:eastAsia="仿宋" w:cs="仿宋"/>
        </w:rPr>
        <w:fldChar w:fldCharType="separate"/>
      </w:r>
      <w:r>
        <w:rPr>
          <w:rFonts w:hint="eastAsia" w:ascii="仿宋" w:hAnsi="仿宋" w:eastAsia="仿宋" w:cs="仿宋"/>
        </w:rPr>
        <w:t>9</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_Toc1818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第一节 </w:t>
      </w:r>
      <w:r>
        <w:rPr>
          <w:rFonts w:hint="eastAsia" w:ascii="仿宋" w:hAnsi="仿宋" w:eastAsia="仿宋" w:cs="仿宋"/>
          <w:highlight w:val="none"/>
        </w:rPr>
        <w:t>指导思想</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_Toc1818 \h </w:instrText>
      </w:r>
      <w:r>
        <w:rPr>
          <w:rFonts w:hint="eastAsia" w:ascii="仿宋" w:hAnsi="仿宋" w:eastAsia="仿宋" w:cs="仿宋"/>
        </w:rPr>
        <w:fldChar w:fldCharType="separate"/>
      </w:r>
      <w:r>
        <w:rPr>
          <w:rFonts w:hint="eastAsia" w:ascii="仿宋" w:hAnsi="仿宋" w:eastAsia="仿宋" w:cs="仿宋"/>
        </w:rPr>
        <w:t>9</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_Toc10824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第二节 </w:t>
      </w:r>
      <w:r>
        <w:rPr>
          <w:rFonts w:hint="eastAsia" w:ascii="仿宋" w:hAnsi="仿宋" w:eastAsia="仿宋" w:cs="仿宋"/>
          <w:highlight w:val="none"/>
        </w:rPr>
        <w:t>基本原则</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_Toc10824 \h </w:instrText>
      </w:r>
      <w:r>
        <w:rPr>
          <w:rFonts w:hint="eastAsia" w:ascii="仿宋" w:hAnsi="仿宋" w:eastAsia="仿宋" w:cs="仿宋"/>
        </w:rPr>
        <w:fldChar w:fldCharType="separate"/>
      </w:r>
      <w:r>
        <w:rPr>
          <w:rFonts w:hint="eastAsia" w:ascii="仿宋" w:hAnsi="仿宋" w:eastAsia="仿宋" w:cs="仿宋"/>
        </w:rPr>
        <w:t>9</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_Toc23293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第三节 </w:t>
      </w:r>
      <w:r>
        <w:rPr>
          <w:rFonts w:hint="eastAsia" w:ascii="仿宋" w:hAnsi="仿宋" w:eastAsia="仿宋" w:cs="仿宋"/>
          <w:highlight w:val="none"/>
        </w:rPr>
        <w:t>发展目标</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_Toc23293 \h </w:instrText>
      </w:r>
      <w:r>
        <w:rPr>
          <w:rFonts w:hint="eastAsia" w:ascii="仿宋" w:hAnsi="仿宋" w:eastAsia="仿宋" w:cs="仿宋"/>
        </w:rPr>
        <w:fldChar w:fldCharType="separate"/>
      </w:r>
      <w:r>
        <w:rPr>
          <w:rFonts w:hint="eastAsia" w:ascii="仿宋" w:hAnsi="仿宋" w:eastAsia="仿宋" w:cs="仿宋"/>
        </w:rPr>
        <w:t>10</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4"/>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_Toc15888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第三章 </w:t>
      </w:r>
      <w:r>
        <w:rPr>
          <w:rFonts w:hint="eastAsia" w:ascii="仿宋" w:hAnsi="仿宋" w:eastAsia="仿宋" w:cs="仿宋"/>
          <w:highlight w:val="none"/>
        </w:rPr>
        <w:t>重点任务</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_Toc15888 \h </w:instrText>
      </w:r>
      <w:r>
        <w:rPr>
          <w:rFonts w:hint="eastAsia" w:ascii="仿宋" w:hAnsi="仿宋" w:eastAsia="仿宋" w:cs="仿宋"/>
        </w:rPr>
        <w:fldChar w:fldCharType="separate"/>
      </w:r>
      <w:r>
        <w:rPr>
          <w:rFonts w:hint="eastAsia" w:ascii="仿宋" w:hAnsi="仿宋" w:eastAsia="仿宋" w:cs="仿宋"/>
        </w:rPr>
        <w:t>13</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_Toc10616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第一节 </w:t>
      </w:r>
      <w:r>
        <w:rPr>
          <w:rFonts w:hint="eastAsia" w:ascii="仿宋" w:hAnsi="仿宋" w:eastAsia="仿宋" w:cs="仿宋"/>
          <w:highlight w:val="none"/>
        </w:rPr>
        <w:t>促进多样化商品住房消费</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_Toc10616 \h </w:instrText>
      </w:r>
      <w:r>
        <w:rPr>
          <w:rFonts w:hint="eastAsia" w:ascii="仿宋" w:hAnsi="仿宋" w:eastAsia="仿宋" w:cs="仿宋"/>
        </w:rPr>
        <w:fldChar w:fldCharType="separate"/>
      </w:r>
      <w:r>
        <w:rPr>
          <w:rFonts w:hint="eastAsia" w:ascii="仿宋" w:hAnsi="仿宋" w:eastAsia="仿宋" w:cs="仿宋"/>
        </w:rPr>
        <w:t>13</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_Toc3272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第二节 </w:t>
      </w:r>
      <w:r>
        <w:rPr>
          <w:rFonts w:hint="eastAsia" w:ascii="仿宋" w:hAnsi="仿宋" w:eastAsia="仿宋" w:cs="仿宋"/>
          <w:highlight w:val="none"/>
        </w:rPr>
        <w:t>提高保障性住房品质与运营管理水平</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_Toc3272 \h </w:instrText>
      </w:r>
      <w:r>
        <w:rPr>
          <w:rFonts w:hint="eastAsia" w:ascii="仿宋" w:hAnsi="仿宋" w:eastAsia="仿宋" w:cs="仿宋"/>
        </w:rPr>
        <w:fldChar w:fldCharType="separate"/>
      </w:r>
      <w:r>
        <w:rPr>
          <w:rFonts w:hint="eastAsia" w:ascii="仿宋" w:hAnsi="仿宋" w:eastAsia="仿宋" w:cs="仿宋"/>
        </w:rPr>
        <w:t>16</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_Toc2028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第三节 </w:t>
      </w:r>
      <w:r>
        <w:rPr>
          <w:rFonts w:hint="eastAsia" w:ascii="仿宋" w:hAnsi="仿宋" w:eastAsia="仿宋" w:cs="仿宋"/>
          <w:highlight w:val="none"/>
          <w:lang w:val="en-US" w:eastAsia="zh-CN"/>
        </w:rPr>
        <w:t>实施</w:t>
      </w:r>
      <w:r>
        <w:rPr>
          <w:rFonts w:hint="eastAsia" w:ascii="仿宋" w:hAnsi="仿宋" w:eastAsia="仿宋" w:cs="仿宋"/>
          <w:highlight w:val="none"/>
        </w:rPr>
        <w:t>既有住房与住区更新改造</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_Toc2028 \h </w:instrText>
      </w:r>
      <w:r>
        <w:rPr>
          <w:rFonts w:hint="eastAsia" w:ascii="仿宋" w:hAnsi="仿宋" w:eastAsia="仿宋" w:cs="仿宋"/>
        </w:rPr>
        <w:fldChar w:fldCharType="separate"/>
      </w:r>
      <w:r>
        <w:rPr>
          <w:rFonts w:hint="eastAsia" w:ascii="仿宋" w:hAnsi="仿宋" w:eastAsia="仿宋" w:cs="仿宋"/>
        </w:rPr>
        <w:t>19</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_Toc9784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第四节 </w:t>
      </w:r>
      <w:r>
        <w:rPr>
          <w:rFonts w:hint="eastAsia" w:ascii="仿宋" w:hAnsi="仿宋" w:eastAsia="仿宋" w:cs="仿宋"/>
          <w:highlight w:val="none"/>
        </w:rPr>
        <w:t>推进“好房子”建设</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_Toc9784 \h </w:instrText>
      </w:r>
      <w:r>
        <w:rPr>
          <w:rFonts w:hint="eastAsia" w:ascii="仿宋" w:hAnsi="仿宋" w:eastAsia="仿宋" w:cs="仿宋"/>
        </w:rPr>
        <w:fldChar w:fldCharType="separate"/>
      </w:r>
      <w:r>
        <w:rPr>
          <w:rFonts w:hint="eastAsia" w:ascii="仿宋" w:hAnsi="仿宋" w:eastAsia="仿宋" w:cs="仿宋"/>
        </w:rPr>
        <w:t>22</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_Toc24414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第五节 </w:t>
      </w:r>
      <w:r>
        <w:rPr>
          <w:rFonts w:hint="eastAsia" w:ascii="仿宋" w:hAnsi="仿宋" w:eastAsia="仿宋" w:cs="仿宋"/>
          <w:highlight w:val="none"/>
        </w:rPr>
        <w:t>提升社区服务水平与治理能力</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_Toc24414 \h </w:instrText>
      </w:r>
      <w:r>
        <w:rPr>
          <w:rFonts w:hint="eastAsia" w:ascii="仿宋" w:hAnsi="仿宋" w:eastAsia="仿宋" w:cs="仿宋"/>
        </w:rPr>
        <w:fldChar w:fldCharType="separate"/>
      </w:r>
      <w:r>
        <w:rPr>
          <w:rFonts w:hint="eastAsia" w:ascii="仿宋" w:hAnsi="仿宋" w:eastAsia="仿宋" w:cs="仿宋"/>
        </w:rPr>
        <w:t>25</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_Toc28220 </w:instrText>
      </w:r>
      <w:r>
        <w:rPr>
          <w:rFonts w:hint="eastAsia" w:ascii="仿宋" w:hAnsi="仿宋" w:eastAsia="仿宋" w:cs="仿宋"/>
          <w:bCs/>
          <w:kern w:val="2"/>
          <w:szCs w:val="44"/>
          <w:highlight w:val="none"/>
        </w:rPr>
        <w:fldChar w:fldCharType="separate"/>
      </w:r>
      <w:r>
        <w:rPr>
          <w:rFonts w:hint="eastAsia" w:ascii="仿宋" w:hAnsi="仿宋" w:eastAsia="仿宋" w:cs="仿宋"/>
          <w:lang w:eastAsia="zh-CN"/>
        </w:rPr>
        <w:t xml:space="preserve">第六节 </w:t>
      </w:r>
      <w:r>
        <w:rPr>
          <w:rFonts w:hint="eastAsia" w:ascii="仿宋" w:hAnsi="仿宋" w:eastAsia="仿宋" w:cs="仿宋"/>
          <w:highlight w:val="none"/>
          <w:lang w:val="en-US" w:eastAsia="zh-CN"/>
        </w:rPr>
        <w:t>以住房为载体加快构建</w:t>
      </w:r>
      <w:r>
        <w:rPr>
          <w:rFonts w:hint="eastAsia" w:ascii="仿宋" w:hAnsi="仿宋" w:eastAsia="仿宋" w:cs="仿宋"/>
          <w:highlight w:val="none"/>
          <w:lang w:eastAsia="zh-CN"/>
        </w:rPr>
        <w:t>互嵌式社区结构和社会环境</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_Toc28220 \h </w:instrText>
      </w:r>
      <w:r>
        <w:rPr>
          <w:rFonts w:hint="eastAsia" w:ascii="仿宋" w:hAnsi="仿宋" w:eastAsia="仿宋" w:cs="仿宋"/>
        </w:rPr>
        <w:fldChar w:fldCharType="separate"/>
      </w:r>
      <w:r>
        <w:rPr>
          <w:rFonts w:hint="eastAsia" w:ascii="仿宋" w:hAnsi="仿宋" w:eastAsia="仿宋" w:cs="仿宋"/>
        </w:rPr>
        <w:t>26</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_Toc28514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第七节 </w:t>
      </w:r>
      <w:r>
        <w:rPr>
          <w:rFonts w:hint="eastAsia" w:ascii="仿宋" w:hAnsi="仿宋" w:eastAsia="仿宋" w:cs="仿宋"/>
          <w:highlight w:val="none"/>
        </w:rPr>
        <w:t>推动住房开发、使用与管理转型发展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_Toc28514 \h </w:instrText>
      </w:r>
      <w:r>
        <w:rPr>
          <w:rFonts w:hint="eastAsia" w:ascii="仿宋" w:hAnsi="仿宋" w:eastAsia="仿宋" w:cs="仿宋"/>
        </w:rPr>
        <w:fldChar w:fldCharType="separate"/>
      </w:r>
      <w:r>
        <w:rPr>
          <w:rFonts w:hint="eastAsia" w:ascii="仿宋" w:hAnsi="仿宋" w:eastAsia="仿宋" w:cs="仿宋"/>
        </w:rPr>
        <w:t>28</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4"/>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_Toc3228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第四章 </w:t>
      </w:r>
      <w:r>
        <w:rPr>
          <w:rFonts w:hint="eastAsia" w:ascii="仿宋" w:hAnsi="仿宋" w:eastAsia="仿宋" w:cs="仿宋"/>
          <w:highlight w:val="none"/>
        </w:rPr>
        <w:t>空间指引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_Toc3228 \h </w:instrText>
      </w:r>
      <w:r>
        <w:rPr>
          <w:rFonts w:hint="eastAsia" w:ascii="仿宋" w:hAnsi="仿宋" w:eastAsia="仿宋" w:cs="仿宋"/>
        </w:rPr>
        <w:fldChar w:fldCharType="separate"/>
      </w:r>
      <w:r>
        <w:rPr>
          <w:rFonts w:hint="eastAsia" w:ascii="仿宋" w:hAnsi="仿宋" w:eastAsia="仿宋" w:cs="仿宋"/>
        </w:rPr>
        <w:t>30</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_Toc5406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第一节 </w:t>
      </w:r>
      <w:r>
        <w:rPr>
          <w:rFonts w:hint="eastAsia" w:ascii="仿宋" w:hAnsi="仿宋" w:eastAsia="仿宋" w:cs="仿宋"/>
          <w:highlight w:val="none"/>
        </w:rPr>
        <w:t>喀什城市圈核心区指引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_Toc5406 \h </w:instrText>
      </w:r>
      <w:r>
        <w:rPr>
          <w:rFonts w:hint="eastAsia" w:ascii="仿宋" w:hAnsi="仿宋" w:eastAsia="仿宋" w:cs="仿宋"/>
        </w:rPr>
        <w:fldChar w:fldCharType="separate"/>
      </w:r>
      <w:r>
        <w:rPr>
          <w:rFonts w:hint="eastAsia" w:ascii="仿宋" w:hAnsi="仿宋" w:eastAsia="仿宋" w:cs="仿宋"/>
        </w:rPr>
        <w:t>30</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_Toc21624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第二节 </w:t>
      </w:r>
      <w:r>
        <w:rPr>
          <w:rFonts w:hint="eastAsia" w:ascii="仿宋" w:hAnsi="仿宋" w:eastAsia="仿宋" w:cs="仿宋"/>
          <w:highlight w:val="none"/>
        </w:rPr>
        <w:t>其他县指引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_Toc21624 \h </w:instrText>
      </w:r>
      <w:r>
        <w:rPr>
          <w:rFonts w:hint="eastAsia" w:ascii="仿宋" w:hAnsi="仿宋" w:eastAsia="仿宋" w:cs="仿宋"/>
        </w:rPr>
        <w:fldChar w:fldCharType="separate"/>
      </w:r>
      <w:r>
        <w:rPr>
          <w:rFonts w:hint="eastAsia" w:ascii="仿宋" w:hAnsi="仿宋" w:eastAsia="仿宋" w:cs="仿宋"/>
        </w:rPr>
        <w:t>32</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4"/>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_Toc24440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第五章 </w:t>
      </w:r>
      <w:r>
        <w:rPr>
          <w:rFonts w:hint="eastAsia" w:ascii="仿宋" w:hAnsi="仿宋" w:eastAsia="仿宋" w:cs="仿宋"/>
          <w:highlight w:val="none"/>
        </w:rPr>
        <w:t>要素联动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_Toc24440 \h </w:instrText>
      </w:r>
      <w:r>
        <w:rPr>
          <w:rFonts w:hint="eastAsia" w:ascii="仿宋" w:hAnsi="仿宋" w:eastAsia="仿宋" w:cs="仿宋"/>
        </w:rPr>
        <w:fldChar w:fldCharType="separate"/>
      </w:r>
      <w:r>
        <w:rPr>
          <w:rFonts w:hint="eastAsia" w:ascii="仿宋" w:hAnsi="仿宋" w:eastAsia="仿宋" w:cs="仿宋"/>
        </w:rPr>
        <w:t>37</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_Toc10306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第一节 </w:t>
      </w:r>
      <w:r>
        <w:rPr>
          <w:rFonts w:hint="eastAsia" w:ascii="仿宋" w:hAnsi="仿宋" w:eastAsia="仿宋" w:cs="仿宋"/>
          <w:highlight w:val="none"/>
        </w:rPr>
        <w:t>完善用地保障政策措施</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_Toc10306 \h </w:instrText>
      </w:r>
      <w:r>
        <w:rPr>
          <w:rFonts w:hint="eastAsia" w:ascii="仿宋" w:hAnsi="仿宋" w:eastAsia="仿宋" w:cs="仿宋"/>
        </w:rPr>
        <w:fldChar w:fldCharType="separate"/>
      </w:r>
      <w:r>
        <w:rPr>
          <w:rFonts w:hint="eastAsia" w:ascii="仿宋" w:hAnsi="仿宋" w:eastAsia="仿宋" w:cs="仿宋"/>
        </w:rPr>
        <w:t>37</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_Toc435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第二节 </w:t>
      </w:r>
      <w:r>
        <w:rPr>
          <w:rFonts w:hint="eastAsia" w:ascii="仿宋" w:hAnsi="仿宋" w:eastAsia="仿宋" w:cs="仿宋"/>
          <w:highlight w:val="none"/>
        </w:rPr>
        <w:t>落实金融保障政策措施</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_Toc435 \h </w:instrText>
      </w:r>
      <w:r>
        <w:rPr>
          <w:rFonts w:hint="eastAsia" w:ascii="仿宋" w:hAnsi="仿宋" w:eastAsia="仿宋" w:cs="仿宋"/>
        </w:rPr>
        <w:fldChar w:fldCharType="separate"/>
      </w:r>
      <w:r>
        <w:rPr>
          <w:rFonts w:hint="eastAsia" w:ascii="仿宋" w:hAnsi="仿宋" w:eastAsia="仿宋" w:cs="仿宋"/>
        </w:rPr>
        <w:t>37</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_Toc18016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第三节 </w:t>
      </w:r>
      <w:r>
        <w:rPr>
          <w:rFonts w:hint="eastAsia" w:ascii="仿宋" w:hAnsi="仿宋" w:eastAsia="仿宋" w:cs="仿宋"/>
          <w:highlight w:val="none"/>
        </w:rPr>
        <w:t>加强住房公积金支持</w:t>
      </w:r>
      <w:r>
        <w:rPr>
          <w:rFonts w:hint="eastAsia" w:ascii="仿宋" w:hAnsi="仿宋" w:eastAsia="仿宋" w:cs="仿宋"/>
          <w:highlight w:val="none"/>
          <w:lang w:val="en-US" w:eastAsia="zh-CN"/>
        </w:rPr>
        <w:t>措施</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_Toc18016 \h </w:instrText>
      </w:r>
      <w:r>
        <w:rPr>
          <w:rFonts w:hint="eastAsia" w:ascii="仿宋" w:hAnsi="仿宋" w:eastAsia="仿宋" w:cs="仿宋"/>
        </w:rPr>
        <w:fldChar w:fldCharType="separate"/>
      </w:r>
      <w:r>
        <w:rPr>
          <w:rFonts w:hint="eastAsia" w:ascii="仿宋" w:hAnsi="仿宋" w:eastAsia="仿宋" w:cs="仿宋"/>
        </w:rPr>
        <w:t>38</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_Toc11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第四节 </w:t>
      </w:r>
      <w:r>
        <w:rPr>
          <w:rFonts w:hint="eastAsia" w:ascii="仿宋" w:hAnsi="仿宋" w:eastAsia="仿宋" w:cs="仿宋"/>
          <w:highlight w:val="none"/>
        </w:rPr>
        <w:t>优化财税保障政策措施</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_Toc11 \h </w:instrText>
      </w:r>
      <w:r>
        <w:rPr>
          <w:rFonts w:hint="eastAsia" w:ascii="仿宋" w:hAnsi="仿宋" w:eastAsia="仿宋" w:cs="仿宋"/>
        </w:rPr>
        <w:fldChar w:fldCharType="separate"/>
      </w:r>
      <w:r>
        <w:rPr>
          <w:rFonts w:hint="eastAsia" w:ascii="仿宋" w:hAnsi="仿宋" w:eastAsia="仿宋" w:cs="仿宋"/>
        </w:rPr>
        <w:t>39</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4"/>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_Toc3041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第六章 </w:t>
      </w:r>
      <w:r>
        <w:rPr>
          <w:rFonts w:hint="eastAsia" w:ascii="仿宋" w:hAnsi="仿宋" w:eastAsia="仿宋" w:cs="仿宋"/>
          <w:highlight w:val="none"/>
        </w:rPr>
        <w:t>保障措施</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_Toc3041 \h </w:instrText>
      </w:r>
      <w:r>
        <w:rPr>
          <w:rFonts w:hint="eastAsia" w:ascii="仿宋" w:hAnsi="仿宋" w:eastAsia="仿宋" w:cs="仿宋"/>
        </w:rPr>
        <w:fldChar w:fldCharType="separate"/>
      </w:r>
      <w:r>
        <w:rPr>
          <w:rFonts w:hint="eastAsia" w:ascii="仿宋" w:hAnsi="仿宋" w:eastAsia="仿宋" w:cs="仿宋"/>
        </w:rPr>
        <w:t>41</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_Toc3596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第一节 </w:t>
      </w:r>
      <w:r>
        <w:rPr>
          <w:rFonts w:hint="eastAsia" w:ascii="仿宋" w:hAnsi="仿宋" w:eastAsia="仿宋" w:cs="仿宋"/>
          <w:highlight w:val="none"/>
        </w:rPr>
        <w:t>加强组织领导</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_Toc3596 \h </w:instrText>
      </w:r>
      <w:r>
        <w:rPr>
          <w:rFonts w:hint="eastAsia" w:ascii="仿宋" w:hAnsi="仿宋" w:eastAsia="仿宋" w:cs="仿宋"/>
        </w:rPr>
        <w:fldChar w:fldCharType="separate"/>
      </w:r>
      <w:r>
        <w:rPr>
          <w:rFonts w:hint="eastAsia" w:ascii="仿宋" w:hAnsi="仿宋" w:eastAsia="仿宋" w:cs="仿宋"/>
        </w:rPr>
        <w:t>41</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_Toc26099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第二节 </w:t>
      </w:r>
      <w:r>
        <w:rPr>
          <w:rFonts w:hint="eastAsia" w:ascii="仿宋" w:hAnsi="仿宋" w:eastAsia="仿宋" w:cs="仿宋"/>
          <w:highlight w:val="none"/>
        </w:rPr>
        <w:t>强化社会监督与公众参与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_Toc26099 \h </w:instrText>
      </w:r>
      <w:r>
        <w:rPr>
          <w:rFonts w:hint="eastAsia" w:ascii="仿宋" w:hAnsi="仿宋" w:eastAsia="仿宋" w:cs="仿宋"/>
        </w:rPr>
        <w:fldChar w:fldCharType="separate"/>
      </w:r>
      <w:r>
        <w:rPr>
          <w:rFonts w:hint="eastAsia" w:ascii="仿宋" w:hAnsi="仿宋" w:eastAsia="仿宋" w:cs="仿宋"/>
        </w:rPr>
        <w:t>41</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25"/>
        <w:tabs>
          <w:tab w:val="right" w:leader="dot" w:pos="8306"/>
        </w:tabs>
        <w:rPr>
          <w:rFonts w:hint="eastAsia" w:ascii="仿宋" w:hAnsi="仿宋" w:eastAsia="仿宋" w:cs="仿宋"/>
        </w:rPr>
      </w:pPr>
      <w:r>
        <w:rPr>
          <w:rFonts w:hint="eastAsia" w:ascii="仿宋" w:hAnsi="仿宋" w:eastAsia="仿宋" w:cs="仿宋"/>
          <w:bCs/>
          <w:color w:val="auto"/>
          <w:kern w:val="2"/>
          <w:szCs w:val="44"/>
          <w:highlight w:val="none"/>
        </w:rPr>
        <w:fldChar w:fldCharType="begin"/>
      </w:r>
      <w:r>
        <w:rPr>
          <w:rFonts w:hint="eastAsia" w:ascii="仿宋" w:hAnsi="仿宋" w:eastAsia="仿宋" w:cs="仿宋"/>
          <w:bCs/>
          <w:kern w:val="2"/>
          <w:szCs w:val="44"/>
          <w:highlight w:val="none"/>
        </w:rPr>
        <w:instrText xml:space="preserve"> HYPERLINK \l _Toc5301 </w:instrText>
      </w:r>
      <w:r>
        <w:rPr>
          <w:rFonts w:hint="eastAsia" w:ascii="仿宋" w:hAnsi="仿宋" w:eastAsia="仿宋" w:cs="仿宋"/>
          <w:bCs/>
          <w:kern w:val="2"/>
          <w:szCs w:val="44"/>
          <w:highlight w:val="none"/>
        </w:rPr>
        <w:fldChar w:fldCharType="separate"/>
      </w:r>
      <w:r>
        <w:rPr>
          <w:rFonts w:hint="eastAsia" w:ascii="仿宋" w:hAnsi="仿宋" w:eastAsia="仿宋" w:cs="仿宋"/>
        </w:rPr>
        <w:t xml:space="preserve">第三节 </w:t>
      </w:r>
      <w:r>
        <w:rPr>
          <w:rFonts w:hint="eastAsia" w:ascii="仿宋" w:hAnsi="仿宋" w:eastAsia="仿宋" w:cs="仿宋"/>
          <w:highlight w:val="none"/>
        </w:rPr>
        <w:t>建立规划评估机制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_Toc5301 \h </w:instrText>
      </w:r>
      <w:r>
        <w:rPr>
          <w:rFonts w:hint="eastAsia" w:ascii="仿宋" w:hAnsi="仿宋" w:eastAsia="仿宋" w:cs="仿宋"/>
        </w:rPr>
        <w:fldChar w:fldCharType="separate"/>
      </w:r>
      <w:r>
        <w:rPr>
          <w:rFonts w:hint="eastAsia" w:ascii="仿宋" w:hAnsi="仿宋" w:eastAsia="仿宋" w:cs="仿宋"/>
        </w:rPr>
        <w:t>41</w:t>
      </w:r>
      <w:r>
        <w:rPr>
          <w:rFonts w:hint="eastAsia" w:ascii="仿宋" w:hAnsi="仿宋" w:eastAsia="仿宋" w:cs="仿宋"/>
        </w:rPr>
        <w:fldChar w:fldCharType="end"/>
      </w:r>
      <w:r>
        <w:rPr>
          <w:rFonts w:hint="eastAsia" w:ascii="仿宋" w:hAnsi="仿宋" w:eastAsia="仿宋" w:cs="仿宋"/>
          <w:bCs/>
          <w:color w:val="auto"/>
          <w:kern w:val="2"/>
          <w:szCs w:val="44"/>
          <w:highlight w:val="none"/>
        </w:rPr>
        <w:fldChar w:fldCharType="end"/>
      </w:r>
    </w:p>
    <w:p>
      <w:pPr>
        <w:pStyle w:val="6"/>
        <w:numPr>
          <w:ilvl w:val="0"/>
          <w:numId w:val="0"/>
        </w:numPr>
        <w:spacing w:before="0" w:line="620" w:lineRule="exact"/>
        <w:rPr>
          <w:rFonts w:hint="eastAsia" w:ascii="仿宋" w:hAnsi="仿宋" w:eastAsia="仿宋" w:cs="仿宋"/>
          <w:color w:val="auto"/>
          <w:highlight w:val="none"/>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仿宋" w:hAnsi="仿宋" w:eastAsia="仿宋" w:cs="仿宋"/>
          <w:bCs/>
          <w:color w:val="auto"/>
          <w:kern w:val="2"/>
          <w:szCs w:val="44"/>
          <w:highlight w:val="none"/>
        </w:rPr>
        <w:fldChar w:fldCharType="end"/>
      </w:r>
    </w:p>
    <w:bookmarkEnd w:id="0"/>
    <w:bookmarkEnd w:id="1"/>
    <w:p>
      <w:pPr>
        <w:pStyle w:val="6"/>
        <w:rPr>
          <w:rFonts w:hint="eastAsia" w:ascii="仿宋" w:hAnsi="仿宋" w:eastAsia="仿宋" w:cs="仿宋"/>
          <w:color w:val="auto"/>
          <w:highlight w:val="none"/>
        </w:rPr>
      </w:pPr>
    </w:p>
    <w:p>
      <w:pPr>
        <w:pStyle w:val="7"/>
        <w:rPr>
          <w:rFonts w:hint="eastAsia" w:ascii="仿宋" w:hAnsi="仿宋" w:eastAsia="仿宋" w:cs="仿宋"/>
          <w:color w:val="auto"/>
          <w:highlight w:val="none"/>
        </w:rPr>
      </w:pPr>
      <w:bookmarkStart w:id="2" w:name="_Toc6359"/>
      <w:bookmarkStart w:id="3" w:name="_Toc31424"/>
      <w:bookmarkStart w:id="4" w:name="_Toc95230920"/>
      <w:bookmarkStart w:id="5" w:name="_Toc9415"/>
      <w:bookmarkStart w:id="6" w:name="_Toc27855"/>
      <w:r>
        <w:rPr>
          <w:rFonts w:hint="eastAsia" w:ascii="仿宋" w:hAnsi="仿宋" w:eastAsia="仿宋" w:cs="仿宋"/>
          <w:color w:val="auto"/>
          <w:highlight w:val="none"/>
        </w:rPr>
        <w:t xml:space="preserve"> </w:t>
      </w:r>
      <w:bookmarkStart w:id="7" w:name="_Toc25914"/>
      <w:bookmarkStart w:id="8" w:name="_Toc27825"/>
      <w:r>
        <w:rPr>
          <w:rFonts w:hint="eastAsia" w:ascii="仿宋" w:hAnsi="仿宋" w:eastAsia="仿宋" w:cs="仿宋"/>
          <w:color w:val="auto"/>
          <w:highlight w:val="none"/>
        </w:rPr>
        <w:t>发展成就</w:t>
      </w:r>
      <w:bookmarkEnd w:id="7"/>
      <w:bookmarkEnd w:id="8"/>
    </w:p>
    <w:p>
      <w:pPr>
        <w:ind w:firstLine="640"/>
        <w:rPr>
          <w:rFonts w:hint="eastAsia" w:ascii="仿宋" w:hAnsi="仿宋" w:eastAsia="仿宋" w:cs="仿宋"/>
          <w:color w:val="auto"/>
          <w:kern w:val="2"/>
          <w:szCs w:val="22"/>
          <w:highlight w:val="none"/>
          <w:lang w:eastAsia="zh-CN"/>
        </w:rPr>
      </w:pPr>
      <w:r>
        <w:rPr>
          <w:rFonts w:hint="eastAsia" w:ascii="仿宋" w:hAnsi="仿宋" w:eastAsia="仿宋" w:cs="仿宋"/>
          <w:color w:val="auto"/>
          <w:kern w:val="0"/>
          <w:szCs w:val="32"/>
          <w:highlight w:val="none"/>
        </w:rPr>
        <w:t>“十四五”时期，</w:t>
      </w:r>
      <w:r>
        <w:rPr>
          <w:rFonts w:hint="eastAsia" w:ascii="仿宋" w:hAnsi="仿宋" w:eastAsia="仿宋" w:cs="仿宋"/>
          <w:color w:val="auto"/>
          <w:kern w:val="0"/>
          <w:szCs w:val="32"/>
          <w:highlight w:val="none"/>
          <w:lang w:val="en-US" w:eastAsia="zh-CN"/>
        </w:rPr>
        <w:t>在自治区党委坚强领导下，</w:t>
      </w:r>
      <w:r>
        <w:rPr>
          <w:rFonts w:hint="eastAsia" w:ascii="仿宋" w:hAnsi="仿宋" w:eastAsia="仿宋" w:cs="仿宋"/>
          <w:color w:val="auto"/>
          <w:kern w:val="0"/>
          <w:szCs w:val="32"/>
          <w:highlight w:val="none"/>
        </w:rPr>
        <w:t>喀什</w:t>
      </w:r>
      <w:r>
        <w:rPr>
          <w:rFonts w:hint="eastAsia" w:ascii="仿宋" w:hAnsi="仿宋" w:eastAsia="仿宋" w:cs="仿宋"/>
          <w:color w:val="auto"/>
          <w:kern w:val="0"/>
          <w:szCs w:val="32"/>
          <w:highlight w:val="none"/>
          <w:lang w:val="en-US" w:eastAsia="zh-CN"/>
        </w:rPr>
        <w:t>地委、行署</w:t>
      </w:r>
      <w:r>
        <w:rPr>
          <w:rFonts w:hint="eastAsia" w:ascii="仿宋" w:hAnsi="仿宋" w:eastAsia="仿宋" w:cs="仿宋"/>
          <w:color w:val="auto"/>
          <w:highlight w:val="none"/>
        </w:rPr>
        <w:t>完整准确全面贯彻新时代党的治疆方略，</w:t>
      </w:r>
      <w:r>
        <w:rPr>
          <w:rFonts w:hint="eastAsia" w:ascii="仿宋" w:hAnsi="仿宋" w:eastAsia="仿宋" w:cs="仿宋"/>
          <w:color w:val="auto"/>
          <w:highlight w:val="none"/>
          <w:lang w:val="en-US" w:eastAsia="zh-CN"/>
        </w:rPr>
        <w:t>牢牢扭住社会稳定和长治久安总目标，</w:t>
      </w:r>
      <w:r>
        <w:rPr>
          <w:rFonts w:hint="eastAsia" w:ascii="仿宋" w:hAnsi="仿宋" w:eastAsia="仿宋" w:cs="仿宋"/>
          <w:color w:val="auto"/>
          <w:highlight w:val="none"/>
        </w:rPr>
        <w:t>坚持紧贴民生、凝聚人心推动</w:t>
      </w:r>
      <w:r>
        <w:rPr>
          <w:rFonts w:hint="eastAsia" w:ascii="仿宋" w:hAnsi="仿宋" w:eastAsia="仿宋" w:cs="仿宋"/>
          <w:color w:val="auto"/>
          <w:kern w:val="0"/>
          <w:szCs w:val="32"/>
          <w:highlight w:val="none"/>
          <w:lang w:eastAsia="zh-CN"/>
        </w:rPr>
        <w:t>，</w:t>
      </w:r>
      <w:r>
        <w:rPr>
          <w:rFonts w:hint="eastAsia" w:ascii="仿宋" w:hAnsi="仿宋" w:eastAsia="仿宋" w:cs="仿宋"/>
          <w:color w:val="auto"/>
          <w:kern w:val="0"/>
          <w:szCs w:val="32"/>
          <w:highlight w:val="none"/>
        </w:rPr>
        <w:t>聚焦住房和住区品质提升的关键领域，统筹推进房地产市场发展、保障性住房建设、老旧小区改造等重点工作</w:t>
      </w:r>
      <w:r>
        <w:rPr>
          <w:rFonts w:hint="eastAsia" w:ascii="仿宋" w:hAnsi="仿宋" w:eastAsia="仿宋" w:cs="仿宋"/>
          <w:color w:val="auto"/>
          <w:kern w:val="0"/>
          <w:szCs w:val="32"/>
          <w:highlight w:val="none"/>
          <w:lang w:eastAsia="zh-CN"/>
        </w:rPr>
        <w:t>，</w:t>
      </w:r>
      <w:r>
        <w:rPr>
          <w:rFonts w:hint="eastAsia" w:ascii="仿宋" w:hAnsi="仿宋" w:eastAsia="仿宋" w:cs="仿宋"/>
          <w:color w:val="auto"/>
          <w:kern w:val="0"/>
          <w:szCs w:val="32"/>
          <w:highlight w:val="none"/>
        </w:rPr>
        <w:t>通过一系列精准施策与民生工程的落地，显著</w:t>
      </w:r>
      <w:r>
        <w:rPr>
          <w:rFonts w:hint="eastAsia" w:ascii="仿宋" w:hAnsi="仿宋" w:eastAsia="仿宋" w:cs="仿宋"/>
          <w:color w:val="auto"/>
          <w:kern w:val="0"/>
          <w:szCs w:val="32"/>
          <w:highlight w:val="none"/>
          <w:lang w:val="en-US" w:eastAsia="zh-CN"/>
        </w:rPr>
        <w:t>提升</w:t>
      </w:r>
      <w:r>
        <w:rPr>
          <w:rFonts w:hint="eastAsia" w:ascii="仿宋" w:hAnsi="仿宋" w:eastAsia="仿宋" w:cs="仿宋"/>
          <w:color w:val="auto"/>
          <w:kern w:val="0"/>
          <w:szCs w:val="32"/>
          <w:highlight w:val="none"/>
        </w:rPr>
        <w:t>了居住</w:t>
      </w:r>
      <w:r>
        <w:rPr>
          <w:rFonts w:hint="eastAsia" w:ascii="仿宋" w:hAnsi="仿宋" w:eastAsia="仿宋" w:cs="仿宋"/>
          <w:color w:val="auto"/>
          <w:kern w:val="0"/>
          <w:szCs w:val="32"/>
          <w:highlight w:val="none"/>
          <w:lang w:val="en-US" w:eastAsia="zh-CN"/>
        </w:rPr>
        <w:t>条件</w:t>
      </w:r>
      <w:r>
        <w:rPr>
          <w:rFonts w:hint="eastAsia" w:ascii="仿宋" w:hAnsi="仿宋" w:eastAsia="仿宋" w:cs="仿宋"/>
          <w:color w:val="auto"/>
          <w:kern w:val="0"/>
          <w:szCs w:val="32"/>
          <w:highlight w:val="none"/>
        </w:rPr>
        <w:t>、完善了城市功能，有力支撑了</w:t>
      </w:r>
      <w:r>
        <w:rPr>
          <w:rFonts w:hint="eastAsia" w:ascii="仿宋" w:hAnsi="仿宋" w:eastAsia="仿宋" w:cs="仿宋"/>
          <w:color w:val="auto"/>
          <w:kern w:val="0"/>
          <w:szCs w:val="32"/>
          <w:highlight w:val="none"/>
          <w:lang w:val="en-US" w:eastAsia="zh-CN"/>
        </w:rPr>
        <w:t>南疆新型城镇化的推进，推动了</w:t>
      </w:r>
      <w:r>
        <w:rPr>
          <w:rFonts w:hint="eastAsia" w:ascii="仿宋" w:hAnsi="仿宋" w:eastAsia="仿宋" w:cs="仿宋"/>
          <w:color w:val="auto"/>
          <w:kern w:val="0"/>
          <w:szCs w:val="32"/>
          <w:highlight w:val="none"/>
        </w:rPr>
        <w:t>地区经济社会平稳健康发展。</w:t>
      </w:r>
    </w:p>
    <w:bookmarkEnd w:id="2"/>
    <w:bookmarkEnd w:id="3"/>
    <w:bookmarkEnd w:id="4"/>
    <w:bookmarkEnd w:id="5"/>
    <w:bookmarkEnd w:id="6"/>
    <w:p>
      <w:pPr>
        <w:pStyle w:val="8"/>
        <w:ind w:firstLine="643"/>
        <w:rPr>
          <w:rFonts w:hint="eastAsia" w:ascii="仿宋" w:hAnsi="仿宋" w:eastAsia="仿宋" w:cs="仿宋"/>
          <w:color w:val="auto"/>
          <w:highlight w:val="none"/>
          <w:lang w:eastAsia="zh-CN"/>
        </w:rPr>
      </w:pPr>
      <w:bookmarkStart w:id="9" w:name="_Toc181968538"/>
      <w:r>
        <w:rPr>
          <w:rFonts w:hint="eastAsia" w:ascii="仿宋" w:hAnsi="仿宋" w:eastAsia="仿宋" w:cs="仿宋"/>
          <w:color w:val="auto"/>
          <w:highlight w:val="none"/>
        </w:rPr>
        <w:t>一、居民居住条件持续</w:t>
      </w:r>
      <w:r>
        <w:rPr>
          <w:rFonts w:hint="eastAsia" w:ascii="仿宋" w:hAnsi="仿宋" w:eastAsia="仿宋" w:cs="仿宋"/>
          <w:color w:val="auto"/>
          <w:highlight w:val="none"/>
          <w:lang w:val="en-US" w:eastAsia="zh-CN"/>
        </w:rPr>
        <w:t>提升</w:t>
      </w:r>
    </w:p>
    <w:p>
      <w:pPr>
        <w:spacing w:line="620" w:lineRule="exact"/>
        <w:ind w:firstLine="643"/>
        <w:rPr>
          <w:rFonts w:hint="eastAsia" w:ascii="仿宋" w:hAnsi="仿宋" w:eastAsia="仿宋" w:cs="仿宋"/>
          <w:color w:val="auto"/>
          <w:szCs w:val="32"/>
          <w:highlight w:val="none"/>
        </w:rPr>
      </w:pPr>
      <w:r>
        <w:rPr>
          <w:rFonts w:hint="eastAsia" w:ascii="仿宋" w:hAnsi="仿宋" w:eastAsia="仿宋" w:cs="仿宋"/>
          <w:b/>
          <w:bCs/>
          <w:color w:val="auto"/>
          <w:szCs w:val="32"/>
          <w:highlight w:val="none"/>
        </w:rPr>
        <w:t>住房供给总量充足，居住水平</w:t>
      </w:r>
      <w:r>
        <w:rPr>
          <w:rFonts w:hint="eastAsia" w:ascii="仿宋" w:hAnsi="仿宋" w:eastAsia="仿宋" w:cs="仿宋"/>
          <w:b/>
          <w:bCs/>
          <w:color w:val="auto"/>
          <w:szCs w:val="32"/>
          <w:highlight w:val="none"/>
          <w:lang w:val="en-US" w:eastAsia="zh-CN"/>
        </w:rPr>
        <w:t>得到较大提升</w:t>
      </w:r>
      <w:r>
        <w:rPr>
          <w:rFonts w:hint="eastAsia" w:ascii="仿宋" w:hAnsi="仿宋" w:eastAsia="仿宋" w:cs="仿宋"/>
          <w:b/>
          <w:bCs/>
          <w:color w:val="auto"/>
          <w:szCs w:val="32"/>
          <w:highlight w:val="none"/>
        </w:rPr>
        <w:t>。</w:t>
      </w:r>
      <w:r>
        <w:rPr>
          <w:rFonts w:hint="eastAsia" w:ascii="仿宋" w:hAnsi="仿宋" w:eastAsia="仿宋" w:cs="仿宋"/>
          <w:color w:val="auto"/>
          <w:szCs w:val="32"/>
          <w:highlight w:val="none"/>
        </w:rPr>
        <w:t>“十四五”时期，喀什地区城镇人均住房建筑面积呈现增长趋势，城镇居民居住条件不断提升</w:t>
      </w:r>
      <w:r>
        <w:rPr>
          <w:rFonts w:hint="eastAsia" w:ascii="仿宋" w:hAnsi="仿宋" w:eastAsia="仿宋" w:cs="仿宋"/>
          <w:color w:val="auto"/>
          <w:szCs w:val="32"/>
          <w:highlight w:val="none"/>
          <w:lang w:eastAsia="zh-CN"/>
        </w:rPr>
        <w:t>，</w:t>
      </w:r>
      <w:r>
        <w:rPr>
          <w:rFonts w:hint="eastAsia" w:ascii="仿宋" w:hAnsi="仿宋" w:eastAsia="仿宋" w:cs="仿宋"/>
          <w:color w:val="auto"/>
          <w:szCs w:val="32"/>
          <w:highlight w:val="none"/>
          <w:lang w:val="en-US" w:eastAsia="zh-CN"/>
        </w:rPr>
        <w:t>现状</w:t>
      </w:r>
      <w:r>
        <w:rPr>
          <w:rFonts w:hint="eastAsia" w:ascii="仿宋" w:hAnsi="仿宋" w:eastAsia="仿宋" w:cs="仿宋"/>
          <w:color w:val="auto"/>
          <w:szCs w:val="32"/>
          <w:highlight w:val="none"/>
        </w:rPr>
        <w:t>城镇人口人均住房建筑面积</w:t>
      </w:r>
      <w:r>
        <w:rPr>
          <w:rFonts w:hint="eastAsia" w:ascii="仿宋" w:hAnsi="仿宋" w:eastAsia="仿宋" w:cs="仿宋"/>
          <w:color w:val="auto"/>
          <w:szCs w:val="32"/>
          <w:highlight w:val="none"/>
          <w:lang w:val="en-US" w:eastAsia="zh-CN"/>
        </w:rPr>
        <w:t>与2020年</w:t>
      </w:r>
      <w:r>
        <w:rPr>
          <w:rFonts w:hint="eastAsia" w:ascii="仿宋" w:hAnsi="仿宋" w:eastAsia="仿宋" w:cs="仿宋"/>
          <w:color w:val="auto"/>
          <w:szCs w:val="24"/>
          <w:highlight w:val="none"/>
          <w:shd w:val="clear" w:color="auto" w:fill="FFFFFF"/>
          <w:lang w:eastAsia="zh-CN" w:bidi="ar"/>
        </w:rPr>
        <w:t>第七次全国人口普查</w:t>
      </w:r>
      <w:r>
        <w:rPr>
          <w:rFonts w:hint="eastAsia" w:ascii="仿宋" w:hAnsi="仿宋" w:eastAsia="仿宋" w:cs="仿宋"/>
          <w:color w:val="auto"/>
          <w:szCs w:val="32"/>
          <w:highlight w:val="none"/>
        </w:rPr>
        <w:t>数据相比提升了约</w:t>
      </w:r>
      <w:r>
        <w:rPr>
          <w:rFonts w:hint="eastAsia" w:ascii="仿宋" w:hAnsi="仿宋" w:eastAsia="仿宋" w:cs="仿宋"/>
          <w:color w:val="auto"/>
          <w:szCs w:val="32"/>
          <w:highlight w:val="none"/>
          <w:lang w:val="en-US" w:eastAsia="zh-CN"/>
        </w:rPr>
        <w:t>30</w:t>
      </w:r>
      <w:r>
        <w:rPr>
          <w:rFonts w:hint="eastAsia" w:ascii="仿宋" w:hAnsi="仿宋" w:eastAsia="仿宋" w:cs="仿宋"/>
          <w:color w:val="auto"/>
          <w:szCs w:val="32"/>
          <w:highlight w:val="none"/>
        </w:rPr>
        <w:t>%。</w:t>
      </w:r>
    </w:p>
    <w:p>
      <w:pPr>
        <w:spacing w:line="620" w:lineRule="exact"/>
        <w:ind w:firstLine="643"/>
        <w:rPr>
          <w:rFonts w:hint="eastAsia" w:ascii="仿宋" w:hAnsi="仿宋" w:eastAsia="仿宋" w:cs="仿宋"/>
          <w:color w:val="auto"/>
          <w:highlight w:val="none"/>
          <w:lang w:eastAsia="zh-CN"/>
        </w:rPr>
      </w:pPr>
      <w:r>
        <w:rPr>
          <w:rFonts w:hint="eastAsia" w:ascii="仿宋" w:hAnsi="仿宋" w:eastAsia="仿宋" w:cs="仿宋"/>
          <w:b/>
          <w:bCs/>
          <w:color w:val="auto"/>
          <w:szCs w:val="32"/>
          <w:highlight w:val="none"/>
        </w:rPr>
        <w:t>住房供应体系持续健全。</w:t>
      </w:r>
      <w:r>
        <w:rPr>
          <w:rFonts w:hint="eastAsia" w:ascii="仿宋" w:hAnsi="仿宋" w:eastAsia="仿宋" w:cs="仿宋"/>
          <w:color w:val="auto"/>
          <w:szCs w:val="32"/>
          <w:highlight w:val="none"/>
        </w:rPr>
        <w:t>稳步</w:t>
      </w:r>
      <w:r>
        <w:rPr>
          <w:rFonts w:hint="eastAsia" w:ascii="仿宋" w:hAnsi="仿宋" w:eastAsia="仿宋" w:cs="仿宋"/>
          <w:color w:val="auto"/>
          <w:szCs w:val="24"/>
          <w:highlight w:val="none"/>
          <w:shd w:val="clear" w:color="auto" w:fill="FFFFFF"/>
          <w:lang w:bidi="ar"/>
        </w:rPr>
        <w:t>推进各类保障性住房建设筹集，有效引导和促进房地产市场平稳健康发展，“保障+市场”的住房供应体系</w:t>
      </w:r>
      <w:r>
        <w:rPr>
          <w:rFonts w:hint="eastAsia" w:ascii="仿宋" w:hAnsi="仿宋" w:eastAsia="仿宋" w:cs="仿宋"/>
          <w:color w:val="auto"/>
          <w:szCs w:val="24"/>
          <w:highlight w:val="none"/>
          <w:shd w:val="clear" w:color="auto" w:fill="FFFFFF"/>
          <w:lang w:val="en-US" w:eastAsia="zh-CN" w:bidi="ar"/>
        </w:rPr>
        <w:t>基本</w:t>
      </w:r>
      <w:r>
        <w:rPr>
          <w:rFonts w:hint="eastAsia" w:ascii="仿宋" w:hAnsi="仿宋" w:eastAsia="仿宋" w:cs="仿宋"/>
          <w:color w:val="auto"/>
          <w:szCs w:val="24"/>
          <w:highlight w:val="none"/>
          <w:shd w:val="clear" w:color="auto" w:fill="FFFFFF"/>
          <w:lang w:bidi="ar"/>
        </w:rPr>
        <w:t>形成。</w:t>
      </w:r>
      <w:r>
        <w:rPr>
          <w:rFonts w:hint="eastAsia" w:ascii="仿宋" w:hAnsi="仿宋" w:eastAsia="仿宋" w:cs="仿宋"/>
          <w:color w:val="auto"/>
          <w:szCs w:val="24"/>
          <w:highlight w:val="none"/>
          <w:shd w:val="clear" w:color="auto" w:fill="FFFFFF"/>
          <w:lang w:eastAsia="zh-CN" w:bidi="ar"/>
        </w:rPr>
        <w:t>租购并举住房制度体系</w:t>
      </w:r>
      <w:r>
        <w:rPr>
          <w:rFonts w:hint="eastAsia" w:ascii="仿宋" w:hAnsi="仿宋" w:eastAsia="仿宋" w:cs="仿宋"/>
          <w:color w:val="auto"/>
          <w:szCs w:val="24"/>
          <w:highlight w:val="none"/>
          <w:shd w:val="clear" w:color="auto" w:fill="FFFFFF"/>
          <w:lang w:val="en-US" w:eastAsia="zh-CN" w:bidi="ar"/>
        </w:rPr>
        <w:t>不断完善</w:t>
      </w:r>
      <w:r>
        <w:rPr>
          <w:rFonts w:hint="eastAsia" w:ascii="仿宋" w:hAnsi="仿宋" w:eastAsia="仿宋" w:cs="仿宋"/>
          <w:color w:val="auto"/>
          <w:szCs w:val="24"/>
          <w:highlight w:val="none"/>
          <w:shd w:val="clear" w:color="auto" w:fill="FFFFFF"/>
          <w:lang w:eastAsia="zh-CN" w:bidi="ar"/>
        </w:rPr>
        <w:t>，第七次全国人口普查数据显示，喀什地区城镇租赁居住人口占比</w:t>
      </w:r>
      <w:r>
        <w:rPr>
          <w:rFonts w:hint="eastAsia" w:ascii="仿宋" w:hAnsi="仿宋" w:eastAsia="仿宋" w:cs="仿宋"/>
          <w:color w:val="auto"/>
          <w:szCs w:val="24"/>
          <w:highlight w:val="none"/>
          <w:shd w:val="clear" w:color="auto" w:fill="FFFFFF"/>
          <w:lang w:val="en-US" w:eastAsia="zh-CN" w:bidi="ar"/>
        </w:rPr>
        <w:t>高于</w:t>
      </w:r>
      <w:r>
        <w:rPr>
          <w:rFonts w:hint="eastAsia" w:ascii="仿宋" w:hAnsi="仿宋" w:eastAsia="仿宋" w:cs="仿宋"/>
          <w:color w:val="auto"/>
          <w:szCs w:val="24"/>
          <w:highlight w:val="none"/>
          <w:shd w:val="clear" w:color="auto" w:fill="FFFFFF"/>
          <w:lang w:eastAsia="zh-CN" w:bidi="ar"/>
        </w:rPr>
        <w:t>全国平均水平。</w:t>
      </w:r>
    </w:p>
    <w:bookmarkEnd w:id="9"/>
    <w:p>
      <w:pPr>
        <w:pStyle w:val="8"/>
        <w:ind w:firstLine="643"/>
        <w:rPr>
          <w:rFonts w:hint="eastAsia" w:ascii="仿宋" w:hAnsi="仿宋" w:eastAsia="仿宋" w:cs="仿宋"/>
          <w:color w:val="auto"/>
          <w:highlight w:val="none"/>
        </w:rPr>
      </w:pPr>
      <w:r>
        <w:rPr>
          <w:rFonts w:hint="eastAsia" w:ascii="仿宋" w:hAnsi="仿宋" w:eastAsia="仿宋" w:cs="仿宋"/>
          <w:color w:val="auto"/>
          <w:highlight w:val="none"/>
        </w:rPr>
        <w:t>二、住房市场实现相对平稳发展</w:t>
      </w:r>
    </w:p>
    <w:p>
      <w:pPr>
        <w:spacing w:line="240" w:lineRule="auto"/>
        <w:ind w:firstLine="0"/>
        <w:rPr>
          <w:rFonts w:hint="eastAsia" w:ascii="仿宋" w:hAnsi="仿宋" w:eastAsia="仿宋" w:cs="仿宋"/>
          <w:color w:val="auto"/>
          <w:szCs w:val="32"/>
          <w:highlight w:val="none"/>
        </w:rPr>
      </w:pPr>
      <w:r>
        <w:rPr>
          <w:rFonts w:hint="eastAsia" w:ascii="仿宋" w:hAnsi="仿宋" w:eastAsia="仿宋" w:cs="仿宋"/>
          <w:b/>
          <w:bCs/>
          <w:color w:val="auto"/>
          <w:szCs w:val="32"/>
          <w:highlight w:val="none"/>
        </w:rPr>
        <w:t>住房消费总体平稳，二手住房成交增长强劲。</w:t>
      </w:r>
      <w:r>
        <w:rPr>
          <w:rFonts w:hint="eastAsia" w:ascii="仿宋" w:hAnsi="仿宋" w:eastAsia="仿宋" w:cs="仿宋"/>
          <w:color w:val="auto"/>
          <w:szCs w:val="32"/>
          <w:highlight w:val="none"/>
        </w:rPr>
        <w:t>2021—2025年，喀什地区新建商品住</w:t>
      </w:r>
      <w:r>
        <w:rPr>
          <w:rFonts w:hint="eastAsia" w:ascii="仿宋" w:hAnsi="仿宋" w:eastAsia="仿宋" w:cs="仿宋"/>
          <w:color w:val="auto"/>
          <w:szCs w:val="32"/>
          <w:highlight w:val="none"/>
          <w:lang w:val="en-US" w:eastAsia="zh-CN"/>
        </w:rPr>
        <w:t>宅</w:t>
      </w:r>
      <w:r>
        <w:rPr>
          <w:rFonts w:hint="eastAsia" w:ascii="仿宋" w:hAnsi="仿宋" w:eastAsia="仿宋" w:cs="仿宋"/>
          <w:color w:val="auto"/>
          <w:szCs w:val="32"/>
          <w:highlight w:val="none"/>
        </w:rPr>
        <w:t>年均销售面积158.3万平方米</w:t>
      </w:r>
      <w:r>
        <w:rPr>
          <w:rFonts w:hint="eastAsia" w:ascii="仿宋" w:hAnsi="仿宋" w:eastAsia="仿宋" w:cs="仿宋"/>
          <w:color w:val="auto"/>
          <w:szCs w:val="32"/>
          <w:highlight w:val="none"/>
          <w:lang w:eastAsia="zh-CN"/>
        </w:rPr>
        <w:t>，</w:t>
      </w:r>
      <w:r>
        <w:rPr>
          <w:rFonts w:hint="eastAsia" w:ascii="仿宋" w:hAnsi="仿宋" w:eastAsia="仿宋" w:cs="仿宋"/>
          <w:color w:val="auto"/>
          <w:szCs w:val="32"/>
          <w:highlight w:val="none"/>
          <w:lang w:val="en-US" w:eastAsia="zh-CN"/>
        </w:rPr>
        <w:t>波动幅度小于全国、全疆，更加平稳</w:t>
      </w:r>
      <w:r>
        <w:rPr>
          <w:rFonts w:hint="eastAsia" w:ascii="仿宋" w:hAnsi="仿宋" w:eastAsia="仿宋" w:cs="仿宋"/>
          <w:color w:val="auto"/>
          <w:szCs w:val="32"/>
          <w:highlight w:val="none"/>
        </w:rPr>
        <w:t>；二手住</w:t>
      </w:r>
      <w:r>
        <w:rPr>
          <w:rFonts w:hint="eastAsia" w:ascii="仿宋" w:hAnsi="仿宋" w:eastAsia="仿宋" w:cs="仿宋"/>
          <w:color w:val="auto"/>
          <w:szCs w:val="32"/>
          <w:highlight w:val="none"/>
          <w:lang w:val="en-US" w:eastAsia="zh-CN"/>
        </w:rPr>
        <w:t>宅</w:t>
      </w:r>
      <w:r>
        <w:rPr>
          <w:rFonts w:hint="eastAsia" w:ascii="仿宋" w:hAnsi="仿宋" w:eastAsia="仿宋" w:cs="仿宋"/>
          <w:color w:val="auto"/>
          <w:szCs w:val="32"/>
          <w:highlight w:val="none"/>
        </w:rPr>
        <w:t>年均成交82.2万平方米。新房与二手房销</w:t>
      </w:r>
      <w:r>
        <w:rPr>
          <w:rFonts w:hint="eastAsia" w:ascii="仿宋" w:hAnsi="仿宋" w:eastAsia="仿宋" w:cs="仿宋"/>
          <w:color w:val="auto"/>
          <w:szCs w:val="32"/>
          <w:highlight w:val="none"/>
          <w:lang w:val="en-US" w:eastAsia="zh-CN"/>
        </w:rPr>
        <w:t>售</w:t>
      </w:r>
      <w:r>
        <w:rPr>
          <w:rFonts w:hint="eastAsia" w:ascii="仿宋" w:hAnsi="仿宋" w:eastAsia="仿宋" w:cs="仿宋"/>
          <w:color w:val="auto"/>
          <w:szCs w:val="32"/>
          <w:highlight w:val="none"/>
        </w:rPr>
        <w:t>总量保持相对稳定。</w:t>
      </w:r>
    </w:p>
    <w:p>
      <w:pPr>
        <w:spacing w:line="620" w:lineRule="exact"/>
        <w:ind w:firstLine="643"/>
        <w:rPr>
          <w:rFonts w:hint="eastAsia" w:ascii="仿宋" w:hAnsi="仿宋" w:eastAsia="仿宋" w:cs="仿宋"/>
          <w:color w:val="auto"/>
          <w:szCs w:val="32"/>
          <w:highlight w:val="none"/>
        </w:rPr>
      </w:pPr>
      <w:r>
        <w:rPr>
          <w:rFonts w:hint="eastAsia" w:ascii="仿宋" w:hAnsi="仿宋" w:eastAsia="仿宋" w:cs="仿宋"/>
          <w:b/>
          <w:bCs/>
          <w:color w:val="auto"/>
          <w:szCs w:val="32"/>
          <w:highlight w:val="none"/>
        </w:rPr>
        <w:t>房价基本稳定，住房可支付性好。</w:t>
      </w:r>
      <w:r>
        <w:rPr>
          <w:rFonts w:hint="eastAsia" w:ascii="仿宋" w:hAnsi="仿宋" w:eastAsia="仿宋" w:cs="仿宋"/>
          <w:color w:val="auto"/>
          <w:szCs w:val="32"/>
          <w:highlight w:val="none"/>
        </w:rPr>
        <w:t>2021—2025年，新建商品住</w:t>
      </w:r>
      <w:r>
        <w:rPr>
          <w:rFonts w:hint="eastAsia" w:ascii="仿宋" w:hAnsi="仿宋" w:eastAsia="仿宋" w:cs="仿宋"/>
          <w:color w:val="auto"/>
          <w:szCs w:val="32"/>
          <w:highlight w:val="none"/>
          <w:lang w:val="en-US" w:eastAsia="zh-CN"/>
        </w:rPr>
        <w:t>宅销售价格和</w:t>
      </w:r>
      <w:r>
        <w:rPr>
          <w:rFonts w:hint="eastAsia" w:ascii="仿宋" w:hAnsi="仿宋" w:eastAsia="仿宋" w:cs="仿宋"/>
          <w:color w:val="auto"/>
          <w:szCs w:val="32"/>
          <w:highlight w:val="none"/>
        </w:rPr>
        <w:t>二手住</w:t>
      </w:r>
      <w:r>
        <w:rPr>
          <w:rFonts w:hint="eastAsia" w:ascii="仿宋" w:hAnsi="仿宋" w:eastAsia="仿宋" w:cs="仿宋"/>
          <w:color w:val="auto"/>
          <w:szCs w:val="32"/>
          <w:highlight w:val="none"/>
          <w:lang w:val="en-US" w:eastAsia="zh-CN"/>
        </w:rPr>
        <w:t>宅销售价格均略有增长</w:t>
      </w:r>
      <w:r>
        <w:rPr>
          <w:rFonts w:hint="eastAsia" w:ascii="仿宋" w:hAnsi="仿宋" w:eastAsia="仿宋" w:cs="仿宋"/>
          <w:color w:val="auto"/>
          <w:szCs w:val="32"/>
          <w:highlight w:val="none"/>
        </w:rPr>
        <w:t>，年均增速</w:t>
      </w:r>
      <w:r>
        <w:rPr>
          <w:rFonts w:hint="eastAsia" w:ascii="仿宋" w:hAnsi="仿宋" w:eastAsia="仿宋" w:cs="仿宋"/>
          <w:color w:val="auto"/>
          <w:szCs w:val="32"/>
          <w:highlight w:val="none"/>
          <w:lang w:val="en-US" w:eastAsia="zh-CN"/>
        </w:rPr>
        <w:t>分别为</w:t>
      </w:r>
      <w:r>
        <w:rPr>
          <w:rFonts w:hint="eastAsia" w:ascii="仿宋" w:hAnsi="仿宋" w:eastAsia="仿宋" w:cs="仿宋"/>
          <w:color w:val="auto"/>
          <w:szCs w:val="32"/>
          <w:highlight w:val="none"/>
        </w:rPr>
        <w:t>2.26%</w:t>
      </w:r>
      <w:r>
        <w:rPr>
          <w:rFonts w:hint="eastAsia" w:ascii="仿宋" w:hAnsi="仿宋" w:eastAsia="仿宋" w:cs="仿宋"/>
          <w:color w:val="auto"/>
          <w:szCs w:val="32"/>
          <w:highlight w:val="none"/>
          <w:lang w:eastAsia="zh-CN"/>
        </w:rPr>
        <w:t>、</w:t>
      </w:r>
      <w:r>
        <w:rPr>
          <w:rFonts w:hint="eastAsia" w:ascii="仿宋" w:hAnsi="仿宋" w:eastAsia="仿宋" w:cs="仿宋"/>
          <w:color w:val="auto"/>
          <w:szCs w:val="32"/>
          <w:highlight w:val="none"/>
        </w:rPr>
        <w:t>3</w:t>
      </w:r>
      <w:r>
        <w:rPr>
          <w:rFonts w:hint="eastAsia" w:ascii="仿宋" w:hAnsi="仿宋" w:eastAsia="仿宋" w:cs="仿宋"/>
          <w:color w:val="auto"/>
          <w:szCs w:val="32"/>
          <w:highlight w:val="none"/>
          <w:lang w:val="en-US" w:eastAsia="zh-CN"/>
        </w:rPr>
        <w:t>.02</w:t>
      </w:r>
      <w:r>
        <w:rPr>
          <w:rFonts w:hint="eastAsia" w:ascii="仿宋" w:hAnsi="仿宋" w:eastAsia="仿宋" w:cs="仿宋"/>
          <w:color w:val="auto"/>
          <w:szCs w:val="32"/>
          <w:highlight w:val="none"/>
        </w:rPr>
        <w:t>%。2025年，喀什地区住房可支付性</w:t>
      </w:r>
      <w:r>
        <w:rPr>
          <w:rFonts w:hint="eastAsia" w:ascii="仿宋" w:hAnsi="仿宋" w:eastAsia="仿宋" w:cs="仿宋"/>
          <w:color w:val="auto"/>
          <w:szCs w:val="32"/>
          <w:highlight w:val="none"/>
          <w:lang w:val="en-US" w:eastAsia="zh-CN"/>
        </w:rPr>
        <w:t>整体较</w:t>
      </w:r>
      <w:r>
        <w:rPr>
          <w:rFonts w:hint="eastAsia" w:ascii="仿宋" w:hAnsi="仿宋" w:eastAsia="仿宋" w:cs="仿宋"/>
          <w:color w:val="auto"/>
          <w:szCs w:val="32"/>
          <w:highlight w:val="none"/>
        </w:rPr>
        <w:t>好，新建商品住</w:t>
      </w:r>
      <w:r>
        <w:rPr>
          <w:rFonts w:hint="eastAsia" w:ascii="仿宋" w:hAnsi="仿宋" w:eastAsia="仿宋" w:cs="仿宋"/>
          <w:color w:val="auto"/>
          <w:szCs w:val="32"/>
          <w:highlight w:val="none"/>
          <w:lang w:val="en-US" w:eastAsia="zh-CN"/>
        </w:rPr>
        <w:t>宅</w:t>
      </w:r>
      <w:r>
        <w:rPr>
          <w:rFonts w:hint="eastAsia" w:ascii="仿宋" w:hAnsi="仿宋" w:eastAsia="仿宋" w:cs="仿宋"/>
          <w:color w:val="auto"/>
          <w:szCs w:val="32"/>
          <w:highlight w:val="none"/>
        </w:rPr>
        <w:t>房价收入比为4.66，二手</w:t>
      </w:r>
      <w:r>
        <w:rPr>
          <w:rFonts w:hint="eastAsia" w:ascii="仿宋" w:hAnsi="仿宋" w:eastAsia="仿宋" w:cs="仿宋"/>
          <w:color w:val="auto"/>
          <w:szCs w:val="32"/>
          <w:highlight w:val="none"/>
          <w:lang w:val="en-US" w:eastAsia="zh-CN"/>
        </w:rPr>
        <w:t>住宅</w:t>
      </w:r>
      <w:r>
        <w:rPr>
          <w:rFonts w:hint="eastAsia" w:ascii="仿宋" w:hAnsi="仿宋" w:eastAsia="仿宋" w:cs="仿宋"/>
          <w:color w:val="auto"/>
          <w:szCs w:val="32"/>
          <w:highlight w:val="none"/>
        </w:rPr>
        <w:t>房价收入比为3.34，处于合理区间。</w:t>
      </w:r>
    </w:p>
    <w:p>
      <w:pPr>
        <w:ind w:firstLine="643"/>
        <w:rPr>
          <w:rFonts w:hint="eastAsia" w:ascii="仿宋" w:hAnsi="仿宋" w:eastAsia="仿宋" w:cs="仿宋"/>
          <w:color w:val="auto"/>
          <w:highlight w:val="none"/>
        </w:rPr>
      </w:pPr>
      <w:r>
        <w:rPr>
          <w:rFonts w:hint="eastAsia" w:ascii="仿宋" w:hAnsi="仿宋" w:eastAsia="仿宋" w:cs="仿宋"/>
          <w:b/>
          <w:bCs/>
          <w:color w:val="auto"/>
          <w:szCs w:val="32"/>
          <w:highlight w:val="none"/>
        </w:rPr>
        <w:t>防范化解房地产市场风险工作持续有效推进。</w:t>
      </w:r>
      <w:r>
        <w:rPr>
          <w:rFonts w:hint="eastAsia" w:ascii="仿宋" w:hAnsi="仿宋" w:eastAsia="仿宋" w:cs="仿宋"/>
          <w:color w:val="auto"/>
          <w:szCs w:val="32"/>
          <w:highlight w:val="none"/>
          <w:lang w:eastAsia="zh-CN"/>
        </w:rPr>
        <w:t>“</w:t>
      </w:r>
      <w:r>
        <w:rPr>
          <w:rFonts w:hint="eastAsia" w:ascii="仿宋" w:hAnsi="仿宋" w:eastAsia="仿宋" w:cs="仿宋"/>
          <w:color w:val="auto"/>
          <w:szCs w:val="32"/>
          <w:highlight w:val="none"/>
          <w:lang w:val="en-US" w:eastAsia="zh-CN"/>
        </w:rPr>
        <w:t>十四五</w:t>
      </w:r>
      <w:r>
        <w:rPr>
          <w:rFonts w:hint="eastAsia" w:ascii="仿宋" w:hAnsi="仿宋" w:eastAsia="仿宋" w:cs="仿宋"/>
          <w:color w:val="auto"/>
          <w:szCs w:val="32"/>
          <w:highlight w:val="none"/>
          <w:lang w:eastAsia="zh-CN"/>
        </w:rPr>
        <w:t>”</w:t>
      </w:r>
      <w:r>
        <w:rPr>
          <w:rFonts w:hint="eastAsia" w:ascii="仿宋" w:hAnsi="仿宋" w:eastAsia="仿宋" w:cs="仿宋"/>
          <w:color w:val="auto"/>
          <w:szCs w:val="32"/>
          <w:highlight w:val="none"/>
          <w:lang w:val="en-US" w:eastAsia="zh-CN"/>
        </w:rPr>
        <w:t>期间</w:t>
      </w:r>
      <w:r>
        <w:rPr>
          <w:rFonts w:hint="eastAsia" w:ascii="仿宋" w:hAnsi="仿宋" w:eastAsia="仿宋" w:cs="仿宋"/>
          <w:color w:val="auto"/>
          <w:szCs w:val="32"/>
          <w:highlight w:val="none"/>
        </w:rPr>
        <w:t>，</w:t>
      </w:r>
      <w:r>
        <w:rPr>
          <w:rFonts w:hint="eastAsia" w:ascii="仿宋" w:hAnsi="仿宋" w:eastAsia="仿宋" w:cs="仿宋"/>
          <w:color w:val="auto"/>
          <w:szCs w:val="32"/>
          <w:highlight w:val="none"/>
          <w:lang w:val="en-US" w:eastAsia="zh-CN"/>
        </w:rPr>
        <w:t>喀什地区扎实有效推进</w:t>
      </w:r>
      <w:r>
        <w:rPr>
          <w:rFonts w:hint="eastAsia" w:ascii="仿宋" w:hAnsi="仿宋" w:eastAsia="仿宋" w:cs="仿宋"/>
          <w:color w:val="auto"/>
          <w:szCs w:val="32"/>
          <w:highlight w:val="none"/>
        </w:rPr>
        <w:t>“保交楼”“保交房”任务。通过积极推动房地产融资协</w:t>
      </w:r>
      <w:r>
        <w:rPr>
          <w:rFonts w:hint="eastAsia" w:ascii="仿宋" w:hAnsi="仿宋" w:eastAsia="仿宋" w:cs="仿宋"/>
          <w:color w:val="auto"/>
          <w:szCs w:val="32"/>
          <w:highlight w:val="none"/>
          <w:lang w:val="en-US" w:eastAsia="zh-CN"/>
        </w:rPr>
        <w:t>调</w:t>
      </w:r>
      <w:r>
        <w:rPr>
          <w:rFonts w:hint="eastAsia" w:ascii="仿宋" w:hAnsi="仿宋" w:eastAsia="仿宋" w:cs="仿宋"/>
          <w:color w:val="auto"/>
          <w:szCs w:val="32"/>
          <w:highlight w:val="none"/>
        </w:rPr>
        <w:t>机制，全地区获得融资项目36个，融资落地18.5亿元</w:t>
      </w:r>
      <w:r>
        <w:rPr>
          <w:rFonts w:hint="eastAsia" w:ascii="仿宋" w:hAnsi="仿宋" w:eastAsia="仿宋" w:cs="仿宋"/>
          <w:color w:val="auto"/>
          <w:szCs w:val="32"/>
          <w:highlight w:val="none"/>
          <w:lang w:eastAsia="zh-CN"/>
        </w:rPr>
        <w:t>，</w:t>
      </w:r>
      <w:r>
        <w:rPr>
          <w:rFonts w:hint="eastAsia" w:ascii="仿宋" w:hAnsi="仿宋" w:eastAsia="仿宋" w:cs="仿宋"/>
          <w:color w:val="auto"/>
          <w:szCs w:val="32"/>
          <w:highlight w:val="none"/>
        </w:rPr>
        <w:t>有力地支持了房地产项目的建成交付。</w:t>
      </w:r>
    </w:p>
    <w:p>
      <w:pPr>
        <w:pStyle w:val="8"/>
        <w:ind w:firstLine="643"/>
        <w:rPr>
          <w:rFonts w:hint="eastAsia" w:ascii="仿宋" w:hAnsi="仿宋" w:eastAsia="仿宋" w:cs="仿宋"/>
          <w:color w:val="auto"/>
          <w:highlight w:val="none"/>
        </w:rPr>
      </w:pPr>
      <w:r>
        <w:rPr>
          <w:rFonts w:hint="eastAsia" w:ascii="仿宋" w:hAnsi="仿宋" w:eastAsia="仿宋" w:cs="仿宋"/>
          <w:color w:val="auto"/>
          <w:highlight w:val="none"/>
        </w:rPr>
        <w:t>三、住房保障能力持续增强</w:t>
      </w:r>
    </w:p>
    <w:p>
      <w:pPr>
        <w:ind w:firstLine="643"/>
        <w:rPr>
          <w:rFonts w:hint="eastAsia" w:ascii="仿宋" w:hAnsi="仿宋" w:eastAsia="仿宋" w:cs="仿宋"/>
          <w:color w:val="auto"/>
          <w:highlight w:val="none"/>
          <w:lang w:eastAsia="zh-CN"/>
        </w:rPr>
      </w:pPr>
      <w:r>
        <w:rPr>
          <w:rFonts w:hint="eastAsia" w:ascii="仿宋" w:hAnsi="仿宋" w:eastAsia="仿宋" w:cs="仿宋"/>
          <w:b/>
          <w:bCs/>
          <w:color w:val="auto"/>
          <w:highlight w:val="none"/>
          <w:lang w:val="en-US" w:eastAsia="zh-CN"/>
        </w:rPr>
        <w:t>保障性住房</w:t>
      </w:r>
      <w:r>
        <w:rPr>
          <w:rFonts w:hint="eastAsia" w:ascii="仿宋" w:hAnsi="仿宋" w:eastAsia="仿宋" w:cs="仿宋"/>
          <w:b/>
          <w:bCs/>
          <w:color w:val="auto"/>
          <w:highlight w:val="none"/>
        </w:rPr>
        <w:t>规模较大，</w:t>
      </w:r>
      <w:r>
        <w:rPr>
          <w:rFonts w:hint="eastAsia" w:ascii="仿宋" w:hAnsi="仿宋" w:eastAsia="仿宋" w:cs="仿宋"/>
          <w:b/>
          <w:bCs/>
          <w:color w:val="auto"/>
          <w:highlight w:val="none"/>
          <w:lang w:val="zh-CN"/>
        </w:rPr>
        <w:t>形成以公租房为主的住房保障体系。</w:t>
      </w:r>
      <w:r>
        <w:rPr>
          <w:rFonts w:hint="eastAsia" w:ascii="仿宋" w:hAnsi="仿宋" w:eastAsia="仿宋" w:cs="仿宋"/>
          <w:color w:val="auto"/>
          <w:highlight w:val="none"/>
          <w:lang w:val="zh-CN"/>
        </w:rPr>
        <w:t>截至</w:t>
      </w:r>
      <w:r>
        <w:rPr>
          <w:rFonts w:hint="eastAsia" w:ascii="仿宋" w:hAnsi="仿宋" w:eastAsia="仿宋" w:cs="仿宋"/>
          <w:color w:val="auto"/>
          <w:highlight w:val="none"/>
          <w:lang w:val="en-US" w:eastAsia="zh-CN"/>
        </w:rPr>
        <w:t>2025年底</w:t>
      </w:r>
      <w:r>
        <w:rPr>
          <w:rFonts w:hint="eastAsia" w:ascii="仿宋" w:hAnsi="仿宋" w:eastAsia="仿宋" w:cs="仿宋"/>
          <w:color w:val="auto"/>
          <w:highlight w:val="none"/>
          <w:lang w:val="zh-CN"/>
        </w:rPr>
        <w:t>，全地区筹集保障性住房39.</w:t>
      </w:r>
      <w:r>
        <w:rPr>
          <w:rFonts w:hint="eastAsia" w:ascii="仿宋" w:hAnsi="仿宋" w:eastAsia="仿宋" w:cs="仿宋"/>
          <w:color w:val="auto"/>
          <w:highlight w:val="none"/>
        </w:rPr>
        <w:t>06</w:t>
      </w:r>
      <w:r>
        <w:rPr>
          <w:rFonts w:hint="eastAsia" w:ascii="仿宋" w:hAnsi="仿宋" w:eastAsia="仿宋" w:cs="仿宋"/>
          <w:color w:val="auto"/>
          <w:highlight w:val="none"/>
          <w:lang w:val="zh-CN"/>
        </w:rPr>
        <w:t>万套，其中，</w:t>
      </w:r>
      <w:r>
        <w:rPr>
          <w:rFonts w:hint="eastAsia" w:ascii="仿宋" w:hAnsi="仿宋" w:eastAsia="仿宋" w:cs="仿宋"/>
          <w:color w:val="auto"/>
          <w:highlight w:val="none"/>
        </w:rPr>
        <w:t>自2008年起建设的</w:t>
      </w:r>
      <w:r>
        <w:rPr>
          <w:rFonts w:hint="eastAsia" w:ascii="仿宋" w:hAnsi="仿宋" w:eastAsia="仿宋" w:cs="仿宋"/>
          <w:color w:val="auto"/>
          <w:highlight w:val="none"/>
          <w:lang w:eastAsia="zh-CN"/>
        </w:rPr>
        <w:t>公租房</w:t>
      </w:r>
      <w:r>
        <w:rPr>
          <w:rFonts w:hint="eastAsia" w:ascii="仿宋" w:hAnsi="仿宋" w:eastAsia="仿宋" w:cs="仿宋"/>
          <w:color w:val="auto"/>
          <w:highlight w:val="none"/>
          <w:lang w:val="zh-CN"/>
        </w:rPr>
        <w:t>（含廉租房）</w:t>
      </w:r>
      <w:r>
        <w:rPr>
          <w:rFonts w:hint="eastAsia" w:ascii="仿宋" w:hAnsi="仿宋" w:eastAsia="仿宋" w:cs="仿宋"/>
          <w:color w:val="auto"/>
          <w:highlight w:val="none"/>
        </w:rPr>
        <w:t>共</w:t>
      </w:r>
      <w:r>
        <w:rPr>
          <w:rFonts w:hint="eastAsia" w:ascii="仿宋" w:hAnsi="仿宋" w:eastAsia="仿宋" w:cs="仿宋"/>
          <w:color w:val="auto"/>
          <w:highlight w:val="none"/>
          <w:lang w:val="zh-CN"/>
        </w:rPr>
        <w:t>38.</w:t>
      </w:r>
      <w:r>
        <w:rPr>
          <w:rFonts w:hint="eastAsia" w:ascii="仿宋" w:hAnsi="仿宋" w:eastAsia="仿宋" w:cs="仿宋"/>
          <w:color w:val="auto"/>
          <w:highlight w:val="none"/>
        </w:rPr>
        <w:t>48</w:t>
      </w:r>
      <w:r>
        <w:rPr>
          <w:rFonts w:hint="eastAsia" w:ascii="仿宋" w:hAnsi="仿宋" w:eastAsia="仿宋" w:cs="仿宋"/>
          <w:color w:val="auto"/>
          <w:highlight w:val="none"/>
          <w:lang w:val="zh-CN"/>
        </w:rPr>
        <w:t>万套；</w:t>
      </w:r>
      <w:r>
        <w:rPr>
          <w:rFonts w:hint="eastAsia" w:ascii="仿宋" w:hAnsi="仿宋" w:eastAsia="仿宋" w:cs="仿宋"/>
          <w:color w:val="auto"/>
          <w:highlight w:val="none"/>
        </w:rPr>
        <w:t>自2020年起筹集的</w:t>
      </w:r>
      <w:r>
        <w:rPr>
          <w:rFonts w:hint="eastAsia" w:ascii="仿宋" w:hAnsi="仿宋" w:eastAsia="仿宋" w:cs="仿宋"/>
          <w:color w:val="auto"/>
          <w:highlight w:val="none"/>
          <w:lang w:val="zh-CN"/>
        </w:rPr>
        <w:t>保障性租赁住房0.5</w:t>
      </w:r>
      <w:r>
        <w:rPr>
          <w:rFonts w:hint="eastAsia" w:ascii="仿宋" w:hAnsi="仿宋" w:eastAsia="仿宋" w:cs="仿宋"/>
          <w:color w:val="auto"/>
          <w:highlight w:val="none"/>
        </w:rPr>
        <w:t>8</w:t>
      </w:r>
      <w:r>
        <w:rPr>
          <w:rFonts w:hint="eastAsia" w:ascii="仿宋" w:hAnsi="仿宋" w:eastAsia="仿宋" w:cs="仿宋"/>
          <w:color w:val="auto"/>
          <w:highlight w:val="none"/>
          <w:lang w:val="zh-CN"/>
        </w:rPr>
        <w:t>万套（间），</w:t>
      </w:r>
      <w:r>
        <w:rPr>
          <w:rFonts w:hint="eastAsia" w:ascii="仿宋" w:hAnsi="仿宋" w:eastAsia="仿宋" w:cs="仿宋"/>
          <w:color w:val="auto"/>
          <w:highlight w:val="none"/>
        </w:rPr>
        <w:t>均已建成交付</w:t>
      </w:r>
      <w:r>
        <w:rPr>
          <w:rFonts w:hint="eastAsia" w:ascii="仿宋" w:hAnsi="仿宋" w:eastAsia="仿宋" w:cs="仿宋"/>
          <w:color w:val="auto"/>
          <w:highlight w:val="none"/>
          <w:lang w:val="zh-CN"/>
        </w:rPr>
        <w:t>。</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住房</w:t>
      </w:r>
      <w:r>
        <w:rPr>
          <w:rFonts w:hint="eastAsia" w:ascii="仿宋" w:hAnsi="仿宋" w:eastAsia="仿宋" w:cs="仿宋"/>
          <w:b/>
          <w:bCs/>
          <w:color w:val="auto"/>
          <w:highlight w:val="none"/>
        </w:rPr>
        <w:t>保障群体覆盖面广</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lang w:val="en-US" w:eastAsia="zh-CN"/>
        </w:rPr>
        <w:t>轮候时间处于合理水平</w:t>
      </w:r>
      <w:r>
        <w:rPr>
          <w:rFonts w:hint="eastAsia" w:ascii="仿宋" w:hAnsi="仿宋" w:eastAsia="仿宋" w:cs="仿宋"/>
          <w:b/>
          <w:bCs/>
          <w:color w:val="auto"/>
          <w:highlight w:val="none"/>
        </w:rPr>
        <w:t>。</w:t>
      </w:r>
      <w:r>
        <w:rPr>
          <w:rFonts w:hint="eastAsia" w:ascii="仿宋" w:hAnsi="仿宋" w:eastAsia="仿宋" w:cs="仿宋"/>
          <w:color w:val="auto"/>
          <w:highlight w:val="none"/>
          <w:lang w:eastAsia="zh-CN"/>
        </w:rPr>
        <w:t>公租房</w:t>
      </w:r>
      <w:r>
        <w:rPr>
          <w:rFonts w:hint="eastAsia" w:ascii="仿宋" w:hAnsi="仿宋" w:eastAsia="仿宋" w:cs="仿宋"/>
          <w:color w:val="auto"/>
          <w:highlight w:val="none"/>
        </w:rPr>
        <w:t>保障</w:t>
      </w:r>
      <w:r>
        <w:rPr>
          <w:rFonts w:hint="eastAsia" w:ascii="仿宋" w:hAnsi="仿宋" w:eastAsia="仿宋" w:cs="仿宋"/>
          <w:color w:val="auto"/>
          <w:highlight w:val="none"/>
          <w:lang w:val="en-US" w:eastAsia="zh-CN"/>
        </w:rPr>
        <w:t>较好</w:t>
      </w:r>
      <w:r>
        <w:rPr>
          <w:rFonts w:hint="eastAsia" w:ascii="仿宋" w:hAnsi="仿宋" w:eastAsia="仿宋" w:cs="仿宋"/>
          <w:color w:val="auto"/>
          <w:highlight w:val="none"/>
        </w:rPr>
        <w:t>覆盖中等偏下收入住房困难家庭、新就业无房职工、城镇稳定就业的外来务工人员等群体，保障覆盖面广。截至</w:t>
      </w:r>
      <w:r>
        <w:rPr>
          <w:rFonts w:hint="eastAsia" w:ascii="仿宋" w:hAnsi="仿宋" w:eastAsia="仿宋" w:cs="仿宋"/>
          <w:color w:val="auto"/>
          <w:highlight w:val="none"/>
          <w:lang w:val="en-US" w:eastAsia="zh-CN"/>
        </w:rPr>
        <w:t>2025年底</w:t>
      </w:r>
      <w:r>
        <w:rPr>
          <w:rFonts w:hint="eastAsia" w:ascii="仿宋" w:hAnsi="仿宋" w:eastAsia="仿宋" w:cs="仿宋"/>
          <w:color w:val="auto"/>
          <w:highlight w:val="none"/>
        </w:rPr>
        <w:t>，已配租36.67万套，各县市</w:t>
      </w:r>
      <w:r>
        <w:rPr>
          <w:rFonts w:hint="eastAsia" w:ascii="仿宋" w:hAnsi="仿宋" w:eastAsia="仿宋" w:cs="仿宋"/>
          <w:color w:val="auto"/>
          <w:highlight w:val="none"/>
          <w:lang w:eastAsia="zh-CN"/>
        </w:rPr>
        <w:t>公租房</w:t>
      </w:r>
      <w:r>
        <w:rPr>
          <w:rFonts w:hint="eastAsia" w:ascii="仿宋" w:hAnsi="仿宋" w:eastAsia="仿宋" w:cs="仿宋"/>
          <w:color w:val="auto"/>
          <w:highlight w:val="none"/>
        </w:rPr>
        <w:t>轮候时间为6个月</w:t>
      </w:r>
      <w:r>
        <w:rPr>
          <w:rFonts w:hint="eastAsia" w:ascii="仿宋" w:hAnsi="仿宋" w:eastAsia="仿宋" w:cs="仿宋"/>
          <w:color w:val="auto"/>
          <w:highlight w:val="none"/>
          <w:lang w:val="en-US" w:eastAsia="zh-CN"/>
        </w:rPr>
        <w:t>左右</w:t>
      </w:r>
      <w:r>
        <w:rPr>
          <w:rFonts w:hint="eastAsia" w:ascii="仿宋" w:hAnsi="仿宋" w:eastAsia="仿宋" w:cs="仿宋"/>
          <w:color w:val="auto"/>
          <w:highlight w:val="none"/>
        </w:rPr>
        <w:t>，较为合理。</w:t>
      </w:r>
    </w:p>
    <w:p>
      <w:pPr>
        <w:pStyle w:val="8"/>
        <w:ind w:firstLine="643"/>
        <w:rPr>
          <w:rFonts w:hint="eastAsia" w:ascii="仿宋" w:hAnsi="仿宋" w:eastAsia="仿宋" w:cs="仿宋"/>
          <w:color w:val="auto"/>
          <w:highlight w:val="none"/>
        </w:rPr>
      </w:pPr>
      <w:r>
        <w:rPr>
          <w:rFonts w:hint="eastAsia" w:ascii="仿宋" w:hAnsi="仿宋" w:eastAsia="仿宋" w:cs="仿宋"/>
          <w:color w:val="auto"/>
          <w:highlight w:val="none"/>
        </w:rPr>
        <w:t>四、住房品质</w:t>
      </w:r>
      <w:r>
        <w:rPr>
          <w:rFonts w:hint="eastAsia" w:ascii="仿宋" w:hAnsi="仿宋" w:eastAsia="仿宋" w:cs="仿宋"/>
          <w:color w:val="auto"/>
          <w:highlight w:val="none"/>
          <w:lang w:val="en-US" w:eastAsia="zh-CN"/>
        </w:rPr>
        <w:t>和物业服务</w:t>
      </w:r>
      <w:r>
        <w:rPr>
          <w:rFonts w:hint="eastAsia" w:ascii="仿宋" w:hAnsi="仿宋" w:eastAsia="仿宋" w:cs="仿宋"/>
          <w:color w:val="auto"/>
          <w:highlight w:val="none"/>
        </w:rPr>
        <w:t>有力改善</w:t>
      </w:r>
    </w:p>
    <w:p>
      <w:pPr>
        <w:ind w:firstLine="643"/>
        <w:rPr>
          <w:rFonts w:hint="eastAsia" w:ascii="仿宋" w:hAnsi="仿宋" w:eastAsia="仿宋" w:cs="仿宋"/>
          <w:color w:val="auto"/>
          <w:szCs w:val="32"/>
          <w:highlight w:val="none"/>
          <w:lang w:val="en-US" w:eastAsia="zh-CN"/>
        </w:rPr>
      </w:pPr>
      <w:r>
        <w:rPr>
          <w:rFonts w:hint="eastAsia" w:ascii="仿宋" w:hAnsi="仿宋" w:eastAsia="仿宋" w:cs="仿宋"/>
          <w:b/>
          <w:bCs/>
          <w:color w:val="auto"/>
          <w:highlight w:val="none"/>
        </w:rPr>
        <w:t>城镇住房</w:t>
      </w:r>
      <w:r>
        <w:rPr>
          <w:rFonts w:hint="eastAsia" w:ascii="仿宋" w:hAnsi="仿宋" w:eastAsia="仿宋" w:cs="仿宋"/>
          <w:b/>
          <w:bCs/>
          <w:color w:val="auto"/>
          <w:szCs w:val="32"/>
          <w:highlight w:val="none"/>
        </w:rPr>
        <w:t>改造稳步推进。</w:t>
      </w:r>
      <w:r>
        <w:rPr>
          <w:rFonts w:hint="eastAsia" w:ascii="仿宋" w:hAnsi="仿宋" w:eastAsia="仿宋" w:cs="仿宋"/>
          <w:color w:val="auto"/>
          <w:szCs w:val="32"/>
          <w:highlight w:val="none"/>
        </w:rPr>
        <w:t>2000年以前</w:t>
      </w:r>
      <w:r>
        <w:rPr>
          <w:rFonts w:hint="eastAsia" w:ascii="仿宋" w:hAnsi="仿宋" w:eastAsia="仿宋" w:cs="仿宋"/>
          <w:color w:val="auto"/>
          <w:szCs w:val="32"/>
          <w:highlight w:val="none"/>
          <w:lang w:val="en-US" w:eastAsia="zh-CN"/>
        </w:rPr>
        <w:t>建成</w:t>
      </w:r>
      <w:r>
        <w:rPr>
          <w:rFonts w:hint="eastAsia" w:ascii="仿宋" w:hAnsi="仿宋" w:eastAsia="仿宋" w:cs="仿宋"/>
          <w:color w:val="auto"/>
          <w:szCs w:val="32"/>
          <w:highlight w:val="none"/>
        </w:rPr>
        <w:t>的老旧小区实现应改尽改，2021—2025年共实施改造729个，总户数70154户。在改造过程中突出重点项目示范引领作用，不断提升老旧小区改造成效。“十四五”时期实施棚户区改造27432套</w:t>
      </w:r>
      <w:r>
        <w:rPr>
          <w:rFonts w:hint="eastAsia" w:ascii="仿宋" w:hAnsi="仿宋" w:eastAsia="仿宋" w:cs="仿宋"/>
          <w:color w:val="auto"/>
          <w:szCs w:val="32"/>
          <w:highlight w:val="none"/>
          <w:lang w:eastAsia="zh-CN"/>
        </w:rPr>
        <w:t>。</w:t>
      </w:r>
      <w:r>
        <w:rPr>
          <w:rFonts w:hint="eastAsia" w:ascii="仿宋" w:hAnsi="仿宋" w:eastAsia="仿宋" w:cs="仿宋"/>
          <w:color w:val="auto"/>
          <w:szCs w:val="32"/>
          <w:highlight w:val="none"/>
          <w:lang w:val="en-US" w:eastAsia="zh-CN"/>
        </w:rPr>
        <w:t>开展了部分城镇住房抗震鉴定工作，已拆除部分危旧房并积极筹备安置房建设。</w:t>
      </w:r>
      <w:r>
        <w:rPr>
          <w:rFonts w:hint="eastAsia" w:ascii="仿宋" w:hAnsi="仿宋" w:eastAsia="仿宋" w:cs="仿宋"/>
          <w:color w:val="auto"/>
          <w:szCs w:val="32"/>
          <w:highlight w:val="none"/>
        </w:rPr>
        <w:t>浩罕乡1村、浩罕乡16、17、18村、浩罕乡11村</w:t>
      </w:r>
      <w:r>
        <w:rPr>
          <w:rFonts w:hint="eastAsia" w:ascii="仿宋" w:hAnsi="仿宋" w:eastAsia="仿宋" w:cs="仿宋"/>
          <w:color w:val="auto"/>
          <w:szCs w:val="32"/>
          <w:highlight w:val="none"/>
          <w:lang w:val="en-US" w:eastAsia="zh-CN"/>
        </w:rPr>
        <w:t>城中村</w:t>
      </w:r>
      <w:r>
        <w:rPr>
          <w:rFonts w:hint="eastAsia" w:ascii="仿宋" w:hAnsi="仿宋" w:eastAsia="仿宋" w:cs="仿宋"/>
          <w:color w:val="auto"/>
          <w:szCs w:val="32"/>
          <w:highlight w:val="none"/>
        </w:rPr>
        <w:t>改造项目已全面开工，同步推进拆迁补偿协议签订工作</w:t>
      </w:r>
      <w:r>
        <w:rPr>
          <w:rFonts w:hint="eastAsia" w:ascii="仿宋" w:hAnsi="仿宋" w:eastAsia="仿宋" w:cs="仿宋"/>
          <w:color w:val="auto"/>
          <w:szCs w:val="32"/>
          <w:highlight w:val="none"/>
          <w:lang w:val="en-US" w:eastAsia="zh-CN"/>
        </w:rPr>
        <w:t>。</w:t>
      </w:r>
    </w:p>
    <w:p>
      <w:pPr>
        <w:ind w:firstLine="643"/>
        <w:rPr>
          <w:rFonts w:hint="eastAsia" w:ascii="仿宋" w:hAnsi="仿宋" w:eastAsia="仿宋" w:cs="仿宋"/>
          <w:color w:val="auto"/>
          <w:szCs w:val="32"/>
          <w:highlight w:val="none"/>
        </w:rPr>
      </w:pPr>
      <w:r>
        <w:rPr>
          <w:rFonts w:hint="eastAsia" w:ascii="仿宋" w:hAnsi="仿宋" w:eastAsia="仿宋" w:cs="仿宋"/>
          <w:b/>
          <w:bCs/>
          <w:color w:val="auto"/>
          <w:szCs w:val="32"/>
          <w:highlight w:val="none"/>
        </w:rPr>
        <w:t>绿色建筑与装配式建筑取得长足发展。</w:t>
      </w:r>
      <w:r>
        <w:rPr>
          <w:rFonts w:hint="eastAsia" w:ascii="仿宋" w:hAnsi="仿宋" w:eastAsia="仿宋" w:cs="仿宋"/>
          <w:color w:val="auto"/>
          <w:szCs w:val="32"/>
          <w:highlight w:val="none"/>
        </w:rPr>
        <w:t>大力推广绿色建筑与装配式建筑，加快推进既有建筑节能改造。2025年，全地区装配式建筑占新开工建筑面积比例达到31.44%，全地区27家企业完成新型墙体材料认定，1家装配式建筑生产基地荣获自治区级装配式建筑产业基地和示范项目，2家装配式建筑生产基地已开工建设，绿色建筑、绿色建材、装配式建筑得到广泛应用。</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物业服务监管能力持续增强。</w:t>
      </w:r>
      <w:r>
        <w:rPr>
          <w:rFonts w:hint="eastAsia" w:ascii="仿宋" w:hAnsi="仿宋" w:eastAsia="仿宋" w:cs="仿宋"/>
          <w:b w:val="0"/>
          <w:bCs w:val="0"/>
          <w:color w:val="auto"/>
          <w:highlight w:val="none"/>
        </w:rPr>
        <w:t>先后出台《物业服务质量提升三年行动方案》《物业管理部门联席会议制度》等文件，全地区专业</w:t>
      </w:r>
      <w:r>
        <w:rPr>
          <w:rFonts w:hint="eastAsia" w:ascii="仿宋" w:hAnsi="仿宋" w:eastAsia="仿宋" w:cs="仿宋"/>
          <w:b w:val="0"/>
          <w:bCs w:val="0"/>
          <w:color w:val="auto"/>
          <w:highlight w:val="none"/>
          <w:lang w:val="en-US" w:eastAsia="zh-CN"/>
        </w:rPr>
        <w:t>化</w:t>
      </w:r>
      <w:r>
        <w:rPr>
          <w:rFonts w:hint="eastAsia" w:ascii="仿宋" w:hAnsi="仿宋" w:eastAsia="仿宋" w:cs="仿宋"/>
          <w:b w:val="0"/>
          <w:bCs w:val="0"/>
          <w:color w:val="auto"/>
          <w:highlight w:val="none"/>
        </w:rPr>
        <w:t>物业</w:t>
      </w:r>
      <w:r>
        <w:rPr>
          <w:rFonts w:hint="eastAsia" w:ascii="仿宋" w:hAnsi="仿宋" w:eastAsia="仿宋" w:cs="仿宋"/>
          <w:b w:val="0"/>
          <w:bCs w:val="0"/>
          <w:color w:val="auto"/>
          <w:highlight w:val="none"/>
          <w:lang w:val="en-US" w:eastAsia="zh-CN"/>
        </w:rPr>
        <w:t>服务</w:t>
      </w:r>
      <w:r>
        <w:rPr>
          <w:rFonts w:hint="eastAsia" w:ascii="仿宋" w:hAnsi="仿宋" w:eastAsia="仿宋" w:cs="仿宋"/>
          <w:b w:val="0"/>
          <w:bCs w:val="0"/>
          <w:color w:val="auto"/>
          <w:highlight w:val="none"/>
        </w:rPr>
        <w:t>覆盖率达99%，喀什市初步构建了物业服务企业信用评价考核体系。</w:t>
      </w:r>
      <w:r>
        <w:rPr>
          <w:rFonts w:hint="eastAsia" w:ascii="仿宋" w:hAnsi="仿宋" w:eastAsia="仿宋" w:cs="仿宋"/>
          <w:b w:val="0"/>
          <w:bCs w:val="0"/>
          <w:color w:val="auto"/>
          <w:highlight w:val="none"/>
          <w:lang w:val="en-US" w:eastAsia="zh-CN"/>
        </w:rPr>
        <w:t>同步</w:t>
      </w:r>
      <w:r>
        <w:rPr>
          <w:rFonts w:hint="eastAsia" w:ascii="仿宋" w:hAnsi="仿宋" w:eastAsia="仿宋" w:cs="仿宋"/>
          <w:b w:val="0"/>
          <w:bCs w:val="0"/>
          <w:color w:val="auto"/>
          <w:highlight w:val="none"/>
        </w:rPr>
        <w:t>推动党建与行业监管融合，建立社区党组织、居委会、业委会、物业企业联动机制，物业企业党组织成立率达61.8%，业委会党组织成立率达89.7%</w:t>
      </w:r>
      <w:r>
        <w:rPr>
          <w:rFonts w:hint="eastAsia" w:ascii="仿宋" w:hAnsi="仿宋" w:eastAsia="仿宋" w:cs="仿宋"/>
          <w:b w:val="0"/>
          <w:bCs w:val="0"/>
          <w:color w:val="auto"/>
          <w:highlight w:val="none"/>
          <w:lang w:eastAsia="zh-CN"/>
        </w:rPr>
        <w:t>，</w:t>
      </w:r>
      <w:r>
        <w:rPr>
          <w:rFonts w:hint="eastAsia" w:ascii="仿宋" w:hAnsi="仿宋" w:eastAsia="仿宋" w:cs="仿宋"/>
          <w:b w:val="0"/>
          <w:bCs w:val="0"/>
          <w:color w:val="auto"/>
          <w:highlight w:val="none"/>
          <w:lang w:val="en-US" w:eastAsia="zh-CN"/>
        </w:rPr>
        <w:t>有效解决社区管理问题</w:t>
      </w:r>
      <w:r>
        <w:rPr>
          <w:rFonts w:hint="eastAsia" w:ascii="仿宋" w:hAnsi="仿宋" w:eastAsia="仿宋" w:cs="仿宋"/>
          <w:b w:val="0"/>
          <w:bCs w:val="0"/>
          <w:color w:val="auto"/>
          <w:highlight w:val="none"/>
        </w:rPr>
        <w:t>。</w:t>
      </w:r>
    </w:p>
    <w:p>
      <w:pPr>
        <w:pStyle w:val="8"/>
        <w:ind w:firstLine="643"/>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五</w:t>
      </w:r>
      <w:r>
        <w:rPr>
          <w:rFonts w:hint="eastAsia" w:ascii="仿宋" w:hAnsi="仿宋" w:eastAsia="仿宋" w:cs="仿宋"/>
          <w:color w:val="auto"/>
          <w:highlight w:val="none"/>
        </w:rPr>
        <w:t>、住房公积金</w:t>
      </w:r>
      <w:r>
        <w:rPr>
          <w:rFonts w:hint="eastAsia" w:ascii="仿宋" w:hAnsi="仿宋" w:eastAsia="仿宋" w:cs="仿宋"/>
          <w:color w:val="auto"/>
          <w:highlight w:val="none"/>
          <w:lang w:val="en-US" w:eastAsia="zh-CN"/>
        </w:rPr>
        <w:t>服务</w:t>
      </w:r>
      <w:r>
        <w:rPr>
          <w:rFonts w:hint="eastAsia" w:ascii="仿宋" w:hAnsi="仿宋" w:eastAsia="仿宋" w:cs="仿宋"/>
          <w:color w:val="auto"/>
          <w:highlight w:val="none"/>
        </w:rPr>
        <w:t>效能持续提高</w:t>
      </w:r>
    </w:p>
    <w:p>
      <w:pPr>
        <w:ind w:firstLine="643"/>
        <w:rPr>
          <w:rFonts w:hint="eastAsia" w:ascii="仿宋" w:hAnsi="仿宋" w:eastAsia="仿宋" w:cs="仿宋"/>
          <w:color w:val="auto"/>
          <w:szCs w:val="32"/>
          <w:highlight w:val="none"/>
        </w:rPr>
      </w:pPr>
      <w:r>
        <w:rPr>
          <w:rFonts w:hint="eastAsia" w:ascii="仿宋" w:hAnsi="仿宋" w:eastAsia="仿宋" w:cs="仿宋"/>
          <w:b/>
          <w:bCs/>
          <w:color w:val="auto"/>
          <w:highlight w:val="none"/>
        </w:rPr>
        <w:t>缴存规模持续增长</w:t>
      </w:r>
      <w:r>
        <w:rPr>
          <w:rFonts w:hint="eastAsia" w:ascii="仿宋" w:hAnsi="仿宋" w:eastAsia="仿宋" w:cs="仿宋"/>
          <w:b/>
          <w:bCs/>
          <w:color w:val="auto"/>
          <w:szCs w:val="32"/>
          <w:highlight w:val="none"/>
        </w:rPr>
        <w:t>。</w:t>
      </w:r>
      <w:r>
        <w:rPr>
          <w:rFonts w:hint="eastAsia" w:ascii="仿宋" w:hAnsi="仿宋" w:eastAsia="仿宋" w:cs="仿宋"/>
          <w:color w:val="auto"/>
          <w:szCs w:val="32"/>
          <w:highlight w:val="none"/>
        </w:rPr>
        <w:t>住房公积金实缴单位数连续五年较大幅度增长，年均增长约250家，年均增速8%。</w:t>
      </w:r>
      <w:r>
        <w:rPr>
          <w:rFonts w:hint="eastAsia" w:ascii="仿宋" w:hAnsi="仿宋" w:eastAsia="仿宋" w:cs="仿宋"/>
          <w:color w:val="auto"/>
          <w:szCs w:val="32"/>
          <w:highlight w:val="none"/>
          <w:lang w:val="en-US" w:eastAsia="zh-CN"/>
        </w:rPr>
        <w:t>喀什地区成为</w:t>
      </w:r>
      <w:r>
        <w:rPr>
          <w:rFonts w:hint="eastAsia" w:ascii="仿宋" w:hAnsi="仿宋" w:eastAsia="仿宋" w:cs="仿宋"/>
          <w:color w:val="auto"/>
          <w:szCs w:val="32"/>
          <w:highlight w:val="none"/>
        </w:rPr>
        <w:t>全疆唯一入选全国第三批灵活就业人员参加住房公积金制度试点城市的地州</w:t>
      </w:r>
      <w:r>
        <w:rPr>
          <w:rFonts w:hint="eastAsia" w:ascii="仿宋" w:hAnsi="仿宋" w:eastAsia="仿宋" w:cs="仿宋"/>
          <w:color w:val="auto"/>
          <w:szCs w:val="32"/>
          <w:highlight w:val="none"/>
          <w:lang w:eastAsia="zh-CN"/>
        </w:rPr>
        <w:t>，</w:t>
      </w:r>
      <w:r>
        <w:rPr>
          <w:rFonts w:hint="eastAsia" w:ascii="仿宋" w:hAnsi="仿宋" w:eastAsia="仿宋" w:cs="仿宋"/>
          <w:color w:val="auto"/>
          <w:szCs w:val="32"/>
          <w:highlight w:val="none"/>
        </w:rPr>
        <w:t>灵活就业人员缴存占比提升至5.51%。</w:t>
      </w:r>
    </w:p>
    <w:p>
      <w:pPr>
        <w:ind w:firstLine="643"/>
        <w:rPr>
          <w:rFonts w:hint="eastAsia" w:ascii="仿宋" w:hAnsi="仿宋" w:eastAsia="仿宋" w:cs="仿宋"/>
          <w:color w:val="auto"/>
          <w:szCs w:val="32"/>
          <w:highlight w:val="none"/>
        </w:rPr>
      </w:pPr>
      <w:r>
        <w:rPr>
          <w:rFonts w:hint="eastAsia" w:ascii="仿宋" w:hAnsi="仿宋" w:eastAsia="仿宋" w:cs="仿宋"/>
          <w:b/>
          <w:bCs/>
          <w:color w:val="auto"/>
          <w:szCs w:val="32"/>
          <w:highlight w:val="none"/>
          <w:lang w:val="en-US" w:eastAsia="zh-CN"/>
        </w:rPr>
        <w:t>安居支撑作用显著。</w:t>
      </w:r>
      <w:r>
        <w:rPr>
          <w:rFonts w:hint="eastAsia" w:ascii="仿宋" w:hAnsi="仿宋" w:eastAsia="仿宋" w:cs="仿宋"/>
          <w:color w:val="auto"/>
          <w:szCs w:val="32"/>
          <w:highlight w:val="none"/>
        </w:rPr>
        <w:t>2025年，住房公积金支持职工购建房95.89万平方米（含公转商贴息贷款），年末个人住房贷款市场占有率（含公转商贴息贷款）为61.32%。</w:t>
      </w:r>
    </w:p>
    <w:p>
      <w:pPr>
        <w:pStyle w:val="7"/>
        <w:rPr>
          <w:rFonts w:hint="eastAsia" w:ascii="仿宋" w:hAnsi="仿宋" w:eastAsia="仿宋" w:cs="仿宋"/>
          <w:color w:val="auto"/>
          <w:highlight w:val="none"/>
        </w:rPr>
      </w:pPr>
      <w:bookmarkStart w:id="10" w:name="_Toc31375"/>
      <w:bookmarkStart w:id="11" w:name="_Toc32419"/>
      <w:r>
        <w:rPr>
          <w:rFonts w:hint="eastAsia" w:ascii="仿宋" w:hAnsi="仿宋" w:eastAsia="仿宋" w:cs="仿宋"/>
          <w:color w:val="auto"/>
          <w:highlight w:val="none"/>
          <w:lang w:val="en-US" w:eastAsia="zh-CN"/>
        </w:rPr>
        <w:t>面临</w:t>
      </w:r>
      <w:r>
        <w:rPr>
          <w:rFonts w:hint="eastAsia" w:ascii="仿宋" w:hAnsi="仿宋" w:eastAsia="仿宋" w:cs="仿宋"/>
          <w:color w:val="auto"/>
          <w:highlight w:val="none"/>
        </w:rPr>
        <w:t>形势</w:t>
      </w:r>
      <w:bookmarkEnd w:id="10"/>
      <w:bookmarkEnd w:id="11"/>
    </w:p>
    <w:p>
      <w:pPr>
        <w:pStyle w:val="8"/>
        <w:ind w:firstLine="643"/>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一</w:t>
      </w:r>
      <w:r>
        <w:rPr>
          <w:rFonts w:hint="eastAsia" w:ascii="仿宋" w:hAnsi="仿宋" w:eastAsia="仿宋" w:cs="仿宋"/>
          <w:color w:val="auto"/>
          <w:highlight w:val="none"/>
        </w:rPr>
        <w:t>、铸牢中华民族共同体意识，住房作为</w:t>
      </w:r>
      <w:r>
        <w:rPr>
          <w:rFonts w:hint="eastAsia" w:ascii="仿宋" w:hAnsi="仿宋" w:eastAsia="仿宋" w:cs="仿宋"/>
          <w:color w:val="auto"/>
          <w:highlight w:val="none"/>
          <w:lang w:val="en-US" w:eastAsia="zh-CN"/>
        </w:rPr>
        <w:t>民族</w:t>
      </w:r>
      <w:r>
        <w:rPr>
          <w:rFonts w:hint="eastAsia" w:ascii="仿宋" w:hAnsi="仿宋" w:eastAsia="仿宋" w:cs="仿宋"/>
          <w:color w:val="auto"/>
          <w:highlight w:val="none"/>
        </w:rPr>
        <w:t>互嵌融居空间载体的功能持续增强</w:t>
      </w:r>
    </w:p>
    <w:p>
      <w:pPr>
        <w:ind w:firstLine="640"/>
        <w:rPr>
          <w:rFonts w:hint="eastAsia" w:ascii="仿宋" w:hAnsi="仿宋" w:eastAsia="仿宋" w:cs="仿宋"/>
          <w:color w:val="auto"/>
          <w:highlight w:val="none"/>
        </w:rPr>
      </w:pPr>
      <w:r>
        <w:rPr>
          <w:rFonts w:hint="eastAsia" w:ascii="仿宋" w:hAnsi="仿宋" w:eastAsia="仿宋" w:cs="仿宋"/>
          <w:color w:val="auto"/>
          <w:highlight w:val="none"/>
        </w:rPr>
        <w:t>习近平总书记指出“铸牢中华民族共同体意识是新时代党的民族工作的主线，也是民族地区各项工作的主线”。加快构建互嵌式社会结构和社区环境，是促进各民族交往交流交融的重要载体，有助于推动各民族像石榴籽一样紧紧抱在一起。随着</w:t>
      </w:r>
      <w:r>
        <w:rPr>
          <w:rFonts w:hint="eastAsia" w:ascii="仿宋" w:hAnsi="仿宋" w:eastAsia="仿宋" w:cs="仿宋"/>
          <w:color w:val="auto"/>
          <w:highlight w:val="none"/>
          <w:lang w:val="en-US" w:eastAsia="zh-CN"/>
        </w:rPr>
        <w:t>地区</w:t>
      </w:r>
      <w:r>
        <w:rPr>
          <w:rFonts w:hint="eastAsia" w:ascii="仿宋" w:hAnsi="仿宋" w:eastAsia="仿宋" w:cs="仿宋"/>
          <w:color w:val="auto"/>
          <w:highlight w:val="none"/>
        </w:rPr>
        <w:t>人口和城镇化发展，各民族人口不断增加，交流交往范围不断扩大。互嵌式居住是形成互嵌式社会结构和社区环境的重要</w:t>
      </w:r>
      <w:r>
        <w:rPr>
          <w:rFonts w:hint="eastAsia" w:ascii="仿宋" w:hAnsi="仿宋" w:eastAsia="仿宋" w:cs="仿宋"/>
          <w:color w:val="auto"/>
          <w:highlight w:val="none"/>
          <w:lang w:val="en-US" w:eastAsia="zh-CN"/>
        </w:rPr>
        <w:t>基础</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居住小区和社区</w:t>
      </w:r>
      <w:r>
        <w:rPr>
          <w:rFonts w:hint="eastAsia" w:ascii="仿宋" w:hAnsi="仿宋" w:eastAsia="仿宋" w:cs="仿宋"/>
          <w:color w:val="auto"/>
          <w:highlight w:val="none"/>
          <w:lang w:val="en-US" w:eastAsia="zh-CN"/>
        </w:rPr>
        <w:t>作为</w:t>
      </w:r>
      <w:r>
        <w:rPr>
          <w:rFonts w:hint="eastAsia" w:ascii="仿宋" w:hAnsi="仿宋" w:eastAsia="仿宋" w:cs="仿宋"/>
          <w:color w:val="auto"/>
          <w:highlight w:val="none"/>
        </w:rPr>
        <w:t>承载各族群众生活交往的基本社会单元，要进一步优化有助于共居共学、共建共享、共事共乐的住房供给机制、社区空间营造和服务设施配置，推进互嵌式发展，促进各族群众交往交流交融，推动新时代党的治疆方略落地生根。</w:t>
      </w:r>
    </w:p>
    <w:p>
      <w:pPr>
        <w:pStyle w:val="8"/>
        <w:ind w:firstLine="643"/>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二</w:t>
      </w:r>
      <w:r>
        <w:rPr>
          <w:rFonts w:hint="eastAsia" w:ascii="仿宋" w:hAnsi="仿宋" w:eastAsia="仿宋" w:cs="仿宋"/>
          <w:color w:val="auto"/>
          <w:highlight w:val="none"/>
        </w:rPr>
        <w:t>、城市集聚能力持续提升，住房消费动力稳定</w:t>
      </w:r>
    </w:p>
    <w:p>
      <w:pPr>
        <w:ind w:firstLine="640"/>
        <w:rPr>
          <w:rFonts w:hint="eastAsia" w:ascii="仿宋" w:hAnsi="仿宋" w:eastAsia="仿宋" w:cs="仿宋"/>
          <w:color w:val="auto"/>
          <w:szCs w:val="32"/>
          <w:highlight w:val="none"/>
        </w:rPr>
      </w:pPr>
      <w:r>
        <w:rPr>
          <w:rFonts w:hint="eastAsia" w:ascii="仿宋" w:hAnsi="仿宋" w:eastAsia="仿宋" w:cs="仿宋"/>
          <w:color w:val="auto"/>
          <w:szCs w:val="32"/>
          <w:highlight w:val="none"/>
        </w:rPr>
        <w:t>喀什地区作为自治区人口最多的地州，城镇人口持续增长，城镇化处于较快提升阶段</w:t>
      </w:r>
      <w:r>
        <w:rPr>
          <w:rFonts w:hint="eastAsia" w:ascii="仿宋" w:hAnsi="仿宋" w:eastAsia="仿宋" w:cs="仿宋"/>
          <w:color w:val="auto"/>
          <w:szCs w:val="32"/>
          <w:highlight w:val="none"/>
          <w:lang w:eastAsia="zh-CN"/>
        </w:rPr>
        <w:t>。</w:t>
      </w:r>
      <w:r>
        <w:rPr>
          <w:rFonts w:hint="eastAsia" w:ascii="仿宋" w:hAnsi="仿宋" w:eastAsia="仿宋" w:cs="仿宋"/>
          <w:color w:val="auto"/>
          <w:szCs w:val="32"/>
          <w:highlight w:val="none"/>
          <w:lang w:val="en-US" w:eastAsia="zh-CN"/>
        </w:rPr>
        <w:t>外来</w:t>
      </w:r>
      <w:r>
        <w:rPr>
          <w:rFonts w:hint="eastAsia" w:ascii="仿宋" w:hAnsi="仿宋" w:eastAsia="仿宋" w:cs="仿宋"/>
          <w:color w:val="auto"/>
          <w:szCs w:val="32"/>
          <w:highlight w:val="none"/>
        </w:rPr>
        <w:t>人口流入</w:t>
      </w:r>
      <w:r>
        <w:rPr>
          <w:rFonts w:hint="eastAsia" w:ascii="仿宋" w:hAnsi="仿宋" w:eastAsia="仿宋" w:cs="仿宋"/>
          <w:color w:val="auto"/>
          <w:szCs w:val="32"/>
          <w:highlight w:val="none"/>
          <w:lang w:eastAsia="zh-CN"/>
        </w:rPr>
        <w:t>、</w:t>
      </w:r>
      <w:r>
        <w:rPr>
          <w:rFonts w:hint="eastAsia" w:ascii="仿宋" w:hAnsi="仿宋" w:eastAsia="仿宋" w:cs="仿宋"/>
          <w:color w:val="auto"/>
          <w:szCs w:val="32"/>
          <w:highlight w:val="none"/>
        </w:rPr>
        <w:t>本地农业转移人口</w:t>
      </w:r>
      <w:r>
        <w:rPr>
          <w:rFonts w:hint="eastAsia" w:ascii="仿宋" w:hAnsi="仿宋" w:eastAsia="仿宋" w:cs="仿宋"/>
          <w:color w:val="auto"/>
          <w:szCs w:val="32"/>
          <w:highlight w:val="none"/>
          <w:lang w:val="en-US" w:eastAsia="zh-CN"/>
        </w:rPr>
        <w:t>市民化</w:t>
      </w:r>
      <w:r>
        <w:rPr>
          <w:rFonts w:hint="eastAsia" w:ascii="仿宋" w:hAnsi="仿宋" w:eastAsia="仿宋" w:cs="仿宋"/>
          <w:color w:val="auto"/>
          <w:szCs w:val="32"/>
          <w:highlight w:val="none"/>
          <w:lang w:eastAsia="zh-CN"/>
        </w:rPr>
        <w:t>、</w:t>
      </w:r>
      <w:r>
        <w:rPr>
          <w:rFonts w:hint="eastAsia" w:ascii="仿宋" w:hAnsi="仿宋" w:eastAsia="仿宋" w:cs="仿宋"/>
          <w:color w:val="auto"/>
          <w:szCs w:val="32"/>
          <w:highlight w:val="none"/>
          <w:lang w:val="en-US" w:eastAsia="zh-CN"/>
        </w:rPr>
        <w:t>人口自然增长</w:t>
      </w:r>
      <w:r>
        <w:rPr>
          <w:rFonts w:hint="eastAsia" w:ascii="仿宋" w:hAnsi="仿宋" w:eastAsia="仿宋" w:cs="仿宋"/>
          <w:color w:val="auto"/>
          <w:szCs w:val="32"/>
          <w:highlight w:val="none"/>
        </w:rPr>
        <w:t>共同构成城镇化的重要</w:t>
      </w:r>
      <w:r>
        <w:rPr>
          <w:rFonts w:hint="eastAsia" w:ascii="仿宋" w:hAnsi="仿宋" w:eastAsia="仿宋" w:cs="仿宋"/>
          <w:color w:val="auto"/>
          <w:szCs w:val="32"/>
          <w:highlight w:val="none"/>
          <w:lang w:val="en-US" w:eastAsia="zh-CN"/>
        </w:rPr>
        <w:t>人口来源。随着</w:t>
      </w:r>
      <w:r>
        <w:rPr>
          <w:rFonts w:hint="eastAsia" w:ascii="仿宋" w:hAnsi="仿宋" w:eastAsia="仿宋" w:cs="仿宋"/>
          <w:color w:val="auto"/>
          <w:szCs w:val="32"/>
          <w:highlight w:val="none"/>
        </w:rPr>
        <w:t>“十五五”期间一批重大项目</w:t>
      </w:r>
      <w:r>
        <w:rPr>
          <w:rFonts w:hint="eastAsia" w:ascii="仿宋" w:hAnsi="仿宋" w:eastAsia="仿宋" w:cs="仿宋"/>
          <w:color w:val="auto"/>
          <w:szCs w:val="32"/>
          <w:highlight w:val="none"/>
          <w:lang w:val="en-US" w:eastAsia="zh-CN"/>
        </w:rPr>
        <w:t>落地实施</w:t>
      </w:r>
      <w:r>
        <w:rPr>
          <w:rFonts w:hint="eastAsia" w:ascii="仿宋" w:hAnsi="仿宋" w:eastAsia="仿宋" w:cs="仿宋"/>
          <w:color w:val="auto"/>
          <w:szCs w:val="32"/>
          <w:highlight w:val="none"/>
        </w:rPr>
        <w:t>，将进一步吸引人口集聚，城镇住房的刚性需求和改善性需求仍</w:t>
      </w:r>
      <w:r>
        <w:rPr>
          <w:rFonts w:hint="eastAsia" w:ascii="仿宋" w:hAnsi="仿宋" w:eastAsia="仿宋" w:cs="仿宋"/>
          <w:color w:val="auto"/>
          <w:szCs w:val="32"/>
          <w:highlight w:val="none"/>
          <w:lang w:eastAsia="zh-CN"/>
        </w:rPr>
        <w:t>具有</w:t>
      </w:r>
      <w:r>
        <w:rPr>
          <w:rFonts w:hint="eastAsia" w:ascii="仿宋" w:hAnsi="仿宋" w:eastAsia="仿宋" w:cs="仿宋"/>
          <w:color w:val="auto"/>
          <w:szCs w:val="32"/>
          <w:highlight w:val="none"/>
        </w:rPr>
        <w:t>较大潜力。</w:t>
      </w:r>
      <w:r>
        <w:rPr>
          <w:rFonts w:hint="eastAsia" w:ascii="仿宋" w:hAnsi="仿宋" w:eastAsia="仿宋" w:cs="仿宋"/>
          <w:color w:val="auto"/>
          <w:szCs w:val="32"/>
          <w:highlight w:val="none"/>
          <w:lang w:val="en-US" w:eastAsia="zh-CN"/>
        </w:rPr>
        <w:t>在南疆城镇化推进过程中，应着力强化喀什市中心城市功能，加快建设全疆副中心城市，提高城市发展能级和辐射带动能力，增强引人聚人效能</w:t>
      </w:r>
      <w:bookmarkStart w:id="12" w:name="_Toc225932810"/>
      <w:r>
        <w:rPr>
          <w:rFonts w:hint="eastAsia" w:ascii="仿宋" w:hAnsi="仿宋" w:eastAsia="仿宋" w:cs="仿宋"/>
          <w:color w:val="auto"/>
          <w:szCs w:val="32"/>
          <w:highlight w:val="none"/>
          <w:lang w:val="en-US" w:eastAsia="zh-CN"/>
        </w:rPr>
        <w:t>；</w:t>
      </w:r>
      <w:bookmarkEnd w:id="12"/>
      <w:r>
        <w:rPr>
          <w:rFonts w:hint="eastAsia" w:ascii="仿宋" w:hAnsi="仿宋" w:eastAsia="仿宋" w:cs="仿宋"/>
          <w:color w:val="auto"/>
          <w:szCs w:val="32"/>
          <w:highlight w:val="none"/>
          <w:lang w:val="en-US" w:eastAsia="zh-CN"/>
        </w:rPr>
        <w:t>同时分类推进县城特色化功能完善</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增强县城集聚能力</w:t>
      </w:r>
      <w:r>
        <w:rPr>
          <w:rFonts w:hint="eastAsia" w:ascii="仿宋" w:hAnsi="仿宋" w:eastAsia="仿宋" w:cs="仿宋"/>
          <w:color w:val="auto"/>
          <w:szCs w:val="32"/>
          <w:highlight w:val="none"/>
          <w:lang w:val="en-US" w:eastAsia="zh-CN"/>
        </w:rPr>
        <w:t>。喀什地区要主动适应新型城镇化发展趋势</w:t>
      </w:r>
      <w:r>
        <w:rPr>
          <w:rFonts w:hint="eastAsia" w:ascii="仿宋" w:hAnsi="仿宋" w:eastAsia="仿宋" w:cs="仿宋"/>
          <w:color w:val="auto"/>
          <w:szCs w:val="32"/>
          <w:highlight w:val="none"/>
        </w:rPr>
        <w:t>，量质并重优化住房供给</w:t>
      </w:r>
      <w:r>
        <w:rPr>
          <w:rFonts w:hint="eastAsia" w:ascii="仿宋" w:hAnsi="仿宋" w:eastAsia="仿宋" w:cs="仿宋"/>
          <w:color w:val="auto"/>
          <w:szCs w:val="32"/>
          <w:highlight w:val="none"/>
          <w:lang w:eastAsia="zh-CN"/>
        </w:rPr>
        <w:t>，</w:t>
      </w:r>
      <w:r>
        <w:rPr>
          <w:rFonts w:hint="eastAsia" w:ascii="仿宋" w:hAnsi="仿宋" w:eastAsia="仿宋" w:cs="仿宋"/>
          <w:color w:val="auto"/>
          <w:szCs w:val="32"/>
          <w:highlight w:val="none"/>
          <w:lang w:val="en-US" w:eastAsia="zh-CN"/>
        </w:rPr>
        <w:t>充分考虑</w:t>
      </w:r>
      <w:r>
        <w:rPr>
          <w:rFonts w:hint="eastAsia" w:ascii="仿宋" w:hAnsi="仿宋" w:eastAsia="仿宋" w:cs="仿宋"/>
          <w:color w:val="auto"/>
          <w:szCs w:val="32"/>
          <w:highlight w:val="none"/>
          <w:lang w:eastAsia="zh-CN"/>
        </w:rPr>
        <w:t>新增城镇人口</w:t>
      </w:r>
      <w:r>
        <w:rPr>
          <w:rFonts w:hint="eastAsia" w:ascii="仿宋" w:hAnsi="仿宋" w:eastAsia="仿宋" w:cs="仿宋"/>
          <w:color w:val="auto"/>
          <w:szCs w:val="32"/>
          <w:highlight w:val="none"/>
          <w:lang w:val="en-US" w:eastAsia="zh-CN"/>
        </w:rPr>
        <w:t>需求，</w:t>
      </w:r>
      <w:r>
        <w:rPr>
          <w:rFonts w:hint="eastAsia" w:ascii="仿宋" w:hAnsi="仿宋" w:eastAsia="仿宋" w:cs="仿宋"/>
          <w:color w:val="auto"/>
          <w:szCs w:val="32"/>
          <w:highlight w:val="none"/>
          <w:lang w:eastAsia="zh-CN"/>
        </w:rPr>
        <w:t>提供保障性租赁住房等住房保障，有效支撑城镇化进程</w:t>
      </w:r>
      <w:r>
        <w:rPr>
          <w:rFonts w:hint="eastAsia" w:ascii="仿宋" w:hAnsi="仿宋" w:eastAsia="仿宋" w:cs="仿宋"/>
          <w:color w:val="auto"/>
          <w:szCs w:val="32"/>
          <w:highlight w:val="none"/>
        </w:rPr>
        <w:t>。</w:t>
      </w:r>
    </w:p>
    <w:p>
      <w:pPr>
        <w:pStyle w:val="8"/>
        <w:ind w:firstLine="643"/>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三</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立足</w:t>
      </w:r>
      <w:r>
        <w:rPr>
          <w:rFonts w:hint="eastAsia" w:ascii="仿宋" w:hAnsi="仿宋" w:eastAsia="仿宋" w:cs="仿宋"/>
          <w:color w:val="auto"/>
          <w:highlight w:val="none"/>
        </w:rPr>
        <w:t>经济高质量发展</w:t>
      </w:r>
      <w:r>
        <w:rPr>
          <w:rFonts w:hint="eastAsia" w:ascii="仿宋" w:hAnsi="仿宋" w:eastAsia="仿宋" w:cs="仿宋"/>
          <w:color w:val="auto"/>
          <w:highlight w:val="none"/>
          <w:lang w:val="en-US" w:eastAsia="zh-CN"/>
        </w:rPr>
        <w:t>要求</w:t>
      </w:r>
      <w:r>
        <w:rPr>
          <w:rFonts w:hint="eastAsia" w:ascii="仿宋" w:hAnsi="仿宋" w:eastAsia="仿宋" w:cs="仿宋"/>
          <w:color w:val="auto"/>
          <w:highlight w:val="none"/>
        </w:rPr>
        <w:t>，加快构建房地产发展新模式</w:t>
      </w:r>
    </w:p>
    <w:p>
      <w:pPr>
        <w:ind w:firstLine="64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在喀什地区经济高质量发展的进程中，房地产业正逐步转向增量结构优化和存量内涵提升并重。受房地产市场供求关系发生重大变化的影响，“十五五”期间必须牢牢守住安全发展底线，有效防范化解房地产领域风险，稳定市场预期，</w:t>
      </w:r>
      <w:r>
        <w:rPr>
          <w:rFonts w:hint="eastAsia" w:ascii="仿宋" w:hAnsi="仿宋" w:eastAsia="仿宋" w:cs="仿宋"/>
          <w:color w:val="auto"/>
          <w:highlight w:val="none"/>
          <w:lang w:bidi="ar"/>
        </w:rPr>
        <w:t>加快推动房地产业转型升级。加强监管与制度改革</w:t>
      </w:r>
      <w:r>
        <w:rPr>
          <w:rFonts w:hint="eastAsia" w:ascii="仿宋" w:hAnsi="仿宋" w:eastAsia="仿宋" w:cs="仿宋"/>
          <w:color w:val="auto"/>
          <w:highlight w:val="none"/>
        </w:rPr>
        <w:t>，</w:t>
      </w:r>
      <w:r>
        <w:rPr>
          <w:rFonts w:hint="eastAsia" w:ascii="仿宋" w:hAnsi="仿宋" w:eastAsia="仿宋" w:cs="仿宋"/>
          <w:color w:val="auto"/>
          <w:highlight w:val="none"/>
          <w:lang w:bidi="ar"/>
        </w:rPr>
        <w:t>建立“人</w:t>
      </w:r>
      <w:r>
        <w:rPr>
          <w:rFonts w:hint="eastAsia" w:ascii="仿宋" w:hAnsi="仿宋" w:eastAsia="仿宋" w:cs="仿宋"/>
          <w:color w:val="auto"/>
          <w:highlight w:val="none"/>
          <w:lang w:eastAsia="zh-CN" w:bidi="ar"/>
        </w:rPr>
        <w:t>、</w:t>
      </w:r>
      <w:r>
        <w:rPr>
          <w:rFonts w:hint="eastAsia" w:ascii="仿宋" w:hAnsi="仿宋" w:eastAsia="仿宋" w:cs="仿宋"/>
          <w:color w:val="auto"/>
          <w:highlight w:val="none"/>
          <w:lang w:bidi="ar"/>
        </w:rPr>
        <w:t>房</w:t>
      </w:r>
      <w:r>
        <w:rPr>
          <w:rFonts w:hint="eastAsia" w:ascii="仿宋" w:hAnsi="仿宋" w:eastAsia="仿宋" w:cs="仿宋"/>
          <w:color w:val="auto"/>
          <w:highlight w:val="none"/>
          <w:lang w:eastAsia="zh-CN" w:bidi="ar"/>
        </w:rPr>
        <w:t>、</w:t>
      </w:r>
      <w:r>
        <w:rPr>
          <w:rFonts w:hint="eastAsia" w:ascii="仿宋" w:hAnsi="仿宋" w:eastAsia="仿宋" w:cs="仿宋"/>
          <w:color w:val="auto"/>
          <w:highlight w:val="none"/>
          <w:lang w:bidi="ar"/>
        </w:rPr>
        <w:t>地</w:t>
      </w:r>
      <w:r>
        <w:rPr>
          <w:rFonts w:hint="eastAsia" w:ascii="仿宋" w:hAnsi="仿宋" w:eastAsia="仿宋" w:cs="仿宋"/>
          <w:color w:val="auto"/>
          <w:highlight w:val="none"/>
          <w:lang w:eastAsia="zh-CN" w:bidi="ar"/>
        </w:rPr>
        <w:t>、</w:t>
      </w:r>
      <w:r>
        <w:rPr>
          <w:rFonts w:hint="eastAsia" w:ascii="仿宋" w:hAnsi="仿宋" w:eastAsia="仿宋" w:cs="仿宋"/>
          <w:color w:val="auto"/>
          <w:highlight w:val="none"/>
          <w:lang w:bidi="ar"/>
        </w:rPr>
        <w:t>钱”要素联动机制，有序搭建开发、融资、销售的基础制度体系，建立房屋全生命周期安全管理制度。</w:t>
      </w:r>
      <w:r>
        <w:rPr>
          <w:rFonts w:hint="eastAsia" w:ascii="仿宋" w:hAnsi="仿宋" w:eastAsia="仿宋" w:cs="仿宋"/>
          <w:color w:val="auto"/>
          <w:highlight w:val="none"/>
        </w:rPr>
        <w:t>引导房地产企业从单一住宅开发转向多元业态运营，以高品质、特色化的产品满足外来旅居等消费需求，推动房地产业向覆盖项目全生命周期的精细化、服务化方向转型</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鼓励企业深度参与城市更新，积极拓展存量资产运营业务</w:t>
      </w:r>
      <w:r>
        <w:rPr>
          <w:rFonts w:hint="eastAsia" w:ascii="仿宋" w:hAnsi="仿宋" w:eastAsia="仿宋" w:cs="仿宋"/>
          <w:color w:val="auto"/>
          <w:highlight w:val="none"/>
        </w:rPr>
        <w:t>。</w:t>
      </w:r>
    </w:p>
    <w:p>
      <w:pPr>
        <w:pStyle w:val="8"/>
        <w:ind w:firstLine="643"/>
        <w:rPr>
          <w:rFonts w:hint="eastAsia" w:ascii="仿宋" w:hAnsi="仿宋" w:eastAsia="仿宋" w:cs="仿宋"/>
          <w:color w:val="auto"/>
          <w:highlight w:val="none"/>
        </w:rPr>
      </w:pPr>
      <w:bookmarkStart w:id="13" w:name="_Toc17799"/>
      <w:bookmarkStart w:id="14" w:name="_Toc19587"/>
      <w:bookmarkStart w:id="15" w:name="_Toc95230933"/>
      <w:bookmarkStart w:id="16" w:name="_Toc20925"/>
      <w:bookmarkStart w:id="17" w:name="_Toc22119"/>
      <w:bookmarkStart w:id="18" w:name="_Toc19099"/>
      <w:bookmarkStart w:id="19" w:name="_Toc31998"/>
      <w:bookmarkStart w:id="20" w:name="_Toc31732"/>
      <w:r>
        <w:rPr>
          <w:rFonts w:hint="eastAsia" w:ascii="仿宋" w:hAnsi="仿宋" w:eastAsia="仿宋" w:cs="仿宋"/>
          <w:color w:val="auto"/>
          <w:highlight w:val="none"/>
          <w:lang w:val="en-US" w:eastAsia="zh-CN"/>
        </w:rPr>
        <w:t>四</w:t>
      </w:r>
      <w:r>
        <w:rPr>
          <w:rFonts w:hint="eastAsia" w:ascii="仿宋" w:hAnsi="仿宋" w:eastAsia="仿宋" w:cs="仿宋"/>
          <w:color w:val="auto"/>
          <w:highlight w:val="none"/>
        </w:rPr>
        <w:t>、满足人民美好生活向往，</w:t>
      </w:r>
      <w:r>
        <w:rPr>
          <w:rFonts w:hint="eastAsia" w:ascii="仿宋" w:hAnsi="仿宋" w:eastAsia="仿宋" w:cs="仿宋"/>
          <w:color w:val="auto"/>
          <w:highlight w:val="none"/>
          <w:lang w:val="en-US" w:eastAsia="zh-CN"/>
        </w:rPr>
        <w:t>系统推进</w:t>
      </w:r>
      <w:r>
        <w:rPr>
          <w:rFonts w:hint="eastAsia" w:ascii="仿宋" w:hAnsi="仿宋" w:eastAsia="仿宋" w:cs="仿宋"/>
          <w:color w:val="auto"/>
          <w:highlight w:val="none"/>
        </w:rPr>
        <w:t>“四好”联动建设</w:t>
      </w:r>
    </w:p>
    <w:p>
      <w:pPr>
        <w:ind w:firstLine="640"/>
        <w:rPr>
          <w:rFonts w:hint="eastAsia" w:ascii="仿宋" w:hAnsi="仿宋" w:eastAsia="仿宋" w:cs="仿宋"/>
          <w:color w:val="auto"/>
          <w:highlight w:val="none"/>
        </w:rPr>
      </w:pPr>
      <w:r>
        <w:rPr>
          <w:rFonts w:hint="eastAsia" w:ascii="仿宋" w:hAnsi="仿宋" w:eastAsia="仿宋" w:cs="仿宋"/>
          <w:color w:val="auto"/>
          <w:highlight w:val="none"/>
        </w:rPr>
        <w:t>居民对“好房子”“好小区”</w:t>
      </w:r>
      <w:r>
        <w:rPr>
          <w:rFonts w:hint="eastAsia" w:ascii="仿宋" w:hAnsi="仿宋" w:eastAsia="仿宋" w:cs="仿宋"/>
          <w:color w:val="auto"/>
          <w:highlight w:val="none"/>
          <w:lang w:eastAsia="zh-CN"/>
        </w:rPr>
        <w:t>的</w:t>
      </w:r>
      <w:r>
        <w:rPr>
          <w:rFonts w:hint="eastAsia" w:ascii="仿宋" w:hAnsi="仿宋" w:eastAsia="仿宋" w:cs="仿宋"/>
          <w:color w:val="auto"/>
          <w:highlight w:val="none"/>
        </w:rPr>
        <w:t>需求</w:t>
      </w:r>
      <w:r>
        <w:rPr>
          <w:rFonts w:hint="eastAsia" w:ascii="仿宋" w:hAnsi="仿宋" w:eastAsia="仿宋" w:cs="仿宋"/>
          <w:color w:val="auto"/>
          <w:highlight w:val="none"/>
          <w:lang w:val="en-US" w:eastAsia="zh-CN"/>
        </w:rPr>
        <w:t>日益</w:t>
      </w:r>
      <w:r>
        <w:rPr>
          <w:rFonts w:hint="eastAsia" w:ascii="仿宋" w:hAnsi="仿宋" w:eastAsia="仿宋" w:cs="仿宋"/>
          <w:color w:val="auto"/>
          <w:highlight w:val="none"/>
        </w:rPr>
        <w:t>旺盛。问卷调查</w:t>
      </w:r>
      <w:r>
        <w:rPr>
          <w:rFonts w:hint="eastAsia" w:ascii="仿宋" w:hAnsi="仿宋" w:eastAsia="仿宋" w:cs="仿宋"/>
          <w:color w:val="auto"/>
          <w:highlight w:val="none"/>
          <w:lang w:val="en-US" w:eastAsia="zh-CN"/>
        </w:rPr>
        <w:t>显示</w:t>
      </w:r>
      <w:r>
        <w:rPr>
          <w:rFonts w:hint="eastAsia" w:ascii="仿宋" w:hAnsi="仿宋" w:eastAsia="仿宋" w:cs="仿宋"/>
          <w:color w:val="auto"/>
          <w:highlight w:val="none"/>
        </w:rPr>
        <w:t>，居民购买大户型、改善性住房意愿明显增强；同时，居民对优质小区的景观环境和物业管理也提出了更高要求。应聚焦重点群体需求，优化住房设计。根据第七次人口普查数据，喀什地区</w:t>
      </w:r>
      <w:r>
        <w:rPr>
          <w:rFonts w:hint="eastAsia" w:ascii="仿宋" w:hAnsi="仿宋" w:eastAsia="仿宋" w:cs="仿宋"/>
          <w:color w:val="auto"/>
          <w:highlight w:val="none"/>
          <w:lang w:val="en-US" w:eastAsia="zh-CN"/>
        </w:rPr>
        <w:t>少年儿童、青年人比例较高</w:t>
      </w:r>
      <w:r>
        <w:rPr>
          <w:rFonts w:hint="eastAsia" w:ascii="仿宋" w:hAnsi="仿宋" w:eastAsia="仿宋" w:cs="仿宋"/>
          <w:color w:val="auto"/>
          <w:highlight w:val="none"/>
        </w:rPr>
        <w:t>。“十五五”时期应积极回应</w:t>
      </w:r>
      <w:r>
        <w:rPr>
          <w:rFonts w:hint="eastAsia" w:ascii="仿宋" w:hAnsi="仿宋" w:eastAsia="仿宋" w:cs="仿宋"/>
          <w:color w:val="auto"/>
          <w:highlight w:val="none"/>
          <w:lang w:val="en-US" w:eastAsia="zh-CN"/>
        </w:rPr>
        <w:t>两类</w:t>
      </w:r>
      <w:r>
        <w:rPr>
          <w:rFonts w:hint="eastAsia" w:ascii="仿宋" w:hAnsi="仿宋" w:eastAsia="仿宋" w:cs="仿宋"/>
          <w:color w:val="auto"/>
          <w:highlight w:val="none"/>
        </w:rPr>
        <w:t>重点群体对“好房子”的诉求：针对育儿家庭，优化住房功能设计，重点满足换房改善和教育配套需求，推动儿童友好社区建设；针对青年群体通勤时间敏感、注重环境品质等特点，重点供应品质优良、性价比高的住房。</w:t>
      </w:r>
    </w:p>
    <w:p>
      <w:pPr>
        <w:pStyle w:val="8"/>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五、城市更新向纵深推进，需持续提升存量房屋居住品质</w:t>
      </w:r>
    </w:p>
    <w:p>
      <w:pPr>
        <w:ind w:firstLine="640"/>
        <w:rPr>
          <w:rFonts w:hint="eastAsia" w:ascii="仿宋" w:hAnsi="仿宋" w:eastAsia="仿宋" w:cs="仿宋"/>
          <w:color w:val="auto"/>
          <w:sz w:val="32"/>
          <w:szCs w:val="24"/>
          <w:highlight w:val="none"/>
        </w:rPr>
      </w:pPr>
      <w:r>
        <w:rPr>
          <w:rFonts w:hint="eastAsia" w:ascii="仿宋" w:hAnsi="仿宋" w:eastAsia="仿宋" w:cs="仿宋"/>
          <w:color w:val="auto"/>
          <w:highlight w:val="none"/>
        </w:rPr>
        <w:t>中央城市工作会议提出要以推动城市高质量发展为主题，以坚持城市内涵式发展为主线，以推进城市更新为重要抓手，建设创新、宜居、美丽、韧性、文明、智慧的现代化人民城市。</w:t>
      </w:r>
      <w:r>
        <w:rPr>
          <w:rFonts w:hint="eastAsia" w:ascii="仿宋" w:hAnsi="仿宋" w:eastAsia="仿宋" w:cs="仿宋"/>
          <w:color w:val="auto"/>
          <w:highlight w:val="none"/>
          <w:lang w:val="en-US" w:eastAsia="zh-CN"/>
        </w:rPr>
        <w:t>随着城市发展由增量扩张转向存量提质，城市更新成为提升住房品质和人居环境的重要途径。当前，地区仍存在一定规模</w:t>
      </w:r>
      <w:r>
        <w:rPr>
          <w:rFonts w:hint="eastAsia" w:ascii="仿宋" w:hAnsi="仿宋" w:eastAsia="仿宋" w:cs="仿宋"/>
          <w:color w:val="auto"/>
          <w:sz w:val="32"/>
          <w:szCs w:val="24"/>
          <w:highlight w:val="none"/>
        </w:rPr>
        <w:t>城中村、危旧房</w:t>
      </w:r>
      <w:r>
        <w:rPr>
          <w:rFonts w:hint="eastAsia" w:ascii="仿宋" w:hAnsi="仿宋" w:eastAsia="仿宋" w:cs="仿宋"/>
          <w:color w:val="auto"/>
          <w:sz w:val="32"/>
          <w:szCs w:val="24"/>
          <w:highlight w:val="none"/>
          <w:lang w:eastAsia="zh-CN"/>
        </w:rPr>
        <w:t>等</w:t>
      </w:r>
      <w:r>
        <w:rPr>
          <w:rFonts w:hint="eastAsia" w:ascii="仿宋" w:hAnsi="仿宋" w:eastAsia="仿宋" w:cs="仿宋"/>
          <w:color w:val="auto"/>
          <w:sz w:val="32"/>
          <w:szCs w:val="24"/>
          <w:highlight w:val="none"/>
        </w:rPr>
        <w:t>既有房屋</w:t>
      </w:r>
      <w:r>
        <w:rPr>
          <w:rFonts w:hint="eastAsia" w:ascii="仿宋" w:hAnsi="仿宋" w:eastAsia="仿宋" w:cs="仿宋"/>
          <w:color w:val="auto"/>
          <w:sz w:val="32"/>
          <w:szCs w:val="24"/>
          <w:highlight w:val="none"/>
          <w:lang w:eastAsia="zh-CN"/>
        </w:rPr>
        <w:t>，</w:t>
      </w:r>
      <w:r>
        <w:rPr>
          <w:rFonts w:hint="eastAsia" w:ascii="仿宋" w:hAnsi="仿宋" w:eastAsia="仿宋" w:cs="仿宋"/>
          <w:color w:val="auto"/>
          <w:sz w:val="32"/>
          <w:szCs w:val="24"/>
          <w:highlight w:val="none"/>
        </w:rPr>
        <w:t>安全隐患突出、配套设施落后，</w:t>
      </w:r>
      <w:r>
        <w:rPr>
          <w:rFonts w:hint="eastAsia" w:ascii="仿宋" w:hAnsi="仿宋" w:eastAsia="仿宋" w:cs="仿宋"/>
          <w:color w:val="auto"/>
          <w:sz w:val="32"/>
          <w:szCs w:val="24"/>
          <w:highlight w:val="none"/>
          <w:lang w:eastAsia="zh-CN"/>
        </w:rPr>
        <w:t>群众</w:t>
      </w:r>
      <w:r>
        <w:rPr>
          <w:rFonts w:hint="eastAsia" w:ascii="仿宋" w:hAnsi="仿宋" w:eastAsia="仿宋" w:cs="仿宋"/>
          <w:color w:val="auto"/>
          <w:sz w:val="32"/>
          <w:szCs w:val="24"/>
          <w:highlight w:val="none"/>
        </w:rPr>
        <w:t>更新改造需求大。</w:t>
      </w:r>
      <w:r>
        <w:rPr>
          <w:rFonts w:hint="eastAsia" w:ascii="仿宋" w:hAnsi="仿宋" w:eastAsia="仿宋" w:cs="仿宋"/>
          <w:color w:val="auto"/>
          <w:sz w:val="32"/>
          <w:szCs w:val="24"/>
          <w:highlight w:val="none"/>
          <w:lang w:val="en-US" w:eastAsia="zh-CN"/>
        </w:rPr>
        <w:t>需</w:t>
      </w:r>
      <w:r>
        <w:rPr>
          <w:rFonts w:hint="eastAsia" w:ascii="仿宋" w:hAnsi="仿宋" w:eastAsia="仿宋" w:cs="仿宋"/>
          <w:color w:val="auto"/>
          <w:sz w:val="32"/>
          <w:szCs w:val="24"/>
          <w:highlight w:val="none"/>
        </w:rPr>
        <w:t>适应存量时代新要求，持续做好城中村、危旧房改造，支持居民老旧住房自主更新、原拆原建，改善存量房屋居住条件和住房品质。</w:t>
      </w:r>
    </w:p>
    <w:p>
      <w:pPr>
        <w:ind w:firstLine="643"/>
        <w:rPr>
          <w:rFonts w:hint="eastAsia" w:ascii="仿宋" w:hAnsi="仿宋" w:eastAsia="仿宋" w:cs="仿宋"/>
          <w:color w:val="auto"/>
        </w:rPr>
      </w:pPr>
      <w:r>
        <w:rPr>
          <w:rFonts w:hint="eastAsia" w:ascii="仿宋" w:hAnsi="仿宋" w:eastAsia="仿宋" w:cs="仿宋"/>
          <w:i w:val="0"/>
          <w:iCs w:val="0"/>
          <w:caps w:val="0"/>
          <w:color w:val="auto"/>
          <w:spacing w:val="0"/>
          <w:sz w:val="32"/>
          <w:szCs w:val="22"/>
          <w:highlight w:val="none"/>
          <w:shd w:val="clear"/>
          <w:lang w:val="en-US" w:eastAsia="zh-CN"/>
        </w:rPr>
        <w:t>面临新形势，</w:t>
      </w:r>
      <w:r>
        <w:rPr>
          <w:rFonts w:hint="eastAsia" w:ascii="仿宋" w:hAnsi="仿宋" w:eastAsia="仿宋" w:cs="仿宋"/>
          <w:i w:val="0"/>
          <w:iCs w:val="0"/>
          <w:caps w:val="0"/>
          <w:color w:val="auto"/>
          <w:spacing w:val="0"/>
          <w:sz w:val="32"/>
          <w:szCs w:val="22"/>
          <w:highlight w:val="none"/>
          <w:shd w:val="clear"/>
        </w:rPr>
        <w:t>喀什地区住房发展</w:t>
      </w:r>
      <w:r>
        <w:rPr>
          <w:rFonts w:hint="eastAsia" w:ascii="仿宋" w:hAnsi="仿宋" w:eastAsia="仿宋" w:cs="仿宋"/>
          <w:i w:val="0"/>
          <w:iCs w:val="0"/>
          <w:caps w:val="0"/>
          <w:color w:val="auto"/>
          <w:spacing w:val="0"/>
          <w:sz w:val="32"/>
          <w:szCs w:val="22"/>
          <w:highlight w:val="none"/>
          <w:shd w:val="clear"/>
          <w:lang w:eastAsia="zh-CN"/>
        </w:rPr>
        <w:t>仍有</w:t>
      </w:r>
      <w:r>
        <w:rPr>
          <w:rFonts w:hint="eastAsia" w:ascii="仿宋" w:hAnsi="仿宋" w:eastAsia="仿宋" w:cs="仿宋"/>
          <w:i w:val="0"/>
          <w:iCs w:val="0"/>
          <w:caps w:val="0"/>
          <w:color w:val="auto"/>
          <w:spacing w:val="0"/>
          <w:sz w:val="32"/>
          <w:szCs w:val="22"/>
          <w:highlight w:val="none"/>
          <w:shd w:val="clear"/>
          <w:lang w:val="en-US" w:eastAsia="zh-CN"/>
        </w:rPr>
        <w:t>一些问题和</w:t>
      </w:r>
      <w:r>
        <w:rPr>
          <w:rFonts w:hint="eastAsia" w:ascii="仿宋" w:hAnsi="仿宋" w:eastAsia="仿宋" w:cs="仿宋"/>
          <w:i w:val="0"/>
          <w:iCs w:val="0"/>
          <w:caps w:val="0"/>
          <w:color w:val="auto"/>
          <w:spacing w:val="0"/>
          <w:sz w:val="32"/>
          <w:szCs w:val="22"/>
          <w:highlight w:val="none"/>
          <w:shd w:val="clear"/>
        </w:rPr>
        <w:t>挑战。商品住</w:t>
      </w:r>
      <w:r>
        <w:rPr>
          <w:rFonts w:hint="eastAsia" w:ascii="仿宋" w:hAnsi="仿宋" w:eastAsia="仿宋" w:cs="仿宋"/>
          <w:i w:val="0"/>
          <w:iCs w:val="0"/>
          <w:caps w:val="0"/>
          <w:color w:val="auto"/>
          <w:spacing w:val="0"/>
          <w:sz w:val="32"/>
          <w:szCs w:val="22"/>
          <w:highlight w:val="none"/>
          <w:shd w:val="clear"/>
          <w:lang w:val="en-US" w:eastAsia="zh-CN"/>
        </w:rPr>
        <w:t>宅</w:t>
      </w:r>
      <w:r>
        <w:rPr>
          <w:rFonts w:hint="eastAsia" w:ascii="仿宋" w:hAnsi="仿宋" w:eastAsia="仿宋" w:cs="仿宋"/>
          <w:i w:val="0"/>
          <w:iCs w:val="0"/>
          <w:caps w:val="0"/>
          <w:color w:val="auto"/>
          <w:spacing w:val="0"/>
          <w:sz w:val="32"/>
          <w:szCs w:val="22"/>
          <w:highlight w:val="none"/>
          <w:shd w:val="clear"/>
        </w:rPr>
        <w:t>面临供需适配压力，部分县市商品住</w:t>
      </w:r>
      <w:r>
        <w:rPr>
          <w:rFonts w:hint="eastAsia" w:ascii="仿宋" w:hAnsi="仿宋" w:eastAsia="仿宋" w:cs="仿宋"/>
          <w:i w:val="0"/>
          <w:iCs w:val="0"/>
          <w:caps w:val="0"/>
          <w:color w:val="auto"/>
          <w:spacing w:val="0"/>
          <w:sz w:val="32"/>
          <w:szCs w:val="22"/>
          <w:highlight w:val="none"/>
          <w:shd w:val="clear"/>
          <w:lang w:val="en-US" w:eastAsia="zh-CN"/>
        </w:rPr>
        <w:t>宅</w:t>
      </w:r>
      <w:r>
        <w:rPr>
          <w:rFonts w:hint="eastAsia" w:ascii="仿宋" w:hAnsi="仿宋" w:eastAsia="仿宋" w:cs="仿宋"/>
          <w:i w:val="0"/>
          <w:iCs w:val="0"/>
          <w:caps w:val="0"/>
          <w:color w:val="auto"/>
          <w:spacing w:val="0"/>
          <w:sz w:val="32"/>
          <w:szCs w:val="22"/>
          <w:highlight w:val="none"/>
          <w:shd w:val="clear"/>
        </w:rPr>
        <w:t>去化周期仍然偏长，高品质产品供给不足，新增居住用地投放与人口增长匹配度欠佳。保障性住房品质与管理亟待优化，公租房品质及运营管理有待提升</w:t>
      </w:r>
      <w:r>
        <w:rPr>
          <w:rFonts w:hint="eastAsia" w:ascii="仿宋" w:hAnsi="仿宋" w:eastAsia="仿宋" w:cs="仿宋"/>
          <w:i w:val="0"/>
          <w:iCs w:val="0"/>
          <w:caps w:val="0"/>
          <w:color w:val="auto"/>
          <w:spacing w:val="0"/>
          <w:sz w:val="32"/>
          <w:szCs w:val="22"/>
          <w:highlight w:val="none"/>
          <w:shd w:val="clear"/>
          <w:lang w:eastAsia="zh-CN"/>
        </w:rPr>
        <w:t>、</w:t>
      </w:r>
      <w:r>
        <w:rPr>
          <w:rFonts w:hint="eastAsia" w:ascii="仿宋" w:hAnsi="仿宋" w:eastAsia="仿宋" w:cs="仿宋"/>
          <w:i w:val="0"/>
          <w:iCs w:val="0"/>
          <w:caps w:val="0"/>
          <w:color w:val="auto"/>
          <w:spacing w:val="0"/>
          <w:sz w:val="32"/>
          <w:szCs w:val="22"/>
          <w:highlight w:val="none"/>
          <w:shd w:val="clear"/>
        </w:rPr>
        <w:t>更新维护难度大，保障性租赁住房在居住品质方面有待提升。</w:t>
      </w:r>
      <w:r>
        <w:rPr>
          <w:rFonts w:hint="eastAsia" w:ascii="仿宋" w:hAnsi="仿宋" w:eastAsia="仿宋" w:cs="仿宋"/>
          <w:i w:val="0"/>
          <w:iCs w:val="0"/>
          <w:caps w:val="0"/>
          <w:color w:val="auto"/>
          <w:spacing w:val="0"/>
          <w:sz w:val="32"/>
          <w:szCs w:val="22"/>
          <w:highlight w:val="none"/>
          <w:shd w:val="clear"/>
          <w:lang w:val="en-US" w:eastAsia="zh-CN"/>
        </w:rPr>
        <w:t>部分片区</w:t>
      </w:r>
      <w:r>
        <w:rPr>
          <w:rFonts w:hint="eastAsia" w:ascii="仿宋" w:hAnsi="仿宋" w:eastAsia="仿宋" w:cs="仿宋"/>
          <w:i w:val="0"/>
          <w:iCs w:val="0"/>
          <w:caps w:val="0"/>
          <w:color w:val="auto"/>
          <w:spacing w:val="0"/>
          <w:sz w:val="32"/>
          <w:szCs w:val="22"/>
          <w:highlight w:val="none"/>
          <w:shd w:val="clear"/>
        </w:rPr>
        <w:t>公共服务设施短板较为突出，城中村待改造规模大</w:t>
      </w:r>
      <w:r>
        <w:rPr>
          <w:rFonts w:hint="eastAsia" w:ascii="仿宋" w:hAnsi="仿宋" w:eastAsia="仿宋" w:cs="仿宋"/>
          <w:i w:val="0"/>
          <w:iCs w:val="0"/>
          <w:caps w:val="0"/>
          <w:color w:val="auto"/>
          <w:spacing w:val="0"/>
          <w:sz w:val="32"/>
          <w:szCs w:val="22"/>
          <w:highlight w:val="none"/>
          <w:shd w:val="clear"/>
          <w:lang w:eastAsia="zh-CN"/>
        </w:rPr>
        <w:t>、</w:t>
      </w:r>
      <w:r>
        <w:rPr>
          <w:rFonts w:hint="eastAsia" w:ascii="仿宋" w:hAnsi="仿宋" w:eastAsia="仿宋" w:cs="仿宋"/>
          <w:i w:val="0"/>
          <w:iCs w:val="0"/>
          <w:caps w:val="0"/>
          <w:color w:val="auto"/>
          <w:spacing w:val="0"/>
          <w:sz w:val="32"/>
          <w:szCs w:val="22"/>
          <w:highlight w:val="none"/>
          <w:shd w:val="clear"/>
          <w:lang w:val="en-US" w:eastAsia="zh-CN"/>
        </w:rPr>
        <w:t>改造</w:t>
      </w:r>
      <w:r>
        <w:rPr>
          <w:rFonts w:hint="eastAsia" w:ascii="仿宋" w:hAnsi="仿宋" w:eastAsia="仿宋" w:cs="仿宋"/>
          <w:i w:val="0"/>
          <w:iCs w:val="0"/>
          <w:caps w:val="0"/>
          <w:color w:val="auto"/>
          <w:spacing w:val="0"/>
          <w:sz w:val="32"/>
          <w:szCs w:val="22"/>
          <w:highlight w:val="none"/>
          <w:shd w:val="clear"/>
        </w:rPr>
        <w:t>机制需完善，</w:t>
      </w:r>
      <w:r>
        <w:rPr>
          <w:rFonts w:hint="eastAsia" w:ascii="仿宋" w:hAnsi="仿宋" w:eastAsia="仿宋" w:cs="仿宋"/>
          <w:b w:val="0"/>
          <w:bCs w:val="0"/>
          <w:color w:val="auto"/>
          <w:highlight w:val="none"/>
        </w:rPr>
        <w:t>老旧小区改造“重基础、轻提升”的问题依然</w:t>
      </w:r>
      <w:r>
        <w:rPr>
          <w:rFonts w:hint="eastAsia" w:ascii="仿宋" w:hAnsi="仿宋" w:eastAsia="仿宋" w:cs="仿宋"/>
          <w:b w:val="0"/>
          <w:bCs w:val="0"/>
          <w:color w:val="auto"/>
          <w:highlight w:val="none"/>
          <w:lang w:val="en-US" w:eastAsia="zh-CN"/>
        </w:rPr>
        <w:t>明显</w:t>
      </w:r>
      <w:r>
        <w:rPr>
          <w:rFonts w:hint="eastAsia" w:ascii="仿宋" w:hAnsi="仿宋" w:eastAsia="仿宋" w:cs="仿宋"/>
          <w:i w:val="0"/>
          <w:iCs w:val="0"/>
          <w:caps w:val="0"/>
          <w:color w:val="auto"/>
          <w:spacing w:val="0"/>
          <w:sz w:val="32"/>
          <w:szCs w:val="22"/>
          <w:highlight w:val="none"/>
          <w:shd w:val="clear"/>
        </w:rPr>
        <w:t>。互嵌式居住仍需深入推进。</w:t>
      </w:r>
    </w:p>
    <w:p>
      <w:pPr>
        <w:pStyle w:val="4"/>
        <w:rPr>
          <w:rFonts w:hint="eastAsia" w:ascii="仿宋" w:hAnsi="仿宋" w:eastAsia="仿宋" w:cs="仿宋"/>
          <w:color w:val="auto"/>
          <w:highlight w:val="none"/>
          <w:lang w:val="en-US" w:eastAsia="zh-CN"/>
        </w:rPr>
      </w:pPr>
    </w:p>
    <w:p>
      <w:pPr>
        <w:ind w:firstLine="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br w:type="page"/>
      </w:r>
    </w:p>
    <w:bookmarkEnd w:id="13"/>
    <w:bookmarkEnd w:id="14"/>
    <w:bookmarkEnd w:id="15"/>
    <w:bookmarkEnd w:id="16"/>
    <w:bookmarkEnd w:id="17"/>
    <w:bookmarkEnd w:id="18"/>
    <w:bookmarkEnd w:id="19"/>
    <w:bookmarkEnd w:id="20"/>
    <w:p>
      <w:pPr>
        <w:pStyle w:val="6"/>
        <w:rPr>
          <w:rFonts w:hint="eastAsia" w:ascii="仿宋" w:hAnsi="仿宋" w:eastAsia="仿宋" w:cs="仿宋"/>
          <w:color w:val="auto"/>
          <w:highlight w:val="none"/>
        </w:rPr>
      </w:pPr>
      <w:bookmarkStart w:id="21" w:name="_Toc5604"/>
      <w:bookmarkStart w:id="22" w:name="_Toc27441"/>
      <w:bookmarkStart w:id="23" w:name="_Toc482370917"/>
      <w:r>
        <w:rPr>
          <w:rFonts w:hint="eastAsia" w:ascii="仿宋" w:hAnsi="仿宋" w:eastAsia="仿宋" w:cs="仿宋"/>
          <w:color w:val="auto"/>
          <w:highlight w:val="none"/>
        </w:rPr>
        <w:t>总体要求</w:t>
      </w:r>
      <w:bookmarkEnd w:id="21"/>
      <w:bookmarkEnd w:id="22"/>
    </w:p>
    <w:p>
      <w:pPr>
        <w:pStyle w:val="7"/>
        <w:keepNext/>
        <w:keepLines w:val="0"/>
        <w:pageBreakBefore w:val="0"/>
        <w:widowControl w:val="0"/>
        <w:numPr>
          <w:ilvl w:val="1"/>
          <w:numId w:val="4"/>
        </w:numPr>
        <w:kinsoku/>
        <w:wordWrap/>
        <w:overflowPunct/>
        <w:topLinePunct w:val="0"/>
        <w:autoSpaceDE/>
        <w:autoSpaceDN/>
        <w:bidi w:val="0"/>
        <w:adjustRightInd/>
        <w:snapToGrid/>
        <w:ind w:firstLine="0"/>
        <w:textAlignment w:val="auto"/>
        <w:rPr>
          <w:rFonts w:hint="eastAsia" w:ascii="仿宋" w:hAnsi="仿宋" w:eastAsia="仿宋" w:cs="仿宋"/>
          <w:color w:val="auto"/>
          <w:highlight w:val="none"/>
        </w:rPr>
      </w:pPr>
      <w:bookmarkStart w:id="24" w:name="_Toc23842"/>
      <w:bookmarkStart w:id="25" w:name="_Toc1818"/>
      <w:bookmarkStart w:id="26" w:name="_Toc15103"/>
      <w:bookmarkStart w:id="27" w:name="_Toc8987"/>
      <w:bookmarkStart w:id="28" w:name="_Toc10160"/>
      <w:bookmarkStart w:id="29" w:name="_Toc9950"/>
      <w:bookmarkStart w:id="30" w:name="_Toc32503"/>
      <w:bookmarkStart w:id="31" w:name="_Toc95230940"/>
      <w:bookmarkStart w:id="32" w:name="_Toc30118"/>
      <w:bookmarkStart w:id="33" w:name="_Toc7151"/>
      <w:r>
        <w:rPr>
          <w:rFonts w:hint="eastAsia" w:ascii="仿宋" w:hAnsi="仿宋" w:eastAsia="仿宋" w:cs="仿宋"/>
          <w:color w:val="auto"/>
          <w:highlight w:val="none"/>
        </w:rPr>
        <w:t>指导思想</w:t>
      </w:r>
      <w:bookmarkEnd w:id="23"/>
      <w:bookmarkEnd w:id="24"/>
      <w:bookmarkEnd w:id="25"/>
      <w:bookmarkEnd w:id="26"/>
      <w:bookmarkEnd w:id="27"/>
      <w:bookmarkEnd w:id="28"/>
      <w:bookmarkEnd w:id="29"/>
      <w:bookmarkEnd w:id="30"/>
      <w:bookmarkEnd w:id="31"/>
      <w:bookmarkEnd w:id="32"/>
      <w:bookmarkEnd w:id="33"/>
    </w:p>
    <w:p>
      <w:pPr>
        <w:spacing w:line="620" w:lineRule="exact"/>
        <w:ind w:firstLine="640"/>
        <w:rPr>
          <w:rFonts w:hint="eastAsia" w:ascii="仿宋" w:hAnsi="仿宋" w:eastAsia="仿宋" w:cs="仿宋"/>
          <w:color w:val="auto"/>
          <w:highlight w:val="none"/>
        </w:rPr>
      </w:pPr>
      <w:r>
        <w:rPr>
          <w:rFonts w:hint="eastAsia" w:ascii="仿宋" w:hAnsi="仿宋" w:eastAsia="仿宋" w:cs="仿宋"/>
          <w:color w:val="auto"/>
          <w:highlight w:val="none"/>
        </w:rPr>
        <w:t>坚持以习近平新时代中国特色社会主义思想为指导，深入贯彻党的二十大和二十届历次全会精神，全面贯彻习近平总书记关于城市工作的重要论述，深入学习贯彻习近平总书记关于新疆工作的重要讲话重要指示批示精神，完整准确全面贯彻新发展理念和新时代党的治疆方略，牢牢扭住社会稳定和长治久安总目标，紧紧围绕铸牢中华民族共同体意识、推进中华民族共同体建设，锚定</w:t>
      </w:r>
      <w:r>
        <w:rPr>
          <w:rFonts w:hint="eastAsia" w:ascii="仿宋" w:hAnsi="仿宋" w:eastAsia="仿宋" w:cs="仿宋"/>
          <w:color w:val="000000"/>
          <w:u w:val="none" w:color="auto"/>
          <w:lang w:eastAsia="zh-CN"/>
        </w:rPr>
        <w:t>党中央赋予</w:t>
      </w:r>
      <w:r>
        <w:rPr>
          <w:rFonts w:hint="eastAsia" w:ascii="仿宋" w:hAnsi="仿宋" w:eastAsia="仿宋" w:cs="仿宋"/>
          <w:color w:val="000000"/>
          <w:u w:val="none" w:color="auto"/>
        </w:rPr>
        <w:t>新疆</w:t>
      </w:r>
      <w:r>
        <w:rPr>
          <w:rFonts w:hint="eastAsia" w:ascii="仿宋" w:hAnsi="仿宋" w:eastAsia="仿宋" w:cs="仿宋"/>
          <w:color w:val="000000"/>
          <w:u w:val="none" w:color="auto"/>
          <w:lang w:eastAsia="zh-CN"/>
        </w:rPr>
        <w:t>的</w:t>
      </w:r>
      <w:r>
        <w:rPr>
          <w:rFonts w:hint="eastAsia" w:ascii="仿宋" w:hAnsi="仿宋" w:eastAsia="仿宋" w:cs="仿宋"/>
          <w:color w:val="auto"/>
          <w:highlight w:val="none"/>
        </w:rPr>
        <w:t>“五大战略定位”，</w:t>
      </w:r>
      <w:r>
        <w:rPr>
          <w:rFonts w:hint="eastAsia" w:ascii="仿宋" w:hAnsi="仿宋" w:eastAsia="仿宋" w:cs="仿宋"/>
          <w:color w:val="auto"/>
          <w:szCs w:val="24"/>
          <w:highlight w:val="none"/>
        </w:rPr>
        <w:t>坚持以人民为中心</w:t>
      </w:r>
      <w:r>
        <w:rPr>
          <w:rFonts w:hint="eastAsia" w:ascii="仿宋" w:hAnsi="仿宋" w:eastAsia="仿宋" w:cs="仿宋"/>
          <w:color w:val="auto"/>
          <w:szCs w:val="24"/>
          <w:highlight w:val="none"/>
          <w:lang w:eastAsia="zh-CN"/>
        </w:rPr>
        <w:t>，</w:t>
      </w:r>
      <w:r>
        <w:rPr>
          <w:rFonts w:hint="eastAsia" w:ascii="仿宋" w:hAnsi="仿宋" w:eastAsia="仿宋" w:cs="仿宋"/>
          <w:color w:val="auto"/>
          <w:szCs w:val="24"/>
          <w:highlight w:val="none"/>
        </w:rPr>
        <w:t>践行人民城市理念</w:t>
      </w:r>
      <w:r>
        <w:rPr>
          <w:rFonts w:hint="eastAsia" w:ascii="仿宋" w:hAnsi="仿宋" w:eastAsia="仿宋" w:cs="仿宋"/>
          <w:color w:val="auto"/>
          <w:highlight w:val="none"/>
        </w:rPr>
        <w:t>，以推动</w:t>
      </w:r>
      <w:r>
        <w:rPr>
          <w:rFonts w:hint="eastAsia" w:ascii="仿宋" w:hAnsi="仿宋" w:eastAsia="仿宋" w:cs="仿宋"/>
          <w:color w:val="auto"/>
          <w:highlight w:val="none"/>
          <w:lang w:val="en-US" w:eastAsia="zh-CN"/>
        </w:rPr>
        <w:t>房地产</w:t>
      </w:r>
      <w:r>
        <w:rPr>
          <w:rFonts w:hint="eastAsia" w:ascii="仿宋" w:hAnsi="仿宋" w:eastAsia="仿宋" w:cs="仿宋"/>
          <w:color w:val="auto"/>
          <w:highlight w:val="none"/>
        </w:rPr>
        <w:t>高质量发展为主题，完善住房供应体系，</w:t>
      </w:r>
      <w:r>
        <w:rPr>
          <w:rFonts w:hint="eastAsia" w:ascii="仿宋" w:hAnsi="仿宋" w:eastAsia="仿宋" w:cs="仿宋"/>
          <w:color w:val="auto"/>
          <w:highlight w:val="none"/>
          <w:lang w:val="en-US" w:eastAsia="zh-CN"/>
        </w:rPr>
        <w:t>更好</w:t>
      </w:r>
      <w:r>
        <w:rPr>
          <w:rFonts w:hint="eastAsia" w:ascii="仿宋" w:hAnsi="仿宋" w:eastAsia="仿宋" w:cs="仿宋"/>
          <w:color w:val="auto"/>
          <w:highlight w:val="none"/>
        </w:rPr>
        <w:t>满足</w:t>
      </w:r>
      <w:r>
        <w:rPr>
          <w:rFonts w:hint="eastAsia" w:ascii="仿宋" w:hAnsi="仿宋" w:eastAsia="仿宋" w:cs="仿宋"/>
          <w:color w:val="auto"/>
          <w:highlight w:val="none"/>
          <w:lang w:val="en-US" w:eastAsia="zh-CN"/>
        </w:rPr>
        <w:t>居民</w:t>
      </w:r>
      <w:r>
        <w:rPr>
          <w:rFonts w:hint="eastAsia" w:ascii="仿宋" w:hAnsi="仿宋" w:eastAsia="仿宋" w:cs="仿宋"/>
          <w:color w:val="auto"/>
          <w:highlight w:val="none"/>
        </w:rPr>
        <w:t>刚性和多样化改善性住房需求，积极构建房地产发展新模式，为打造具有喀什特色的现代化人民城市提供坚实支撑。</w:t>
      </w:r>
    </w:p>
    <w:p>
      <w:pPr>
        <w:pStyle w:val="7"/>
        <w:numPr>
          <w:ilvl w:val="1"/>
          <w:numId w:val="4"/>
        </w:numPr>
        <w:spacing w:before="0" w:line="620" w:lineRule="exact"/>
        <w:rPr>
          <w:rFonts w:hint="eastAsia" w:ascii="仿宋" w:hAnsi="仿宋" w:eastAsia="仿宋" w:cs="仿宋"/>
          <w:color w:val="auto"/>
          <w:highlight w:val="none"/>
        </w:rPr>
      </w:pPr>
      <w:bookmarkStart w:id="34" w:name="_Toc1390"/>
      <w:bookmarkStart w:id="35" w:name="_Toc26475"/>
      <w:bookmarkStart w:id="36" w:name="_Toc10824"/>
      <w:bookmarkStart w:id="37" w:name="_Toc6681"/>
      <w:bookmarkStart w:id="38" w:name="_Toc7987"/>
      <w:bookmarkStart w:id="39" w:name="_Toc8799"/>
      <w:bookmarkStart w:id="40" w:name="_Toc30778"/>
      <w:bookmarkStart w:id="41" w:name="_Toc19703"/>
      <w:bookmarkStart w:id="42" w:name="_Toc482370918"/>
      <w:bookmarkStart w:id="43" w:name="_Toc95230941"/>
      <w:bookmarkStart w:id="44" w:name="_Toc2717"/>
      <w:r>
        <w:rPr>
          <w:rFonts w:hint="eastAsia" w:ascii="仿宋" w:hAnsi="仿宋" w:eastAsia="仿宋" w:cs="仿宋"/>
          <w:color w:val="auto"/>
          <w:highlight w:val="none"/>
        </w:rPr>
        <w:t>基本原则</w:t>
      </w:r>
      <w:bookmarkEnd w:id="34"/>
      <w:bookmarkEnd w:id="35"/>
      <w:bookmarkEnd w:id="36"/>
      <w:bookmarkEnd w:id="37"/>
      <w:bookmarkEnd w:id="38"/>
      <w:bookmarkEnd w:id="39"/>
      <w:bookmarkEnd w:id="40"/>
      <w:bookmarkEnd w:id="41"/>
      <w:bookmarkEnd w:id="42"/>
      <w:bookmarkEnd w:id="43"/>
      <w:bookmarkEnd w:id="44"/>
    </w:p>
    <w:p>
      <w:pPr>
        <w:spacing w:line="620" w:lineRule="exact"/>
        <w:ind w:firstLine="643"/>
        <w:rPr>
          <w:rFonts w:hint="eastAsia" w:ascii="仿宋" w:hAnsi="仿宋" w:eastAsia="仿宋" w:cs="仿宋"/>
          <w:color w:val="auto"/>
          <w:highlight w:val="none"/>
        </w:rPr>
      </w:pPr>
      <w:r>
        <w:rPr>
          <w:rFonts w:hint="eastAsia" w:ascii="仿宋" w:hAnsi="仿宋" w:eastAsia="仿宋" w:cs="仿宋"/>
          <w:b/>
          <w:bCs/>
          <w:color w:val="auto"/>
          <w:highlight w:val="none"/>
        </w:rPr>
        <w:t>坚持以人为本，满足多样需求。</w:t>
      </w:r>
      <w:r>
        <w:rPr>
          <w:rFonts w:hint="eastAsia" w:ascii="仿宋" w:hAnsi="仿宋" w:eastAsia="仿宋" w:cs="仿宋"/>
          <w:color w:val="auto"/>
          <w:highlight w:val="none"/>
        </w:rPr>
        <w:t>坚持市场在资源配置中的决定性作用，根据人口发展特征研判住房需求变化，充分满足各类群体差异化、多层次的住房消费需求。</w:t>
      </w:r>
      <w:r>
        <w:rPr>
          <w:rFonts w:hint="eastAsia" w:ascii="仿宋" w:hAnsi="仿宋" w:eastAsia="仿宋" w:cs="仿宋"/>
          <w:color w:val="auto"/>
          <w:szCs w:val="24"/>
          <w:highlight w:val="none"/>
        </w:rPr>
        <w:t>发挥住房在保障民生上的作用，</w:t>
      </w:r>
      <w:r>
        <w:rPr>
          <w:rFonts w:hint="eastAsia" w:ascii="仿宋" w:hAnsi="仿宋" w:eastAsia="仿宋" w:cs="仿宋"/>
          <w:color w:val="auto"/>
          <w:szCs w:val="24"/>
          <w:highlight w:val="none"/>
          <w:lang w:val="en-US" w:eastAsia="zh-CN"/>
        </w:rPr>
        <w:t>推动住房发展成果惠及民生、凝聚韧性，</w:t>
      </w:r>
      <w:r>
        <w:rPr>
          <w:rFonts w:hint="eastAsia" w:ascii="仿宋" w:hAnsi="仿宋" w:eastAsia="仿宋" w:cs="仿宋"/>
          <w:color w:val="auto"/>
          <w:szCs w:val="24"/>
          <w:highlight w:val="none"/>
        </w:rPr>
        <w:t>推进解决好低收入家庭、新市民、青年人、工薪群体、引进人才、农业转移人口等群体住房困难问题。</w:t>
      </w:r>
    </w:p>
    <w:p>
      <w:pPr>
        <w:spacing w:line="620" w:lineRule="exact"/>
        <w:ind w:firstLine="643"/>
        <w:rPr>
          <w:rFonts w:hint="eastAsia" w:ascii="仿宋" w:hAnsi="仿宋" w:eastAsia="仿宋" w:cs="仿宋"/>
          <w:color w:val="auto"/>
          <w:highlight w:val="none"/>
        </w:rPr>
      </w:pPr>
      <w:r>
        <w:rPr>
          <w:rFonts w:hint="eastAsia" w:ascii="仿宋" w:hAnsi="仿宋" w:eastAsia="仿宋" w:cs="仿宋"/>
          <w:b/>
          <w:bCs/>
          <w:color w:val="auto"/>
          <w:highlight w:val="none"/>
        </w:rPr>
        <w:t>坚持民族团结，促进互嵌交融。</w:t>
      </w:r>
      <w:r>
        <w:rPr>
          <w:rFonts w:hint="eastAsia" w:ascii="仿宋" w:hAnsi="仿宋" w:eastAsia="仿宋" w:cs="仿宋"/>
          <w:b w:val="0"/>
          <w:bCs w:val="0"/>
          <w:color w:val="auto"/>
          <w:highlight w:val="none"/>
          <w:lang w:val="en-US" w:eastAsia="zh-CN"/>
        </w:rPr>
        <w:t>将铸牢中华民族共同体意识主线贯穿住房发展全领域、全过程，</w:t>
      </w:r>
      <w:r>
        <w:rPr>
          <w:rFonts w:hint="eastAsia" w:ascii="仿宋" w:hAnsi="仿宋" w:eastAsia="仿宋" w:cs="仿宋"/>
          <w:color w:val="auto"/>
          <w:highlight w:val="none"/>
        </w:rPr>
        <w:t>充分尊重各民族生活习惯，充分满足各民族居住空间与服务需求，彰显民族特色、地域特点，积极推动各族群众共居共学、共建共享、共事共乐。</w:t>
      </w:r>
    </w:p>
    <w:p>
      <w:pPr>
        <w:spacing w:line="620" w:lineRule="exact"/>
        <w:ind w:firstLine="643"/>
        <w:rPr>
          <w:rFonts w:hint="eastAsia" w:ascii="仿宋" w:hAnsi="仿宋" w:eastAsia="仿宋" w:cs="仿宋"/>
          <w:color w:val="auto"/>
          <w:highlight w:val="none"/>
        </w:rPr>
      </w:pPr>
      <w:r>
        <w:rPr>
          <w:rFonts w:hint="eastAsia" w:ascii="仿宋" w:hAnsi="仿宋" w:eastAsia="仿宋" w:cs="仿宋"/>
          <w:b/>
          <w:bCs/>
          <w:color w:val="auto"/>
          <w:highlight w:val="none"/>
        </w:rPr>
        <w:t>坚持着眼全局，促进空间优化。</w:t>
      </w:r>
      <w:r>
        <w:rPr>
          <w:rFonts w:hint="eastAsia" w:ascii="仿宋" w:hAnsi="仿宋" w:eastAsia="仿宋" w:cs="仿宋"/>
          <w:color w:val="auto"/>
          <w:highlight w:val="none"/>
        </w:rPr>
        <w:t>主动服务于喀什城镇发展</w:t>
      </w:r>
      <w:r>
        <w:rPr>
          <w:rFonts w:hint="eastAsia" w:ascii="仿宋" w:hAnsi="仿宋" w:eastAsia="仿宋" w:cs="仿宋"/>
          <w:color w:val="auto"/>
          <w:highlight w:val="none"/>
          <w:lang w:val="en-US" w:eastAsia="zh-CN"/>
        </w:rPr>
        <w:t>总体布局</w:t>
      </w:r>
      <w:r>
        <w:rPr>
          <w:rFonts w:hint="eastAsia" w:ascii="仿宋" w:hAnsi="仿宋" w:eastAsia="仿宋" w:cs="仿宋"/>
          <w:color w:val="auto"/>
          <w:highlight w:val="none"/>
        </w:rPr>
        <w:t>，加快把</w:t>
      </w:r>
      <w:r>
        <w:rPr>
          <w:rFonts w:hint="eastAsia" w:ascii="仿宋" w:hAnsi="仿宋" w:eastAsia="仿宋" w:cs="仿宋"/>
          <w:color w:val="auto"/>
          <w:highlight w:val="none"/>
          <w:lang w:val="en-US" w:eastAsia="zh-CN"/>
        </w:rPr>
        <w:t>房地产</w:t>
      </w:r>
      <w:r>
        <w:rPr>
          <w:rFonts w:hint="eastAsia" w:ascii="仿宋" w:hAnsi="仿宋" w:eastAsia="仿宋" w:cs="仿宋"/>
          <w:color w:val="auto"/>
          <w:highlight w:val="none"/>
        </w:rPr>
        <w:t>业发展实效转化为城市发展的重要战略支撑。突出产城融合、职住平衡，实现住房与城市建设、公共服务设施配套、城区功能提升的联动发展。</w:t>
      </w:r>
    </w:p>
    <w:p>
      <w:pPr>
        <w:spacing w:line="620" w:lineRule="exact"/>
        <w:ind w:firstLine="643"/>
        <w:rPr>
          <w:rFonts w:hint="eastAsia" w:ascii="仿宋" w:hAnsi="仿宋" w:eastAsia="仿宋" w:cs="仿宋"/>
          <w:color w:val="auto"/>
          <w:highlight w:val="none"/>
        </w:rPr>
      </w:pPr>
      <w:r>
        <w:rPr>
          <w:rFonts w:hint="eastAsia" w:ascii="仿宋" w:hAnsi="仿宋" w:eastAsia="仿宋" w:cs="仿宋"/>
          <w:b/>
          <w:bCs/>
          <w:color w:val="auto"/>
          <w:highlight w:val="none"/>
        </w:rPr>
        <w:t>坚持品质提升，成就美好生活。</w:t>
      </w:r>
      <w:r>
        <w:rPr>
          <w:rFonts w:hint="eastAsia" w:ascii="仿宋" w:hAnsi="仿宋" w:eastAsia="仿宋" w:cs="仿宋"/>
          <w:color w:val="auto"/>
          <w:highlight w:val="none"/>
        </w:rPr>
        <w:t>满足居民对住房设计、设施配置、环境空间、通勤效率等方面的多维度、差异化、高品质需求，积极建设安全、舒适、绿色、智慧“好房子”，适应各民族群众更高水平、更高质量的美好生活居住需要。</w:t>
      </w:r>
    </w:p>
    <w:p>
      <w:pPr>
        <w:spacing w:line="620" w:lineRule="exact"/>
        <w:ind w:firstLine="643"/>
        <w:rPr>
          <w:rFonts w:hint="eastAsia" w:ascii="仿宋" w:hAnsi="仿宋" w:eastAsia="仿宋" w:cs="仿宋"/>
          <w:color w:val="auto"/>
          <w:highlight w:val="none"/>
        </w:rPr>
      </w:pPr>
      <w:r>
        <w:rPr>
          <w:rFonts w:hint="eastAsia" w:ascii="仿宋" w:hAnsi="仿宋" w:eastAsia="仿宋" w:cs="仿宋"/>
          <w:b/>
          <w:bCs/>
          <w:color w:val="auto"/>
          <w:highlight w:val="none"/>
        </w:rPr>
        <w:t>坚持要素协同，深化制度改革。</w:t>
      </w:r>
      <w:r>
        <w:rPr>
          <w:rFonts w:hint="eastAsia" w:ascii="仿宋" w:hAnsi="仿宋" w:eastAsia="仿宋" w:cs="仿宋"/>
          <w:color w:val="auto"/>
          <w:highlight w:val="none"/>
        </w:rPr>
        <w:t>健全住房与土地、金融、财税政策的联动机制。建立健全房地产发展新模式相关基础性制度，有力有序推进现房销售，建立房屋全生命周期安全管理制度，推进数字管理与住房信息系统建设。构建与新模式更加适应的制度体系和治理方式。</w:t>
      </w:r>
    </w:p>
    <w:p>
      <w:pPr>
        <w:pStyle w:val="7"/>
        <w:numPr>
          <w:ilvl w:val="1"/>
          <w:numId w:val="4"/>
        </w:numPr>
        <w:spacing w:before="0" w:line="620" w:lineRule="exact"/>
        <w:rPr>
          <w:rFonts w:hint="eastAsia" w:ascii="仿宋" w:hAnsi="仿宋" w:eastAsia="仿宋" w:cs="仿宋"/>
          <w:color w:val="auto"/>
          <w:highlight w:val="none"/>
        </w:rPr>
      </w:pPr>
      <w:bookmarkStart w:id="45" w:name="_Toc31163"/>
      <w:bookmarkStart w:id="46" w:name="_Toc13697"/>
      <w:bookmarkStart w:id="47" w:name="_Toc1211"/>
      <w:bookmarkStart w:id="48" w:name="_Toc12213"/>
      <w:bookmarkStart w:id="49" w:name="_Toc6706"/>
      <w:bookmarkStart w:id="50" w:name="_Toc22650"/>
      <w:bookmarkStart w:id="51" w:name="_Toc5748"/>
      <w:bookmarkStart w:id="52" w:name="_Toc3621"/>
      <w:bookmarkStart w:id="53" w:name="_Toc23293"/>
      <w:bookmarkStart w:id="54" w:name="_Toc95230942"/>
      <w:r>
        <w:rPr>
          <w:rFonts w:hint="eastAsia" w:ascii="仿宋" w:hAnsi="仿宋" w:eastAsia="仿宋" w:cs="仿宋"/>
          <w:color w:val="auto"/>
          <w:highlight w:val="none"/>
        </w:rPr>
        <w:t>发展目标</w:t>
      </w:r>
      <w:bookmarkEnd w:id="45"/>
      <w:bookmarkEnd w:id="46"/>
      <w:bookmarkEnd w:id="47"/>
      <w:bookmarkEnd w:id="48"/>
      <w:bookmarkEnd w:id="49"/>
      <w:bookmarkEnd w:id="50"/>
      <w:bookmarkEnd w:id="51"/>
      <w:bookmarkEnd w:id="52"/>
      <w:bookmarkEnd w:id="53"/>
      <w:bookmarkEnd w:id="54"/>
    </w:p>
    <w:p>
      <w:pPr>
        <w:ind w:firstLine="640"/>
        <w:rPr>
          <w:rFonts w:hint="eastAsia" w:ascii="仿宋" w:hAnsi="仿宋" w:eastAsia="仿宋" w:cs="仿宋"/>
          <w:color w:val="auto"/>
          <w:highlight w:val="none"/>
        </w:rPr>
      </w:pPr>
      <w:r>
        <w:rPr>
          <w:rFonts w:hint="eastAsia" w:ascii="仿宋" w:hAnsi="仿宋" w:eastAsia="仿宋" w:cs="仿宋"/>
          <w:color w:val="auto"/>
          <w:highlight w:val="none"/>
        </w:rPr>
        <w:t>持续推进“住有所居、住有宜居、住有优居”，让各族群众在居住方面有更多的获得感、幸福感和安全感，以高品质居住环境提升城镇吸引力，助力推进新型城镇化，有力支撑</w:t>
      </w:r>
      <w:r>
        <w:rPr>
          <w:rFonts w:hint="eastAsia" w:ascii="仿宋" w:hAnsi="仿宋" w:eastAsia="仿宋" w:cs="仿宋"/>
          <w:color w:val="auto"/>
          <w:highlight w:val="none"/>
          <w:lang w:val="en-US" w:eastAsia="zh-CN"/>
        </w:rPr>
        <w:t>丝绸之路经济带核心区重要支点</w:t>
      </w:r>
      <w:r>
        <w:rPr>
          <w:rFonts w:hint="eastAsia" w:ascii="仿宋" w:hAnsi="仿宋" w:eastAsia="仿宋" w:cs="仿宋"/>
          <w:color w:val="auto"/>
          <w:highlight w:val="none"/>
        </w:rPr>
        <w:t>建设，大力支持喀什市建设全疆副中心城市。</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市场运行平稳健康。</w:t>
      </w:r>
      <w:r>
        <w:rPr>
          <w:rFonts w:hint="eastAsia" w:ascii="仿宋" w:hAnsi="仿宋" w:eastAsia="仿宋" w:cs="仿宋"/>
          <w:color w:val="auto"/>
          <w:highlight w:val="none"/>
        </w:rPr>
        <w:t>增加多样化住房类型供给，促进职住平衡，全面释放刚性和改善性住房需求，支撑人口集聚。加快构建房地产发展新模式，防范化解房地产风险，稳定市场预期。</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住房保障更加健全。</w:t>
      </w:r>
      <w:r>
        <w:rPr>
          <w:rFonts w:hint="eastAsia" w:ascii="仿宋" w:hAnsi="仿宋" w:eastAsia="仿宋" w:cs="仿宋"/>
          <w:color w:val="auto"/>
          <w:szCs w:val="32"/>
          <w:highlight w:val="none"/>
        </w:rPr>
        <w:t>实现住房保障重点从数量保障向品质保障转变，</w:t>
      </w:r>
      <w:r>
        <w:rPr>
          <w:rFonts w:hint="eastAsia" w:ascii="仿宋" w:hAnsi="仿宋" w:eastAsia="仿宋" w:cs="仿宋"/>
          <w:color w:val="auto"/>
          <w:highlight w:val="none"/>
        </w:rPr>
        <w:t>继续推进住房保障对象覆盖稳定就业的城镇常住人口，按需增加各类保障性住房供应，进一步提高保障房运营管理服务水平。</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住房与住区更新稳步实施。</w:t>
      </w:r>
      <w:r>
        <w:rPr>
          <w:rFonts w:hint="eastAsia" w:ascii="仿宋" w:hAnsi="仿宋" w:eastAsia="仿宋" w:cs="仿宋"/>
          <w:color w:val="auto"/>
          <w:highlight w:val="none"/>
        </w:rPr>
        <w:t>完善既有住区设施和配套服务</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推进老旧小区改造和完整居住社区建设。稳步推进城中村改造、危旧房改造，精准消除安全隐患，改善群众居住条件。</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“好房子”建设有序推进。</w:t>
      </w:r>
      <w:r>
        <w:rPr>
          <w:rFonts w:hint="eastAsia" w:ascii="仿宋" w:hAnsi="仿宋" w:eastAsia="仿宋" w:cs="仿宋"/>
          <w:color w:val="auto"/>
          <w:highlight w:val="none"/>
        </w:rPr>
        <w:t>不断改善人民群众住房条件和居住环境，着力建设“好房子”，</w:t>
      </w:r>
      <w:r>
        <w:rPr>
          <w:rFonts w:hint="eastAsia" w:ascii="仿宋" w:hAnsi="仿宋" w:eastAsia="仿宋" w:cs="仿宋"/>
          <w:color w:val="auto"/>
          <w:szCs w:val="32"/>
          <w:highlight w:val="none"/>
        </w:rPr>
        <w:t>引导标准规范、规划设计、建造方式和运维管理全面升级，</w:t>
      </w:r>
      <w:r>
        <w:rPr>
          <w:rFonts w:hint="eastAsia" w:ascii="仿宋" w:hAnsi="仿宋" w:eastAsia="仿宋" w:cs="仿宋"/>
          <w:color w:val="auto"/>
          <w:highlight w:val="none"/>
        </w:rPr>
        <w:t>打造高品质住房与住区。</w:t>
      </w:r>
      <w:r>
        <w:rPr>
          <w:rFonts w:hint="eastAsia" w:ascii="仿宋" w:hAnsi="仿宋" w:eastAsia="仿宋" w:cs="仿宋"/>
          <w:b w:val="0"/>
          <w:bCs w:val="0"/>
          <w:color w:val="auto"/>
          <w:highlight w:val="none"/>
        </w:rPr>
        <w:t>社区服务与治理能力持续提升</w:t>
      </w:r>
      <w:r>
        <w:rPr>
          <w:rFonts w:hint="eastAsia" w:ascii="仿宋" w:hAnsi="仿宋" w:eastAsia="仿宋" w:cs="仿宋"/>
          <w:b w:val="0"/>
          <w:bCs w:val="0"/>
          <w:color w:val="auto"/>
          <w:highlight w:val="none"/>
          <w:lang w:eastAsia="zh-CN"/>
        </w:rPr>
        <w:t>，</w:t>
      </w:r>
      <w:r>
        <w:rPr>
          <w:rFonts w:hint="eastAsia" w:ascii="仿宋" w:hAnsi="仿宋" w:eastAsia="仿宋" w:cs="仿宋"/>
          <w:color w:val="auto"/>
          <w:highlight w:val="none"/>
        </w:rPr>
        <w:t>提高物业管理服务水平，积极构建开放包容、融荣共居的互嵌式社区环境。</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治理效能显著增强。</w:t>
      </w:r>
      <w:r>
        <w:rPr>
          <w:rFonts w:hint="eastAsia" w:ascii="仿宋" w:hAnsi="仿宋" w:eastAsia="仿宋" w:cs="仿宋"/>
          <w:color w:val="auto"/>
          <w:highlight w:val="none"/>
        </w:rPr>
        <w:t>建立“人、房、地、钱”要素联动新机制。</w:t>
      </w:r>
      <w:r>
        <w:rPr>
          <w:rFonts w:hint="eastAsia" w:ascii="仿宋" w:hAnsi="仿宋" w:eastAsia="仿宋" w:cs="仿宋"/>
          <w:i w:val="0"/>
          <w:iCs w:val="0"/>
          <w:caps w:val="0"/>
          <w:color w:val="auto"/>
          <w:spacing w:val="0"/>
          <w:sz w:val="32"/>
          <w:szCs w:val="22"/>
          <w:highlight w:val="none"/>
          <w:shd w:val="clear" w:fill="auto"/>
        </w:rPr>
        <w:t>完善商品房开发、融资、销售等基础制度</w:t>
      </w:r>
      <w:r>
        <w:rPr>
          <w:rFonts w:hint="eastAsia" w:ascii="仿宋" w:hAnsi="仿宋" w:eastAsia="仿宋" w:cs="仿宋"/>
          <w:i w:val="0"/>
          <w:iCs w:val="0"/>
          <w:caps w:val="0"/>
          <w:color w:val="auto"/>
          <w:spacing w:val="0"/>
          <w:sz w:val="32"/>
          <w:szCs w:val="22"/>
          <w:highlight w:val="none"/>
          <w:shd w:val="clear"/>
          <w:lang w:eastAsia="zh-CN"/>
        </w:rPr>
        <w:t>，建立房屋全生命周期安全管理制度</w:t>
      </w:r>
      <w:r>
        <w:rPr>
          <w:rFonts w:hint="eastAsia" w:ascii="仿宋" w:hAnsi="仿宋" w:eastAsia="仿宋" w:cs="仿宋"/>
          <w:color w:val="auto"/>
          <w:highlight w:val="none"/>
        </w:rPr>
        <w:t>。</w:t>
      </w:r>
    </w:p>
    <w:p>
      <w:pPr>
        <w:pStyle w:val="15"/>
        <w:spacing w:line="620" w:lineRule="exact"/>
        <w:rPr>
          <w:rFonts w:hint="eastAsia" w:ascii="仿宋" w:hAnsi="仿宋" w:eastAsia="仿宋" w:cs="仿宋"/>
          <w:color w:val="auto"/>
          <w:highlight w:val="none"/>
        </w:rPr>
      </w:pPr>
      <w:r>
        <w:rPr>
          <w:rFonts w:hint="eastAsia" w:ascii="仿宋" w:hAnsi="仿宋" w:eastAsia="仿宋" w:cs="仿宋"/>
          <w:color w:val="auto"/>
          <w:highlight w:val="none"/>
        </w:rPr>
        <w:t xml:space="preserve">表 </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SEQ 表 \* ARABIC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：指标体系表</w:t>
      </w:r>
    </w:p>
    <w:tbl>
      <w:tblPr>
        <w:tblStyle w:val="29"/>
        <w:tblW w:w="8860" w:type="dxa"/>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1"/>
        <w:gridCol w:w="3021"/>
        <w:gridCol w:w="1060"/>
        <w:gridCol w:w="1193"/>
        <w:gridCol w:w="1597"/>
        <w:gridCol w:w="10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0" w:hRule="atLeast"/>
        </w:trPr>
        <w:tc>
          <w:tcPr>
            <w:tcW w:w="931" w:type="dxa"/>
            <w:tcBorders>
              <w:tl2br w:val="nil"/>
              <w:tr2bl w:val="nil"/>
            </w:tcBorders>
            <w:vAlign w:val="center"/>
          </w:tcPr>
          <w:p>
            <w:pPr>
              <w:spacing w:line="240" w:lineRule="auto"/>
              <w:ind w:firstLine="0" w:firstLineChars="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分目标</w:t>
            </w:r>
          </w:p>
        </w:tc>
        <w:tc>
          <w:tcPr>
            <w:tcW w:w="3021" w:type="dxa"/>
            <w:tcBorders>
              <w:tl2br w:val="nil"/>
              <w:tr2bl w:val="nil"/>
            </w:tcBorders>
            <w:vAlign w:val="center"/>
          </w:tcPr>
          <w:p>
            <w:pPr>
              <w:spacing w:line="240" w:lineRule="auto"/>
              <w:ind w:firstLine="0" w:firstLineChars="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指标</w:t>
            </w:r>
          </w:p>
        </w:tc>
        <w:tc>
          <w:tcPr>
            <w:tcW w:w="1060" w:type="dxa"/>
            <w:tcBorders>
              <w:tl2br w:val="nil"/>
              <w:tr2bl w:val="nil"/>
            </w:tcBorders>
            <w:vAlign w:val="center"/>
          </w:tcPr>
          <w:p>
            <w:pPr>
              <w:spacing w:line="240" w:lineRule="auto"/>
              <w:ind w:firstLine="0" w:firstLineChars="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单位</w:t>
            </w:r>
          </w:p>
        </w:tc>
        <w:tc>
          <w:tcPr>
            <w:tcW w:w="1193" w:type="dxa"/>
            <w:tcBorders>
              <w:tl2br w:val="nil"/>
              <w:tr2bl w:val="nil"/>
            </w:tcBorders>
            <w:vAlign w:val="center"/>
          </w:tcPr>
          <w:p>
            <w:pPr>
              <w:spacing w:line="240" w:lineRule="auto"/>
              <w:ind w:firstLine="0" w:firstLineChars="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现状值</w:t>
            </w:r>
          </w:p>
        </w:tc>
        <w:tc>
          <w:tcPr>
            <w:tcW w:w="1597" w:type="dxa"/>
            <w:tcBorders>
              <w:tl2br w:val="nil"/>
              <w:tr2bl w:val="nil"/>
            </w:tcBorders>
            <w:vAlign w:val="center"/>
          </w:tcPr>
          <w:p>
            <w:pPr>
              <w:spacing w:line="240" w:lineRule="auto"/>
              <w:ind w:firstLine="0" w:firstLineChars="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目标值</w:t>
            </w:r>
          </w:p>
        </w:tc>
        <w:tc>
          <w:tcPr>
            <w:tcW w:w="1058" w:type="dxa"/>
            <w:tcBorders>
              <w:tl2br w:val="nil"/>
              <w:tr2bl w:val="nil"/>
            </w:tcBorders>
            <w:vAlign w:val="center"/>
          </w:tcPr>
          <w:p>
            <w:pPr>
              <w:spacing w:line="240" w:lineRule="auto"/>
              <w:ind w:firstLine="0" w:firstLineChars="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指标性质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0" w:hRule="atLeast"/>
        </w:trPr>
        <w:tc>
          <w:tcPr>
            <w:tcW w:w="931"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住房条件持续改善</w:t>
            </w:r>
          </w:p>
        </w:tc>
        <w:tc>
          <w:tcPr>
            <w:tcW w:w="3021" w:type="dxa"/>
            <w:tcBorders>
              <w:tl2br w:val="nil"/>
              <w:tr2bl w:val="nil"/>
            </w:tcBorders>
            <w:vAlign w:val="center"/>
          </w:tcPr>
          <w:p>
            <w:pPr>
              <w:spacing w:line="240" w:lineRule="auto"/>
              <w:ind w:firstLine="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城镇人均住房建筑面积</w:t>
            </w:r>
          </w:p>
        </w:tc>
        <w:tc>
          <w:tcPr>
            <w:tcW w:w="1060"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平方米</w:t>
            </w:r>
          </w:p>
        </w:tc>
        <w:tc>
          <w:tcPr>
            <w:tcW w:w="1193"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36</w:t>
            </w:r>
          </w:p>
        </w:tc>
        <w:tc>
          <w:tcPr>
            <w:tcW w:w="1597"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37.5</w:t>
            </w:r>
          </w:p>
        </w:tc>
        <w:tc>
          <w:tcPr>
            <w:tcW w:w="1058"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8" w:hRule="atLeast"/>
        </w:trPr>
        <w:tc>
          <w:tcPr>
            <w:tcW w:w="931" w:type="dxa"/>
            <w:vMerge w:val="restart"/>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市场运行平稳健康</w:t>
            </w:r>
          </w:p>
        </w:tc>
        <w:tc>
          <w:tcPr>
            <w:tcW w:w="3021" w:type="dxa"/>
            <w:tcBorders>
              <w:tl2br w:val="nil"/>
              <w:tr2bl w:val="nil"/>
            </w:tcBorders>
            <w:vAlign w:val="center"/>
          </w:tcPr>
          <w:p>
            <w:pPr>
              <w:spacing w:line="240" w:lineRule="auto"/>
              <w:ind w:firstLine="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商品住宅销售规模</w:t>
            </w:r>
          </w:p>
        </w:tc>
        <w:tc>
          <w:tcPr>
            <w:tcW w:w="1060" w:type="dxa"/>
            <w:tcBorders>
              <w:tl2br w:val="nil"/>
              <w:tr2bl w:val="nil"/>
            </w:tcBorders>
            <w:tcMar>
              <w:top w:w="15" w:type="dxa"/>
              <w:left w:w="15" w:type="dxa"/>
              <w:right w:w="15" w:type="dxa"/>
            </w:tcMar>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万平方米</w:t>
            </w:r>
          </w:p>
        </w:tc>
        <w:tc>
          <w:tcPr>
            <w:tcW w:w="1193"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年均158.3</w:t>
            </w:r>
          </w:p>
        </w:tc>
        <w:tc>
          <w:tcPr>
            <w:tcW w:w="1597"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年均160</w:t>
            </w:r>
          </w:p>
        </w:tc>
        <w:tc>
          <w:tcPr>
            <w:tcW w:w="1058"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5" w:hRule="atLeast"/>
        </w:trPr>
        <w:tc>
          <w:tcPr>
            <w:tcW w:w="931" w:type="dxa"/>
            <w:vMerge w:val="continue"/>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p>
        </w:tc>
        <w:tc>
          <w:tcPr>
            <w:tcW w:w="3021" w:type="dxa"/>
            <w:tcBorders>
              <w:tl2br w:val="nil"/>
              <w:tr2bl w:val="nil"/>
            </w:tcBorders>
            <w:vAlign w:val="center"/>
          </w:tcPr>
          <w:p>
            <w:pPr>
              <w:spacing w:line="240" w:lineRule="auto"/>
              <w:ind w:firstLine="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二手住宅</w:t>
            </w:r>
            <w:r>
              <w:rPr>
                <w:rFonts w:hint="eastAsia" w:ascii="仿宋" w:hAnsi="仿宋" w:eastAsia="仿宋" w:cs="仿宋"/>
                <w:color w:val="auto"/>
                <w:sz w:val="21"/>
                <w:szCs w:val="21"/>
                <w:highlight w:val="none"/>
                <w:lang w:val="en-US" w:eastAsia="zh-CN"/>
              </w:rPr>
              <w:t>在新建商品住宅和二手住宅交易总规模中</w:t>
            </w:r>
            <w:r>
              <w:rPr>
                <w:rFonts w:hint="eastAsia" w:ascii="仿宋" w:hAnsi="仿宋" w:eastAsia="仿宋" w:cs="仿宋"/>
                <w:color w:val="auto"/>
                <w:sz w:val="21"/>
                <w:szCs w:val="21"/>
                <w:highlight w:val="none"/>
              </w:rPr>
              <w:t>占比</w:t>
            </w:r>
          </w:p>
        </w:tc>
        <w:tc>
          <w:tcPr>
            <w:tcW w:w="1060" w:type="dxa"/>
            <w:tcBorders>
              <w:tl2br w:val="nil"/>
              <w:tr2bl w:val="nil"/>
            </w:tcBorders>
            <w:tcMar>
              <w:top w:w="15" w:type="dxa"/>
              <w:left w:w="15" w:type="dxa"/>
              <w:right w:w="15" w:type="dxa"/>
            </w:tcMar>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p>
        </w:tc>
        <w:tc>
          <w:tcPr>
            <w:tcW w:w="1193"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43</w:t>
            </w:r>
          </w:p>
        </w:tc>
        <w:tc>
          <w:tcPr>
            <w:tcW w:w="1597"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43</w:t>
            </w:r>
          </w:p>
        </w:tc>
        <w:tc>
          <w:tcPr>
            <w:tcW w:w="1058"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0" w:hRule="atLeast"/>
        </w:trPr>
        <w:tc>
          <w:tcPr>
            <w:tcW w:w="931" w:type="dxa"/>
            <w:vMerge w:val="restart"/>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住房保障更加健全</w:t>
            </w:r>
          </w:p>
        </w:tc>
        <w:tc>
          <w:tcPr>
            <w:tcW w:w="3021" w:type="dxa"/>
            <w:tcBorders>
              <w:tl2br w:val="nil"/>
              <w:tr2bl w:val="nil"/>
            </w:tcBorders>
            <w:vAlign w:val="center"/>
          </w:tcPr>
          <w:p>
            <w:pPr>
              <w:spacing w:line="240" w:lineRule="auto"/>
              <w:ind w:firstLine="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建设筹集保障性住房规模</w:t>
            </w:r>
          </w:p>
        </w:tc>
        <w:tc>
          <w:tcPr>
            <w:tcW w:w="1060"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万套/间</w:t>
            </w:r>
          </w:p>
        </w:tc>
        <w:tc>
          <w:tcPr>
            <w:tcW w:w="1193"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1.54</w:t>
            </w:r>
            <w:r>
              <w:rPr>
                <w:rFonts w:hint="eastAsia" w:ascii="仿宋" w:hAnsi="仿宋" w:eastAsia="仿宋" w:cs="仿宋"/>
                <w:color w:val="auto"/>
                <w:sz w:val="21"/>
                <w:szCs w:val="21"/>
                <w:highlight w:val="none"/>
                <w:lang w:eastAsia="zh-CN"/>
              </w:rPr>
              <w:t>〕</w:t>
            </w:r>
          </w:p>
        </w:tc>
        <w:tc>
          <w:tcPr>
            <w:tcW w:w="1597"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eastAsia="zh-CN"/>
              </w:rPr>
              <w:t>〕</w:t>
            </w:r>
          </w:p>
        </w:tc>
        <w:tc>
          <w:tcPr>
            <w:tcW w:w="1058"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0" w:hRule="atLeast"/>
        </w:trPr>
        <w:tc>
          <w:tcPr>
            <w:tcW w:w="931" w:type="dxa"/>
            <w:vMerge w:val="continue"/>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p>
        </w:tc>
        <w:tc>
          <w:tcPr>
            <w:tcW w:w="3021" w:type="dxa"/>
            <w:tcBorders>
              <w:tl2br w:val="nil"/>
              <w:tr2bl w:val="nil"/>
            </w:tcBorders>
            <w:vAlign w:val="center"/>
          </w:tcPr>
          <w:p>
            <w:pPr>
              <w:spacing w:line="240" w:lineRule="auto"/>
              <w:ind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bidi="ar"/>
              </w:rPr>
              <w:t>住房公积金实缴人数</w:t>
            </w:r>
          </w:p>
        </w:tc>
        <w:tc>
          <w:tcPr>
            <w:tcW w:w="1060"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万人</w:t>
            </w:r>
          </w:p>
        </w:tc>
        <w:tc>
          <w:tcPr>
            <w:tcW w:w="1193"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27.24</w:t>
            </w:r>
          </w:p>
        </w:tc>
        <w:tc>
          <w:tcPr>
            <w:tcW w:w="1597"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30</w:t>
            </w:r>
          </w:p>
        </w:tc>
        <w:tc>
          <w:tcPr>
            <w:tcW w:w="1058"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931" w:type="dxa"/>
            <w:vMerge w:val="restart"/>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住房与住区更新稳步实施</w:t>
            </w:r>
          </w:p>
        </w:tc>
        <w:tc>
          <w:tcPr>
            <w:tcW w:w="3021" w:type="dxa"/>
            <w:tcBorders>
              <w:tl2br w:val="nil"/>
              <w:tr2bl w:val="nil"/>
            </w:tcBorders>
            <w:vAlign w:val="center"/>
          </w:tcPr>
          <w:p>
            <w:pPr>
              <w:spacing w:line="240" w:lineRule="auto"/>
              <w:ind w:firstLine="0" w:firstLineChars="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新开工改造</w:t>
            </w:r>
            <w:r>
              <w:rPr>
                <w:rFonts w:hint="eastAsia" w:ascii="仿宋" w:hAnsi="仿宋" w:eastAsia="仿宋" w:cs="仿宋"/>
                <w:color w:val="auto"/>
                <w:sz w:val="21"/>
                <w:szCs w:val="21"/>
                <w:highlight w:val="none"/>
              </w:rPr>
              <w:t>城镇老旧小区</w:t>
            </w:r>
            <w:r>
              <w:rPr>
                <w:rFonts w:hint="eastAsia" w:ascii="仿宋" w:hAnsi="仿宋" w:eastAsia="仿宋" w:cs="仿宋"/>
                <w:color w:val="auto"/>
                <w:sz w:val="21"/>
                <w:szCs w:val="21"/>
                <w:highlight w:val="none"/>
                <w:lang w:val="en-US" w:eastAsia="zh-CN"/>
              </w:rPr>
              <w:t>数量</w:t>
            </w:r>
          </w:p>
        </w:tc>
        <w:tc>
          <w:tcPr>
            <w:tcW w:w="1060"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个</w:t>
            </w:r>
          </w:p>
        </w:tc>
        <w:tc>
          <w:tcPr>
            <w:tcW w:w="1193"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729</w:t>
            </w:r>
            <w:r>
              <w:rPr>
                <w:rFonts w:hint="eastAsia" w:ascii="仿宋" w:hAnsi="仿宋" w:eastAsia="仿宋" w:cs="仿宋"/>
                <w:color w:val="auto"/>
                <w:sz w:val="21"/>
                <w:szCs w:val="21"/>
                <w:highlight w:val="none"/>
                <w:lang w:eastAsia="zh-CN"/>
              </w:rPr>
              <w:t>〕</w:t>
            </w:r>
          </w:p>
        </w:tc>
        <w:tc>
          <w:tcPr>
            <w:tcW w:w="1597"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97</w:t>
            </w:r>
            <w:r>
              <w:rPr>
                <w:rFonts w:hint="eastAsia" w:ascii="仿宋" w:hAnsi="仿宋" w:eastAsia="仿宋" w:cs="仿宋"/>
                <w:color w:val="auto"/>
                <w:sz w:val="21"/>
                <w:szCs w:val="21"/>
                <w:highlight w:val="none"/>
                <w:lang w:eastAsia="zh-CN"/>
              </w:rPr>
              <w:t>〕</w:t>
            </w:r>
          </w:p>
        </w:tc>
        <w:tc>
          <w:tcPr>
            <w:tcW w:w="1058"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7" w:hRule="atLeast"/>
        </w:trPr>
        <w:tc>
          <w:tcPr>
            <w:tcW w:w="931" w:type="dxa"/>
            <w:vMerge w:val="continue"/>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p>
        </w:tc>
        <w:tc>
          <w:tcPr>
            <w:tcW w:w="3021" w:type="dxa"/>
            <w:tcBorders>
              <w:tl2br w:val="nil"/>
              <w:tr2bl w:val="nil"/>
            </w:tcBorders>
            <w:vAlign w:val="center"/>
          </w:tcPr>
          <w:p>
            <w:pPr>
              <w:spacing w:line="240" w:lineRule="auto"/>
              <w:ind w:firstLine="0" w:firstLineChars="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城</w:t>
            </w:r>
            <w:r>
              <w:rPr>
                <w:rFonts w:hint="eastAsia" w:ascii="仿宋" w:hAnsi="仿宋" w:eastAsia="仿宋" w:cs="仿宋"/>
                <w:color w:val="auto"/>
                <w:sz w:val="21"/>
                <w:szCs w:val="21"/>
                <w:highlight w:val="none"/>
                <w:lang w:val="en-US" w:eastAsia="zh-CN"/>
              </w:rPr>
              <w:t>镇</w:t>
            </w:r>
            <w:r>
              <w:rPr>
                <w:rFonts w:hint="eastAsia" w:ascii="仿宋" w:hAnsi="仿宋" w:eastAsia="仿宋" w:cs="仿宋"/>
                <w:color w:val="auto"/>
                <w:sz w:val="21"/>
                <w:szCs w:val="21"/>
                <w:highlight w:val="none"/>
              </w:rPr>
              <w:t>危旧房改造</w:t>
            </w:r>
            <w:r>
              <w:rPr>
                <w:rFonts w:hint="eastAsia" w:ascii="仿宋" w:hAnsi="仿宋" w:eastAsia="仿宋" w:cs="仿宋"/>
                <w:color w:val="auto"/>
                <w:sz w:val="21"/>
                <w:szCs w:val="21"/>
                <w:highlight w:val="none"/>
                <w:lang w:val="en-US" w:eastAsia="zh-CN"/>
              </w:rPr>
              <w:t>数量</w:t>
            </w:r>
          </w:p>
        </w:tc>
        <w:tc>
          <w:tcPr>
            <w:tcW w:w="1060"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套/间</w:t>
            </w:r>
          </w:p>
        </w:tc>
        <w:tc>
          <w:tcPr>
            <w:tcW w:w="1193"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p>
        </w:tc>
        <w:tc>
          <w:tcPr>
            <w:tcW w:w="1597"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实现d级</w:t>
            </w:r>
            <w:r>
              <w:rPr>
                <w:rFonts w:hint="eastAsia" w:ascii="仿宋" w:hAnsi="仿宋" w:eastAsia="仿宋" w:cs="仿宋"/>
                <w:color w:val="auto"/>
                <w:sz w:val="21"/>
                <w:szCs w:val="21"/>
                <w:highlight w:val="none"/>
                <w:lang w:val="en-US" w:eastAsia="zh-CN"/>
              </w:rPr>
              <w:t>危房</w:t>
            </w:r>
            <w:r>
              <w:rPr>
                <w:rFonts w:hint="eastAsia" w:ascii="仿宋" w:hAnsi="仿宋" w:eastAsia="仿宋" w:cs="仿宋"/>
                <w:color w:val="auto"/>
                <w:sz w:val="21"/>
                <w:szCs w:val="21"/>
                <w:highlight w:val="none"/>
              </w:rPr>
              <w:t>解危，有序推进其他</w:t>
            </w:r>
            <w:r>
              <w:rPr>
                <w:rFonts w:hint="eastAsia" w:ascii="仿宋" w:hAnsi="仿宋" w:eastAsia="仿宋" w:cs="仿宋"/>
                <w:color w:val="auto"/>
                <w:sz w:val="21"/>
                <w:szCs w:val="21"/>
                <w:highlight w:val="none"/>
                <w:lang w:val="en-US" w:eastAsia="zh-CN"/>
              </w:rPr>
              <w:t>危旧</w:t>
            </w:r>
            <w:r>
              <w:rPr>
                <w:rFonts w:hint="eastAsia" w:ascii="仿宋" w:hAnsi="仿宋" w:eastAsia="仿宋" w:cs="仿宋"/>
                <w:color w:val="auto"/>
                <w:sz w:val="21"/>
                <w:szCs w:val="21"/>
                <w:highlight w:val="none"/>
              </w:rPr>
              <w:t>房改造</w:t>
            </w:r>
          </w:p>
        </w:tc>
        <w:tc>
          <w:tcPr>
            <w:tcW w:w="1058"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0" w:hRule="atLeast"/>
        </w:trPr>
        <w:tc>
          <w:tcPr>
            <w:tcW w:w="931" w:type="dxa"/>
            <w:vMerge w:val="continue"/>
            <w:tcBorders>
              <w:tl2br w:val="nil"/>
              <w:tr2bl w:val="nil"/>
            </w:tcBorders>
            <w:vAlign w:val="center"/>
          </w:tcPr>
          <w:p>
            <w:pPr>
              <w:spacing w:line="240" w:lineRule="auto"/>
              <w:ind w:firstLine="0" w:firstLineChars="0"/>
              <w:rPr>
                <w:rFonts w:hint="eastAsia" w:ascii="仿宋" w:hAnsi="仿宋" w:eastAsia="仿宋" w:cs="仿宋"/>
                <w:color w:val="auto"/>
                <w:sz w:val="21"/>
                <w:szCs w:val="21"/>
                <w:highlight w:val="none"/>
              </w:rPr>
            </w:pPr>
          </w:p>
        </w:tc>
        <w:tc>
          <w:tcPr>
            <w:tcW w:w="3021" w:type="dxa"/>
            <w:tcBorders>
              <w:tl2br w:val="nil"/>
              <w:tr2bl w:val="nil"/>
            </w:tcBorders>
            <w:vAlign w:val="center"/>
          </w:tcPr>
          <w:p>
            <w:pPr>
              <w:spacing w:line="240" w:lineRule="auto"/>
              <w:ind w:firstLine="0" w:firstLineChars="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城中村改造</w:t>
            </w:r>
            <w:r>
              <w:rPr>
                <w:rFonts w:hint="eastAsia" w:ascii="仿宋" w:hAnsi="仿宋" w:eastAsia="仿宋" w:cs="仿宋"/>
                <w:color w:val="auto"/>
                <w:sz w:val="21"/>
                <w:szCs w:val="21"/>
                <w:highlight w:val="none"/>
                <w:lang w:val="en-US" w:eastAsia="zh-CN"/>
              </w:rPr>
              <w:t>数量</w:t>
            </w:r>
          </w:p>
        </w:tc>
        <w:tc>
          <w:tcPr>
            <w:tcW w:w="1060"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个</w:t>
            </w:r>
          </w:p>
        </w:tc>
        <w:tc>
          <w:tcPr>
            <w:tcW w:w="1193"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w:t>
            </w:r>
          </w:p>
        </w:tc>
        <w:tc>
          <w:tcPr>
            <w:tcW w:w="1597"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15</w:t>
            </w:r>
            <w:r>
              <w:rPr>
                <w:rFonts w:hint="eastAsia" w:ascii="仿宋" w:hAnsi="仿宋" w:eastAsia="仿宋" w:cs="仿宋"/>
                <w:color w:val="auto"/>
                <w:sz w:val="21"/>
                <w:szCs w:val="21"/>
                <w:highlight w:val="none"/>
                <w:lang w:eastAsia="zh-CN"/>
              </w:rPr>
              <w:t>〕</w:t>
            </w:r>
          </w:p>
        </w:tc>
        <w:tc>
          <w:tcPr>
            <w:tcW w:w="1058"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0" w:hRule="atLeast"/>
        </w:trPr>
        <w:tc>
          <w:tcPr>
            <w:tcW w:w="931" w:type="dxa"/>
            <w:vMerge w:val="restart"/>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“好房子”建设有序推进</w:t>
            </w:r>
          </w:p>
        </w:tc>
        <w:tc>
          <w:tcPr>
            <w:tcW w:w="3021" w:type="dxa"/>
            <w:tcBorders>
              <w:tl2br w:val="nil"/>
              <w:tr2bl w:val="nil"/>
            </w:tcBorders>
            <w:vAlign w:val="center"/>
          </w:tcPr>
          <w:p>
            <w:pPr>
              <w:spacing w:line="240" w:lineRule="auto"/>
              <w:ind w:firstLine="0" w:firstLineChars="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城镇</w:t>
            </w:r>
            <w:r>
              <w:rPr>
                <w:rFonts w:hint="eastAsia" w:ascii="仿宋" w:hAnsi="仿宋" w:eastAsia="仿宋" w:cs="仿宋"/>
                <w:color w:val="auto"/>
                <w:sz w:val="21"/>
                <w:szCs w:val="21"/>
                <w:highlight w:val="none"/>
              </w:rPr>
              <w:t>专业化物业服务覆盖率</w:t>
            </w:r>
          </w:p>
        </w:tc>
        <w:tc>
          <w:tcPr>
            <w:tcW w:w="1060"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p>
        </w:tc>
        <w:tc>
          <w:tcPr>
            <w:tcW w:w="1193"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99</w:t>
            </w:r>
          </w:p>
        </w:tc>
        <w:tc>
          <w:tcPr>
            <w:tcW w:w="1597"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≥9</w:t>
            </w:r>
            <w:r>
              <w:rPr>
                <w:rFonts w:hint="eastAsia" w:ascii="仿宋" w:hAnsi="仿宋" w:eastAsia="仿宋" w:cs="仿宋"/>
                <w:color w:val="auto"/>
                <w:sz w:val="21"/>
                <w:szCs w:val="21"/>
                <w:highlight w:val="none"/>
                <w:lang w:val="en-US" w:eastAsia="zh-CN"/>
              </w:rPr>
              <w:t>8</w:t>
            </w:r>
          </w:p>
        </w:tc>
        <w:tc>
          <w:tcPr>
            <w:tcW w:w="1058"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0" w:hRule="atLeast"/>
        </w:trPr>
        <w:tc>
          <w:tcPr>
            <w:tcW w:w="931" w:type="dxa"/>
            <w:vMerge w:val="continue"/>
            <w:tcBorders>
              <w:tl2br w:val="nil"/>
              <w:tr2bl w:val="nil"/>
            </w:tcBorders>
            <w:vAlign w:val="center"/>
          </w:tcPr>
          <w:p>
            <w:pPr>
              <w:spacing w:line="240" w:lineRule="auto"/>
              <w:ind w:firstLine="0" w:firstLineChars="0"/>
              <w:rPr>
                <w:rFonts w:hint="eastAsia" w:ascii="仿宋" w:hAnsi="仿宋" w:eastAsia="仿宋" w:cs="仿宋"/>
                <w:color w:val="auto"/>
                <w:sz w:val="21"/>
                <w:szCs w:val="21"/>
                <w:highlight w:val="none"/>
              </w:rPr>
            </w:pPr>
          </w:p>
        </w:tc>
        <w:tc>
          <w:tcPr>
            <w:tcW w:w="3021" w:type="dxa"/>
            <w:tcBorders>
              <w:tl2br w:val="nil"/>
              <w:tr2bl w:val="nil"/>
            </w:tcBorders>
            <w:vAlign w:val="center"/>
          </w:tcPr>
          <w:p>
            <w:pPr>
              <w:spacing w:line="240" w:lineRule="auto"/>
              <w:ind w:firstLine="0" w:firstLineChars="0"/>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rPr>
              <w:t>城镇互嵌式完整居住社区示范项目</w:t>
            </w:r>
          </w:p>
        </w:tc>
        <w:tc>
          <w:tcPr>
            <w:tcW w:w="1060"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个</w:t>
            </w:r>
          </w:p>
        </w:tc>
        <w:tc>
          <w:tcPr>
            <w:tcW w:w="1193"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p>
        </w:tc>
        <w:tc>
          <w:tcPr>
            <w:tcW w:w="1597"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shd w:val="clear" w:color="auto" w:fill="FFFFFF"/>
              </w:rPr>
              <w:t>至少1个</w:t>
            </w:r>
          </w:p>
        </w:tc>
        <w:tc>
          <w:tcPr>
            <w:tcW w:w="1058"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0" w:hRule="atLeast"/>
        </w:trPr>
        <w:tc>
          <w:tcPr>
            <w:tcW w:w="931" w:type="dxa"/>
            <w:vMerge w:val="continue"/>
            <w:tcBorders>
              <w:tl2br w:val="nil"/>
              <w:tr2bl w:val="nil"/>
            </w:tcBorders>
            <w:vAlign w:val="center"/>
          </w:tcPr>
          <w:p>
            <w:pPr>
              <w:spacing w:line="240" w:lineRule="auto"/>
              <w:ind w:firstLine="0" w:firstLineChars="0"/>
              <w:rPr>
                <w:rFonts w:hint="eastAsia" w:ascii="仿宋" w:hAnsi="仿宋" w:eastAsia="仿宋" w:cs="仿宋"/>
                <w:color w:val="auto"/>
                <w:sz w:val="21"/>
                <w:szCs w:val="21"/>
                <w:highlight w:val="none"/>
              </w:rPr>
            </w:pPr>
          </w:p>
        </w:tc>
        <w:tc>
          <w:tcPr>
            <w:tcW w:w="3021" w:type="dxa"/>
            <w:tcBorders>
              <w:tl2br w:val="nil"/>
              <w:tr2bl w:val="nil"/>
            </w:tcBorders>
            <w:vAlign w:val="center"/>
          </w:tcPr>
          <w:p>
            <w:pPr>
              <w:spacing w:line="240" w:lineRule="auto"/>
              <w:ind w:firstLine="0" w:firstLineChar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shd w:val="clear" w:color="auto" w:fill="FFFFFF"/>
              </w:rPr>
              <w:t>“好房子”示范</w:t>
            </w:r>
            <w:r>
              <w:rPr>
                <w:rFonts w:hint="eastAsia" w:ascii="仿宋" w:hAnsi="仿宋" w:eastAsia="仿宋" w:cs="仿宋"/>
                <w:color w:val="auto"/>
                <w:sz w:val="21"/>
                <w:szCs w:val="21"/>
                <w:highlight w:val="none"/>
                <w:shd w:val="clear" w:color="auto" w:fill="FFFFFF"/>
                <w:lang w:val="en-US" w:eastAsia="zh-CN"/>
              </w:rPr>
              <w:t>小区</w:t>
            </w:r>
          </w:p>
        </w:tc>
        <w:tc>
          <w:tcPr>
            <w:tcW w:w="1060"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个</w:t>
            </w:r>
          </w:p>
        </w:tc>
        <w:tc>
          <w:tcPr>
            <w:tcW w:w="1193"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p>
        </w:tc>
        <w:tc>
          <w:tcPr>
            <w:tcW w:w="1597"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0</w:t>
            </w:r>
            <w:r>
              <w:rPr>
                <w:rFonts w:hint="eastAsia" w:ascii="仿宋" w:hAnsi="仿宋" w:eastAsia="仿宋" w:cs="仿宋"/>
                <w:color w:val="auto"/>
                <w:sz w:val="21"/>
                <w:szCs w:val="21"/>
                <w:highlight w:val="none"/>
                <w:lang w:eastAsia="zh-CN"/>
              </w:rPr>
              <w:t>〕</w:t>
            </w:r>
          </w:p>
        </w:tc>
        <w:tc>
          <w:tcPr>
            <w:tcW w:w="1058" w:type="dxa"/>
            <w:tcBorders>
              <w:tl2br w:val="nil"/>
              <w:tr2bl w:val="nil"/>
            </w:tcBorders>
            <w:vAlign w:val="center"/>
          </w:tcPr>
          <w:p>
            <w:pPr>
              <w:spacing w:line="240" w:lineRule="auto"/>
              <w:ind w:firstLine="0" w:firstLine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预期性</w:t>
            </w:r>
          </w:p>
        </w:tc>
      </w:tr>
    </w:tbl>
    <w:p>
      <w:pPr>
        <w:spacing w:line="240" w:lineRule="auto"/>
        <w:ind w:firstLine="0" w:firstLineChars="0"/>
        <w:jc w:val="left"/>
        <w:rPr>
          <w:rFonts w:hint="eastAsia" w:ascii="仿宋" w:hAnsi="仿宋" w:eastAsia="仿宋" w:cs="仿宋"/>
          <w:color w:val="auto"/>
          <w:sz w:val="21"/>
          <w:szCs w:val="21"/>
          <w:highlight w:val="none"/>
        </w:rPr>
      </w:pPr>
      <w:bookmarkStart w:id="55" w:name="_Toc19987"/>
      <w:bookmarkStart w:id="56" w:name="_Toc19809"/>
      <w:bookmarkStart w:id="57" w:name="_Toc27796"/>
      <w:bookmarkStart w:id="58" w:name="_Toc6270"/>
      <w:bookmarkStart w:id="59" w:name="_Toc17043"/>
      <w:bookmarkStart w:id="60" w:name="_Toc95230943"/>
      <w:bookmarkStart w:id="61" w:name="_Toc27398"/>
      <w:bookmarkStart w:id="62" w:name="_Toc10033"/>
      <w:r>
        <w:rPr>
          <w:rFonts w:hint="eastAsia" w:ascii="仿宋" w:hAnsi="仿宋" w:eastAsia="仿宋" w:cs="仿宋"/>
          <w:color w:val="auto"/>
          <w:sz w:val="21"/>
          <w:szCs w:val="21"/>
          <w:highlight w:val="none"/>
        </w:rPr>
        <w:t>注：</w:t>
      </w:r>
      <w:r>
        <w:rPr>
          <w:rFonts w:hint="eastAsia" w:ascii="仿宋" w:hAnsi="仿宋" w:eastAsia="仿宋" w:cs="仿宋"/>
          <w:color w:val="auto"/>
          <w:kern w:val="0"/>
          <w:sz w:val="21"/>
          <w:szCs w:val="21"/>
          <w:highlight w:val="none"/>
        </w:rPr>
        <w:t>〔〕</w:t>
      </w:r>
      <w:r>
        <w:rPr>
          <w:rFonts w:hint="eastAsia" w:ascii="仿宋" w:hAnsi="仿宋" w:eastAsia="仿宋" w:cs="仿宋"/>
          <w:color w:val="auto"/>
          <w:kern w:val="0"/>
          <w:sz w:val="21"/>
          <w:szCs w:val="21"/>
          <w:highlight w:val="none"/>
          <w:lang w:val="en-US" w:eastAsia="zh-CN"/>
        </w:rPr>
        <w:t>内为5年累计数。</w:t>
      </w:r>
    </w:p>
    <w:p>
      <w:pPr>
        <w:pStyle w:val="6"/>
        <w:rPr>
          <w:rFonts w:hint="eastAsia" w:ascii="仿宋" w:hAnsi="仿宋" w:eastAsia="仿宋" w:cs="仿宋"/>
          <w:color w:val="auto"/>
          <w:highlight w:val="none"/>
        </w:rPr>
      </w:pPr>
      <w:r>
        <w:rPr>
          <w:rFonts w:hint="eastAsia" w:ascii="仿宋" w:hAnsi="仿宋" w:eastAsia="仿宋" w:cs="仿宋"/>
          <w:color w:val="auto"/>
          <w:highlight w:val="none"/>
        </w:rPr>
        <w:br w:type="page"/>
      </w:r>
      <w:bookmarkStart w:id="63" w:name="_Toc15888"/>
      <w:bookmarkStart w:id="64" w:name="_Toc4759"/>
      <w:r>
        <w:rPr>
          <w:rFonts w:hint="eastAsia" w:ascii="仿宋" w:hAnsi="仿宋" w:eastAsia="仿宋" w:cs="仿宋"/>
          <w:color w:val="auto"/>
          <w:highlight w:val="none"/>
        </w:rPr>
        <w:t>重点任务</w:t>
      </w:r>
      <w:bookmarkEnd w:id="55"/>
      <w:bookmarkEnd w:id="56"/>
      <w:bookmarkEnd w:id="57"/>
      <w:bookmarkEnd w:id="58"/>
      <w:bookmarkEnd w:id="59"/>
      <w:bookmarkEnd w:id="60"/>
      <w:bookmarkEnd w:id="61"/>
      <w:bookmarkEnd w:id="62"/>
      <w:bookmarkEnd w:id="63"/>
      <w:bookmarkEnd w:id="64"/>
    </w:p>
    <w:p>
      <w:pPr>
        <w:pStyle w:val="7"/>
        <w:numPr>
          <w:ilvl w:val="1"/>
          <w:numId w:val="5"/>
        </w:numPr>
        <w:rPr>
          <w:rFonts w:hint="eastAsia" w:ascii="仿宋" w:hAnsi="仿宋" w:eastAsia="仿宋" w:cs="仿宋"/>
          <w:color w:val="auto"/>
          <w:highlight w:val="none"/>
        </w:rPr>
      </w:pPr>
      <w:bookmarkStart w:id="65" w:name="_Toc16041"/>
      <w:bookmarkStart w:id="66" w:name="_Toc10616"/>
      <w:r>
        <w:rPr>
          <w:rFonts w:hint="eastAsia" w:ascii="仿宋" w:hAnsi="仿宋" w:eastAsia="仿宋" w:cs="仿宋"/>
          <w:color w:val="auto"/>
          <w:highlight w:val="none"/>
        </w:rPr>
        <w:t>促进多样化商品住房消费</w:t>
      </w:r>
      <w:bookmarkEnd w:id="65"/>
      <w:bookmarkEnd w:id="66"/>
    </w:p>
    <w:p>
      <w:pPr>
        <w:pStyle w:val="8"/>
        <w:ind w:firstLine="643"/>
        <w:rPr>
          <w:rFonts w:hint="eastAsia" w:ascii="仿宋" w:hAnsi="仿宋" w:eastAsia="仿宋" w:cs="仿宋"/>
          <w:color w:val="auto"/>
          <w:highlight w:val="none"/>
        </w:rPr>
      </w:pPr>
      <w:r>
        <w:rPr>
          <w:rFonts w:hint="eastAsia" w:ascii="仿宋" w:hAnsi="仿宋" w:eastAsia="仿宋" w:cs="仿宋"/>
          <w:color w:val="auto"/>
          <w:highlight w:val="none"/>
        </w:rPr>
        <w:t>一、优化商品住房产品供给</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适度增加改善型住宅</w:t>
      </w:r>
      <w:r>
        <w:rPr>
          <w:rFonts w:hint="eastAsia" w:ascii="仿宋" w:hAnsi="仿宋" w:eastAsia="仿宋" w:cs="仿宋"/>
          <w:b/>
          <w:bCs/>
          <w:color w:val="auto"/>
          <w:highlight w:val="none"/>
          <w:lang w:val="en-US" w:eastAsia="zh-CN"/>
        </w:rPr>
        <w:t>产品</w:t>
      </w:r>
      <w:r>
        <w:rPr>
          <w:rFonts w:hint="eastAsia" w:ascii="仿宋" w:hAnsi="仿宋" w:eastAsia="仿宋" w:cs="仿宋"/>
          <w:b/>
          <w:bCs/>
          <w:color w:val="auto"/>
          <w:highlight w:val="none"/>
        </w:rPr>
        <w:t>供应。</w:t>
      </w:r>
      <w:r>
        <w:rPr>
          <w:rFonts w:hint="eastAsia" w:ascii="仿宋" w:hAnsi="仿宋" w:eastAsia="仿宋" w:cs="仿宋"/>
          <w:color w:val="auto"/>
          <w:highlight w:val="none"/>
        </w:rPr>
        <w:t>以提升住宅品质为目标，释放改善型住房消费潜力，助力各族群众实现“住有优居”。优化户型设计、提升住宅设计舒适度。重点在景观资源优越、配套设施完善、交通区位便利的区域，优先打造高品质改善型住宅板块。优化住宅地块容积率、建筑密度、建筑高度等规划设计条件，鼓励花园洋房、多层住宅为主的低密度住宅形态，加强高品质住区配套建设，构建“物业服务+生活服务”模式。同时，严守土地政策红线，严禁建造私家庄园，严禁集体经营性建设用地入市土地用作商品住房开发。</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因地制宜开发刚改型住宅。</w:t>
      </w:r>
      <w:r>
        <w:rPr>
          <w:rFonts w:hint="eastAsia" w:ascii="仿宋" w:hAnsi="仿宋" w:eastAsia="仿宋" w:cs="仿宋"/>
          <w:color w:val="auto"/>
          <w:highlight w:val="none"/>
        </w:rPr>
        <w:t>结合各城区发展特点和各族群众需求差异，聚焦新婚家庭等核心客群，兼顾实用性和舒适性，因地制宜开发刚改型住宅产品。</w:t>
      </w:r>
      <w:r>
        <w:rPr>
          <w:rFonts w:hint="eastAsia" w:ascii="仿宋" w:hAnsi="仿宋" w:eastAsia="仿宋" w:cs="仿宋"/>
          <w:color w:val="auto"/>
          <w:highlight w:val="none"/>
          <w:lang w:val="en-US"/>
        </w:rPr>
        <w:t>重点开发中小户型、低总价刚改型住宅</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住宅类型以现代简约中等强度住宅、高品质公寓等为主</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适配当地气候条件，优化户型设计、提高空间利用率，完善</w:t>
      </w:r>
      <w:r>
        <w:rPr>
          <w:rFonts w:hint="eastAsia" w:ascii="仿宋" w:hAnsi="仿宋" w:eastAsia="仿宋" w:cs="仿宋"/>
          <w:color w:val="auto"/>
          <w:highlight w:val="none"/>
          <w:lang w:val="en-US" w:eastAsia="zh-CN"/>
        </w:rPr>
        <w:t>公共服务</w:t>
      </w:r>
      <w:r>
        <w:rPr>
          <w:rFonts w:hint="eastAsia" w:ascii="仿宋" w:hAnsi="仿宋" w:eastAsia="仿宋" w:cs="仿宋"/>
          <w:color w:val="auto"/>
          <w:highlight w:val="none"/>
        </w:rPr>
        <w:t>设施。注重小区绿化与公共空间设计，营造温馨的居住氛围</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引入智能门禁、社区智慧服务平台等技术，为居民提供便捷、安全的居住体验。</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培育特色</w:t>
      </w:r>
      <w:r>
        <w:rPr>
          <w:rFonts w:hint="eastAsia" w:ascii="仿宋" w:hAnsi="仿宋" w:eastAsia="仿宋" w:cs="仿宋"/>
          <w:b/>
          <w:bCs/>
          <w:color w:val="auto"/>
          <w:highlight w:val="none"/>
          <w:lang w:val="en-US" w:eastAsia="zh-CN"/>
        </w:rPr>
        <w:t>旅居</w:t>
      </w:r>
      <w:r>
        <w:rPr>
          <w:rFonts w:hint="eastAsia" w:ascii="仿宋" w:hAnsi="仿宋" w:eastAsia="仿宋" w:cs="仿宋"/>
          <w:b/>
          <w:bCs/>
          <w:color w:val="auto"/>
          <w:highlight w:val="none"/>
        </w:rPr>
        <w:t>产品。</w:t>
      </w:r>
      <w:r>
        <w:rPr>
          <w:rFonts w:hint="eastAsia" w:ascii="仿宋" w:hAnsi="仿宋" w:eastAsia="仿宋" w:cs="仿宋"/>
          <w:color w:val="auto"/>
          <w:highlight w:val="none"/>
        </w:rPr>
        <w:t>推动文旅产业与房地产业深度融合，依托喀什古城、高台民居等独具民族特色的文化旅游资源，打造喀什古城特色度假民宿、高台民居</w:t>
      </w:r>
      <w:r>
        <w:rPr>
          <w:rFonts w:hint="eastAsia" w:ascii="仿宋" w:hAnsi="仿宋" w:eastAsia="仿宋" w:cs="仿宋"/>
          <w:color w:val="auto"/>
          <w:highlight w:val="none"/>
          <w:lang w:val="en-US" w:eastAsia="zh-CN"/>
        </w:rPr>
        <w:t>旅居产品</w:t>
      </w:r>
      <w:r>
        <w:rPr>
          <w:rFonts w:hint="eastAsia" w:ascii="仿宋" w:hAnsi="仿宋" w:eastAsia="仿宋" w:cs="仿宋"/>
          <w:color w:val="auto"/>
          <w:highlight w:val="none"/>
        </w:rPr>
        <w:t>、喀什新城</w:t>
      </w:r>
      <w:r>
        <w:rPr>
          <w:rFonts w:hint="eastAsia" w:ascii="仿宋" w:hAnsi="仿宋" w:eastAsia="仿宋" w:cs="仿宋"/>
          <w:color w:val="auto"/>
          <w:highlight w:val="none"/>
          <w:lang w:val="en-US" w:eastAsia="zh-CN"/>
        </w:rPr>
        <w:t>旅居产品等</w:t>
      </w:r>
      <w:r>
        <w:rPr>
          <w:rFonts w:hint="eastAsia" w:ascii="仿宋" w:hAnsi="仿宋" w:eastAsia="仿宋" w:cs="仿宋"/>
          <w:color w:val="auto"/>
          <w:highlight w:val="none"/>
        </w:rPr>
        <w:t>板块，结合优质</w:t>
      </w:r>
      <w:r>
        <w:rPr>
          <w:rFonts w:hint="eastAsia" w:ascii="仿宋" w:hAnsi="仿宋" w:eastAsia="仿宋" w:cs="仿宋"/>
          <w:color w:val="auto"/>
          <w:highlight w:val="none"/>
          <w:lang w:val="en-US" w:eastAsia="zh-CN"/>
        </w:rPr>
        <w:t>景观资源</w:t>
      </w:r>
      <w:r>
        <w:rPr>
          <w:rFonts w:hint="eastAsia" w:ascii="仿宋" w:hAnsi="仿宋" w:eastAsia="仿宋" w:cs="仿宋"/>
          <w:color w:val="auto"/>
          <w:highlight w:val="none"/>
        </w:rPr>
        <w:t>建设租赁型公寓、服务式公寓</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打造兼具居住、休闲、度假、康养、民族文化体验等功能的多元化产品。支持塔什库尔干塔吉克自治县、莎车县等特色文旅县发展旅游地产、康养地产等业态，并与乡村风貌保护、民宿发展相结合，严控建设规模和风貌。</w:t>
      </w:r>
    </w:p>
    <w:p>
      <w:pPr>
        <w:pStyle w:val="8"/>
        <w:ind w:firstLine="643"/>
        <w:rPr>
          <w:rFonts w:hint="eastAsia" w:ascii="仿宋" w:hAnsi="仿宋" w:eastAsia="仿宋" w:cs="仿宋"/>
          <w:color w:val="auto"/>
          <w:highlight w:val="none"/>
        </w:rPr>
      </w:pPr>
      <w:r>
        <w:rPr>
          <w:rFonts w:hint="eastAsia" w:ascii="仿宋" w:hAnsi="仿宋" w:eastAsia="仿宋" w:cs="仿宋"/>
          <w:color w:val="auto"/>
          <w:highlight w:val="none"/>
        </w:rPr>
        <w:t>二、优化落实房地产支持政策</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鼓励发放住房补贴，推进住房“以旧换新”。</w:t>
      </w:r>
      <w:r>
        <w:rPr>
          <w:rFonts w:hint="eastAsia" w:ascii="仿宋" w:hAnsi="仿宋" w:eastAsia="仿宋" w:cs="仿宋"/>
          <w:color w:val="auto"/>
          <w:highlight w:val="none"/>
        </w:rPr>
        <w:t>坚持因县（市）施策，在确保财政可持续的前提下，鼓励县市探索实施购房补贴政策，</w:t>
      </w:r>
      <w:r>
        <w:rPr>
          <w:rFonts w:hint="eastAsia" w:ascii="仿宋" w:hAnsi="仿宋" w:eastAsia="仿宋" w:cs="仿宋"/>
          <w:color w:val="auto"/>
          <w:szCs w:val="32"/>
          <w:highlight w:val="none"/>
        </w:rPr>
        <w:t>给予贷款购房贴息和全款购房消费券补助</w:t>
      </w:r>
      <w:r>
        <w:rPr>
          <w:rFonts w:hint="eastAsia" w:ascii="仿宋" w:hAnsi="仿宋" w:eastAsia="仿宋" w:cs="仿宋"/>
          <w:color w:val="auto"/>
          <w:highlight w:val="none"/>
        </w:rPr>
        <w:t>。</w:t>
      </w:r>
      <w:r>
        <w:rPr>
          <w:rFonts w:hint="eastAsia" w:ascii="仿宋" w:hAnsi="仿宋" w:eastAsia="仿宋" w:cs="仿宋"/>
          <w:color w:val="auto"/>
          <w:szCs w:val="32"/>
          <w:highlight w:val="none"/>
        </w:rPr>
        <w:t>鼓励各地开展二手房“以旧换新”活动，严格落实税费优惠政策，降低二手房买卖成本，</w:t>
      </w:r>
      <w:r>
        <w:rPr>
          <w:rFonts w:hint="eastAsia" w:ascii="仿宋" w:hAnsi="仿宋" w:eastAsia="仿宋" w:cs="仿宋"/>
          <w:color w:val="auto"/>
          <w:highlight w:val="none"/>
        </w:rPr>
        <w:t>满足刚性住房需求，释放改善性住房需求</w:t>
      </w:r>
      <w:r>
        <w:rPr>
          <w:rFonts w:hint="eastAsia" w:ascii="仿宋" w:hAnsi="仿宋" w:eastAsia="仿宋" w:cs="仿宋"/>
          <w:color w:val="auto"/>
          <w:szCs w:val="32"/>
          <w:highlight w:val="none"/>
        </w:rPr>
        <w:t>。</w:t>
      </w:r>
      <w:r>
        <w:rPr>
          <w:rFonts w:hint="eastAsia" w:ascii="仿宋" w:hAnsi="仿宋" w:eastAsia="仿宋" w:cs="仿宋"/>
          <w:color w:val="auto"/>
          <w:highlight w:val="none"/>
        </w:rPr>
        <w:t>鼓励房地产经纪机构通过合理降低居间服务费用等措施促进商品房成交，</w:t>
      </w:r>
      <w:r>
        <w:rPr>
          <w:rFonts w:hint="eastAsia" w:ascii="仿宋" w:hAnsi="仿宋" w:eastAsia="仿宋" w:cs="仿宋"/>
          <w:color w:val="auto"/>
          <w:szCs w:val="32"/>
          <w:highlight w:val="none"/>
        </w:rPr>
        <w:t>拓展“以旧换新”业务，规范中介服务与市场监管</w:t>
      </w:r>
      <w:r>
        <w:rPr>
          <w:rFonts w:hint="eastAsia" w:ascii="仿宋" w:hAnsi="仿宋" w:eastAsia="仿宋" w:cs="仿宋"/>
          <w:color w:val="auto"/>
          <w:highlight w:val="none"/>
        </w:rPr>
        <w:t>。</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引导开展促销活动，活跃市场氛围。</w:t>
      </w:r>
      <w:r>
        <w:rPr>
          <w:rFonts w:hint="eastAsia" w:ascii="仿宋" w:hAnsi="仿宋" w:eastAsia="仿宋" w:cs="仿宋"/>
          <w:color w:val="auto"/>
          <w:highlight w:val="none"/>
        </w:rPr>
        <w:t>联合社会力量办好房交会，发挥房地产协会等行业协会的作用，指导各县市举办线上线下房交会等活动，引导房地产企业积极开展营销活动。支持科研机构、产业园区、大中专院校、企事业单位等通过团购商品住</w:t>
      </w:r>
      <w:r>
        <w:rPr>
          <w:rFonts w:hint="eastAsia" w:ascii="仿宋" w:hAnsi="仿宋" w:eastAsia="仿宋" w:cs="仿宋"/>
          <w:color w:val="auto"/>
          <w:highlight w:val="none"/>
          <w:lang w:val="en-US"/>
        </w:rPr>
        <w:t>房</w:t>
      </w:r>
      <w:r>
        <w:rPr>
          <w:rFonts w:hint="eastAsia" w:ascii="仿宋" w:hAnsi="仿宋" w:eastAsia="仿宋" w:cs="仿宋"/>
          <w:color w:val="auto"/>
          <w:highlight w:val="none"/>
        </w:rPr>
        <w:t>等方式，集中解决职工住房问题。</w:t>
      </w:r>
    </w:p>
    <w:p>
      <w:pPr>
        <w:ind w:firstLine="643"/>
        <w:rPr>
          <w:rFonts w:hint="eastAsia" w:ascii="仿宋" w:hAnsi="仿宋" w:eastAsia="仿宋" w:cs="仿宋"/>
          <w:color w:val="auto"/>
          <w:szCs w:val="32"/>
          <w:highlight w:val="none"/>
        </w:rPr>
      </w:pPr>
      <w:r>
        <w:rPr>
          <w:rFonts w:hint="eastAsia" w:ascii="仿宋" w:hAnsi="仿宋" w:eastAsia="仿宋" w:cs="仿宋"/>
          <w:b/>
          <w:bCs/>
          <w:color w:val="auto"/>
          <w:highlight w:val="none"/>
        </w:rPr>
        <w:t>积极减轻企业负担，完善服务机制。</w:t>
      </w:r>
      <w:r>
        <w:rPr>
          <w:rFonts w:hint="eastAsia" w:ascii="仿宋" w:hAnsi="仿宋" w:eastAsia="仿宋" w:cs="仿宋"/>
          <w:color w:val="auto"/>
          <w:highlight w:val="none"/>
        </w:rPr>
        <w:t>严格落实税费优惠政策，减轻配套建设等支出。建立地区重点房地产项目清单跟踪服务相关机制，推进项目的建设发展。</w:t>
      </w:r>
    </w:p>
    <w:p>
      <w:pPr>
        <w:pStyle w:val="8"/>
        <w:ind w:firstLine="643"/>
        <w:rPr>
          <w:rFonts w:hint="eastAsia" w:ascii="仿宋" w:hAnsi="仿宋" w:eastAsia="仿宋" w:cs="仿宋"/>
          <w:color w:val="auto"/>
          <w:highlight w:val="none"/>
        </w:rPr>
      </w:pPr>
      <w:r>
        <w:rPr>
          <w:rFonts w:hint="eastAsia" w:ascii="仿宋" w:hAnsi="仿宋" w:eastAsia="仿宋" w:cs="仿宋"/>
          <w:color w:val="auto"/>
          <w:highlight w:val="none"/>
        </w:rPr>
        <w:t>三、培育住房租赁市场</w:t>
      </w:r>
    </w:p>
    <w:p>
      <w:pPr>
        <w:spacing w:line="580" w:lineRule="exact"/>
        <w:ind w:firstLine="643"/>
        <w:rPr>
          <w:rFonts w:hint="eastAsia" w:ascii="仿宋" w:hAnsi="仿宋" w:eastAsia="仿宋" w:cs="仿宋"/>
          <w:color w:val="auto"/>
          <w:szCs w:val="24"/>
          <w:highlight w:val="none"/>
        </w:rPr>
      </w:pPr>
      <w:r>
        <w:rPr>
          <w:rFonts w:hint="eastAsia" w:ascii="仿宋" w:hAnsi="仿宋" w:eastAsia="仿宋" w:cs="仿宋"/>
          <w:b/>
          <w:bCs/>
          <w:color w:val="auto"/>
          <w:szCs w:val="24"/>
          <w:highlight w:val="none"/>
        </w:rPr>
        <w:t>精准适配不同类型租房群体居住需要。</w:t>
      </w:r>
      <w:r>
        <w:rPr>
          <w:rFonts w:hint="eastAsia" w:ascii="仿宋" w:hAnsi="仿宋" w:eastAsia="仿宋" w:cs="仿宋"/>
          <w:color w:val="auto"/>
          <w:szCs w:val="24"/>
          <w:highlight w:val="none"/>
        </w:rPr>
        <w:t>针对新就业大学生、外来务工人员等不同消费能力群体，以及高校学生、青年人才、育儿家庭、独立居住老人等不同年龄阶段群体，提供户型多样、层次适配、居住稳定的租赁住房；同时结合本地文化与生态旅游资源，发展特色旅游度假租赁住房，促进“租赁+旅游”融合发展。</w:t>
      </w:r>
    </w:p>
    <w:p>
      <w:pPr>
        <w:ind w:firstLine="643"/>
        <w:rPr>
          <w:rFonts w:hint="eastAsia" w:ascii="仿宋" w:hAnsi="仿宋" w:eastAsia="仿宋" w:cs="仿宋"/>
          <w:color w:val="auto"/>
          <w:szCs w:val="24"/>
          <w:highlight w:val="none"/>
        </w:rPr>
      </w:pPr>
      <w:r>
        <w:rPr>
          <w:rFonts w:hint="eastAsia" w:ascii="仿宋" w:hAnsi="仿宋" w:eastAsia="仿宋" w:cs="仿宋"/>
          <w:b/>
          <w:bCs/>
          <w:color w:val="auto"/>
          <w:szCs w:val="24"/>
          <w:highlight w:val="none"/>
        </w:rPr>
        <w:t>加强租赁市场服务监管。</w:t>
      </w:r>
      <w:r>
        <w:rPr>
          <w:rFonts w:hint="eastAsia" w:ascii="仿宋" w:hAnsi="仿宋" w:eastAsia="仿宋" w:cs="仿宋"/>
          <w:color w:val="auto"/>
          <w:highlight w:val="none"/>
        </w:rPr>
        <w:t>适时推动《商品房租赁管理办法》的制定，规范市场秩序。依托智慧住房管理服务平台，集成房源登记、合同备案等功能，</w:t>
      </w:r>
      <w:r>
        <w:rPr>
          <w:rFonts w:hint="eastAsia" w:ascii="仿宋" w:hAnsi="仿宋" w:eastAsia="仿宋" w:cs="仿宋"/>
          <w:color w:val="auto"/>
          <w:highlight w:val="none"/>
          <w:lang w:val="en-US" w:eastAsia="zh-CN"/>
        </w:rPr>
        <w:t>研究</w:t>
      </w:r>
      <w:r>
        <w:rPr>
          <w:rFonts w:hint="eastAsia" w:ascii="仿宋" w:hAnsi="仿宋" w:eastAsia="仿宋" w:cs="仿宋"/>
          <w:color w:val="auto"/>
          <w:highlight w:val="none"/>
        </w:rPr>
        <w:t>建立租金动态监测机制，实现智慧化监管</w:t>
      </w:r>
      <w:r>
        <w:rPr>
          <w:rFonts w:hint="eastAsia" w:ascii="仿宋" w:hAnsi="仿宋" w:eastAsia="仿宋" w:cs="仿宋"/>
          <w:color w:val="auto"/>
          <w:szCs w:val="24"/>
          <w:highlight w:val="none"/>
        </w:rPr>
        <w:t>。</w:t>
      </w:r>
    </w:p>
    <w:p>
      <w:pPr>
        <w:ind w:firstLine="643"/>
        <w:rPr>
          <w:rFonts w:hint="eastAsia" w:ascii="仿宋" w:hAnsi="仿宋" w:eastAsia="仿宋" w:cs="仿宋"/>
          <w:color w:val="auto"/>
          <w:highlight w:val="none"/>
        </w:rPr>
      </w:pPr>
      <w:r>
        <w:rPr>
          <w:rFonts w:hint="eastAsia" w:ascii="仿宋" w:hAnsi="仿宋" w:eastAsia="仿宋" w:cs="仿宋"/>
          <w:b/>
          <w:bCs/>
          <w:color w:val="auto"/>
          <w:szCs w:val="24"/>
          <w:highlight w:val="none"/>
        </w:rPr>
        <w:t>培育市场化、专业化住房租赁运营机构。</w:t>
      </w:r>
      <w:r>
        <w:rPr>
          <w:rFonts w:hint="eastAsia" w:ascii="仿宋" w:hAnsi="仿宋" w:eastAsia="仿宋" w:cs="仿宋"/>
          <w:color w:val="auto"/>
          <w:highlight w:val="none"/>
        </w:rPr>
        <w:t>鼓励国有企业自主或联合社会机构开展租赁住房建设、经营与服务，支持国有、民营及混合所有制企业将住房租赁纳入经营范畴。推动房企从单一商品房开发销售，向自持租赁住房的运营模式转型。</w:t>
      </w:r>
    </w:p>
    <w:p>
      <w:pPr>
        <w:pStyle w:val="8"/>
        <w:ind w:firstLine="643"/>
        <w:rPr>
          <w:rFonts w:hint="eastAsia" w:ascii="仿宋" w:hAnsi="仿宋" w:eastAsia="仿宋" w:cs="仿宋"/>
          <w:color w:val="auto"/>
          <w:highlight w:val="none"/>
        </w:rPr>
      </w:pPr>
      <w:r>
        <w:rPr>
          <w:rFonts w:hint="eastAsia" w:ascii="仿宋" w:hAnsi="仿宋" w:eastAsia="仿宋" w:cs="仿宋"/>
          <w:color w:val="auto"/>
          <w:highlight w:val="none"/>
        </w:rPr>
        <w:t>四、强化市场监管和风险化解</w:t>
      </w:r>
    </w:p>
    <w:p>
      <w:pPr>
        <w:spacing w:line="620" w:lineRule="exact"/>
        <w:ind w:firstLine="643"/>
        <w:rPr>
          <w:rFonts w:hint="eastAsia" w:ascii="仿宋" w:hAnsi="仿宋" w:eastAsia="仿宋" w:cs="仿宋"/>
          <w:bCs/>
          <w:color w:val="auto"/>
          <w:kern w:val="0"/>
          <w:szCs w:val="30"/>
          <w:highlight w:val="none"/>
        </w:rPr>
      </w:pPr>
      <w:r>
        <w:rPr>
          <w:rFonts w:hint="eastAsia" w:ascii="仿宋" w:hAnsi="仿宋" w:eastAsia="仿宋" w:cs="仿宋"/>
          <w:b/>
          <w:color w:val="auto"/>
          <w:kern w:val="0"/>
          <w:szCs w:val="30"/>
          <w:highlight w:val="none"/>
        </w:rPr>
        <w:t>建立商品房库存与交付预警机制。</w:t>
      </w:r>
      <w:r>
        <w:rPr>
          <w:rFonts w:hint="eastAsia" w:ascii="仿宋" w:hAnsi="仿宋" w:eastAsia="仿宋" w:cs="仿宋"/>
          <w:bCs/>
          <w:color w:val="auto"/>
          <w:kern w:val="0"/>
          <w:szCs w:val="30"/>
          <w:highlight w:val="none"/>
        </w:rPr>
        <w:t>持续监控市场去化周期，适时调整供地策略，将房地产去化周期与住房空置率控制在合理范围。对存在延期交付风险的项目提前介入。</w:t>
      </w:r>
    </w:p>
    <w:p>
      <w:pPr>
        <w:spacing w:line="620" w:lineRule="exact"/>
        <w:ind w:firstLine="643"/>
        <w:rPr>
          <w:rFonts w:hint="eastAsia" w:ascii="仿宋" w:hAnsi="仿宋" w:eastAsia="仿宋" w:cs="仿宋"/>
          <w:bCs/>
          <w:color w:val="auto"/>
          <w:kern w:val="0"/>
          <w:szCs w:val="30"/>
          <w:highlight w:val="none"/>
        </w:rPr>
      </w:pPr>
      <w:r>
        <w:rPr>
          <w:rFonts w:hint="eastAsia" w:ascii="仿宋" w:hAnsi="仿宋" w:eastAsia="仿宋" w:cs="仿宋"/>
          <w:b/>
          <w:color w:val="auto"/>
          <w:kern w:val="0"/>
          <w:szCs w:val="30"/>
          <w:highlight w:val="none"/>
        </w:rPr>
        <w:t>落实房地产融资协调机制。</w:t>
      </w:r>
      <w:r>
        <w:rPr>
          <w:rFonts w:hint="eastAsia" w:ascii="仿宋" w:hAnsi="仿宋" w:eastAsia="仿宋" w:cs="仿宋"/>
          <w:bCs/>
          <w:color w:val="auto"/>
          <w:kern w:val="0"/>
          <w:szCs w:val="30"/>
          <w:highlight w:val="none"/>
        </w:rPr>
        <w:t>确保合规项目“应贷尽贷”，不盲目抽贷、断贷、压贷，一视同仁支持在建项目合理融资需求。常态化开展房地产项目摸排和动态监测，及时更新项目库，对有融资需求的项目逐一进行筛选。</w:t>
      </w:r>
    </w:p>
    <w:p>
      <w:pPr>
        <w:spacing w:line="620" w:lineRule="exact"/>
        <w:ind w:firstLine="643"/>
        <w:rPr>
          <w:rFonts w:hint="eastAsia" w:ascii="仿宋" w:hAnsi="仿宋" w:eastAsia="仿宋" w:cs="仿宋"/>
          <w:color w:val="auto"/>
          <w:highlight w:val="none"/>
        </w:rPr>
      </w:pPr>
      <w:r>
        <w:rPr>
          <w:rFonts w:hint="eastAsia" w:ascii="仿宋" w:hAnsi="仿宋" w:eastAsia="仿宋" w:cs="仿宋"/>
          <w:b/>
          <w:color w:val="auto"/>
          <w:kern w:val="0"/>
          <w:szCs w:val="30"/>
          <w:highlight w:val="none"/>
        </w:rPr>
        <w:t>分类施策推动商品房去库存。</w:t>
      </w:r>
      <w:r>
        <w:rPr>
          <w:rFonts w:hint="eastAsia" w:ascii="仿宋" w:hAnsi="仿宋" w:eastAsia="仿宋" w:cs="仿宋"/>
          <w:color w:val="auto"/>
          <w:highlight w:val="none"/>
        </w:rPr>
        <w:t>对于已建成的存量商品住房，支持地方政府因地制宜收购用作保障性住房、城中村改造安置房等。对于在建未售商品房项目，</w:t>
      </w:r>
      <w:r>
        <w:rPr>
          <w:rFonts w:hint="eastAsia" w:ascii="仿宋" w:hAnsi="仿宋" w:eastAsia="仿宋" w:cs="仿宋"/>
          <w:bCs/>
          <w:color w:val="auto"/>
          <w:kern w:val="0"/>
          <w:szCs w:val="30"/>
          <w:highlight w:val="none"/>
        </w:rPr>
        <w:t>支持企业在不改变用地性质和容积率的前提下调整优化未建住宅户型。完善土地二级市场，提升流通效率，支持预告登记、带押过户等业务，盘活存量土地资源。对</w:t>
      </w:r>
      <w:r>
        <w:rPr>
          <w:rFonts w:hint="eastAsia" w:ascii="仿宋" w:hAnsi="仿宋" w:eastAsia="仿宋" w:cs="仿宋"/>
          <w:color w:val="auto"/>
          <w:szCs w:val="32"/>
          <w:highlight w:val="none"/>
        </w:rPr>
        <w:t>已供未动工</w:t>
      </w:r>
      <w:r>
        <w:rPr>
          <w:rFonts w:hint="eastAsia" w:ascii="仿宋" w:hAnsi="仿宋" w:eastAsia="仿宋" w:cs="仿宋"/>
          <w:bCs/>
          <w:color w:val="auto"/>
          <w:kern w:val="0"/>
          <w:szCs w:val="30"/>
          <w:highlight w:val="none"/>
        </w:rPr>
        <w:t>的房地产用地，</w:t>
      </w:r>
      <w:r>
        <w:rPr>
          <w:rFonts w:hint="eastAsia" w:ascii="仿宋" w:hAnsi="仿宋" w:eastAsia="仿宋" w:cs="仿宋"/>
          <w:color w:val="auto"/>
          <w:szCs w:val="24"/>
          <w:highlight w:val="none"/>
        </w:rPr>
        <w:t>通过督促加快开发、促进市场流通转让、支持政府收回收购等多种方式处置</w:t>
      </w:r>
      <w:r>
        <w:rPr>
          <w:rFonts w:hint="eastAsia" w:ascii="仿宋" w:hAnsi="仿宋" w:eastAsia="仿宋" w:cs="仿宋"/>
          <w:bCs/>
          <w:color w:val="auto"/>
          <w:kern w:val="0"/>
          <w:szCs w:val="30"/>
          <w:highlight w:val="none"/>
        </w:rPr>
        <w:t>。</w:t>
      </w:r>
    </w:p>
    <w:p>
      <w:pPr>
        <w:pStyle w:val="7"/>
        <w:rPr>
          <w:rFonts w:hint="eastAsia" w:ascii="仿宋" w:hAnsi="仿宋" w:eastAsia="仿宋" w:cs="仿宋"/>
          <w:color w:val="auto"/>
          <w:highlight w:val="none"/>
        </w:rPr>
      </w:pPr>
      <w:bookmarkStart w:id="67" w:name="_Toc3272"/>
      <w:bookmarkStart w:id="68" w:name="_Toc15534"/>
      <w:bookmarkStart w:id="69" w:name="_Toc13129"/>
      <w:bookmarkStart w:id="70" w:name="_Toc26569"/>
      <w:bookmarkStart w:id="71" w:name="_Toc12577"/>
      <w:bookmarkStart w:id="72" w:name="_Toc3849"/>
      <w:r>
        <w:rPr>
          <w:rFonts w:hint="eastAsia" w:ascii="仿宋" w:hAnsi="仿宋" w:eastAsia="仿宋" w:cs="仿宋"/>
          <w:color w:val="auto"/>
          <w:highlight w:val="none"/>
        </w:rPr>
        <w:t>提高保障性住房品质与运营管理水平</w:t>
      </w:r>
      <w:bookmarkEnd w:id="67"/>
      <w:bookmarkEnd w:id="68"/>
    </w:p>
    <w:bookmarkEnd w:id="69"/>
    <w:bookmarkEnd w:id="70"/>
    <w:bookmarkEnd w:id="71"/>
    <w:bookmarkEnd w:id="72"/>
    <w:p>
      <w:pPr>
        <w:pStyle w:val="8"/>
        <w:numPr>
          <w:ilvl w:val="0"/>
          <w:numId w:val="0"/>
        </w:numPr>
        <w:ind w:left="640" w:leftChars="200"/>
        <w:rPr>
          <w:rFonts w:hint="eastAsia" w:ascii="仿宋" w:hAnsi="仿宋" w:eastAsia="仿宋" w:cs="仿宋"/>
          <w:color w:val="auto"/>
          <w:highlight w:val="none"/>
        </w:rPr>
      </w:pPr>
      <w:bookmarkStart w:id="73" w:name="OLE_LINK44"/>
      <w:bookmarkStart w:id="74" w:name="_Toc20762"/>
      <w:bookmarkStart w:id="75" w:name="_Toc32574"/>
      <w:bookmarkStart w:id="76" w:name="_Toc20897"/>
      <w:bookmarkStart w:id="77" w:name="_Toc95230950"/>
      <w:bookmarkStart w:id="78" w:name="_Toc12303"/>
      <w:bookmarkStart w:id="79" w:name="_Toc20979"/>
      <w:bookmarkStart w:id="80" w:name="_Toc6917"/>
      <w:bookmarkStart w:id="81" w:name="_Toc30986"/>
      <w:r>
        <w:rPr>
          <w:rFonts w:hint="eastAsia" w:ascii="仿宋" w:hAnsi="仿宋" w:eastAsia="仿宋" w:cs="仿宋"/>
          <w:color w:val="auto"/>
          <w:highlight w:val="none"/>
        </w:rPr>
        <w:t>一、合理安排保障性住房供应空间</w:t>
      </w:r>
      <w:bookmarkEnd w:id="73"/>
    </w:p>
    <w:p>
      <w:pPr>
        <w:ind w:firstLine="643"/>
        <w:rPr>
          <w:rFonts w:hint="eastAsia" w:ascii="仿宋" w:hAnsi="仿宋" w:eastAsia="仿宋" w:cs="仿宋"/>
          <w:color w:val="auto"/>
          <w:highlight w:val="none"/>
          <w:lang w:val="en-US" w:eastAsia="zh-CN"/>
        </w:rPr>
      </w:pPr>
      <w:r>
        <w:rPr>
          <w:rFonts w:hint="eastAsia" w:ascii="仿宋" w:hAnsi="仿宋" w:eastAsia="仿宋" w:cs="仿宋"/>
          <w:b/>
          <w:bCs/>
          <w:color w:val="auto"/>
          <w:highlight w:val="none"/>
        </w:rPr>
        <w:t>优化保障性住房的选址布局。</w:t>
      </w:r>
      <w:r>
        <w:rPr>
          <w:rFonts w:hint="eastAsia" w:ascii="仿宋" w:hAnsi="仿宋" w:eastAsia="仿宋" w:cs="仿宋"/>
          <w:color w:val="auto"/>
          <w:highlight w:val="none"/>
        </w:rPr>
        <w:t>坚持“职住平衡、以需定建”的原则，综合考量产业发展、区域需求以及交通、公共服务配套等因素，围绕重点产业平台、高等院校周边筹集建设保障性租赁住房，重点在喀什老城、喀什新城等区域布局。</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探索盘活存量房屋资源的“非改租”路径。</w:t>
      </w:r>
      <w:r>
        <w:rPr>
          <w:rFonts w:hint="eastAsia" w:ascii="仿宋" w:hAnsi="仿宋" w:eastAsia="仿宋" w:cs="仿宋"/>
          <w:color w:val="auto"/>
          <w:highlight w:val="none"/>
        </w:rPr>
        <w:t>鼓励利用闲置和低效利用的商业办公、旅馆、厂房、仓储、科研教育等非居住存量房屋改建为保障性租赁住房，拓展保障性租赁住房供应渠道，提升存量资产价值和使用效率。</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二、提升存量保障性住房品质</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改善既有保障性住房社区服务配套。</w:t>
      </w:r>
      <w:r>
        <w:rPr>
          <w:rFonts w:hint="eastAsia" w:ascii="仿宋" w:hAnsi="仿宋" w:eastAsia="仿宋" w:cs="仿宋"/>
          <w:color w:val="auto"/>
          <w:highlight w:val="none"/>
        </w:rPr>
        <w:t>重点补齐</w:t>
      </w:r>
      <w:bookmarkStart w:id="82" w:name="OLE_LINK9"/>
      <w:r>
        <w:rPr>
          <w:rFonts w:hint="eastAsia" w:ascii="仿宋" w:hAnsi="仿宋" w:eastAsia="仿宋" w:cs="仿宋"/>
          <w:color w:val="auto"/>
          <w:highlight w:val="none"/>
        </w:rPr>
        <w:t>喀什老城城区北部、喀什新城城区外围、县城外围区域保障性住房项目的15分钟生活圈配套设施，完善托育、停车、医疗卫生、养老等公服设施配套。改善</w:t>
      </w:r>
      <w:r>
        <w:rPr>
          <w:rFonts w:hint="eastAsia" w:ascii="仿宋" w:hAnsi="仿宋" w:eastAsia="仿宋" w:cs="仿宋"/>
          <w:color w:val="auto"/>
          <w:highlight w:val="none"/>
          <w:lang w:val="en-US" w:eastAsia="zh-CN"/>
        </w:rPr>
        <w:t>重点产业园区</w:t>
      </w:r>
      <w:r>
        <w:rPr>
          <w:rFonts w:hint="eastAsia" w:ascii="仿宋" w:hAnsi="仿宋" w:eastAsia="仿宋" w:cs="仿宋"/>
          <w:color w:val="auto"/>
          <w:highlight w:val="none"/>
        </w:rPr>
        <w:t>内保障性住房项目周边的公共服务设施配套，适当增补生活服务、便民商业等设施。</w:t>
      </w:r>
      <w:bookmarkEnd w:id="82"/>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提升存量公租房的居住品质。</w:t>
      </w:r>
      <w:r>
        <w:rPr>
          <w:rFonts w:hint="eastAsia" w:ascii="仿宋" w:hAnsi="仿宋" w:eastAsia="仿宋" w:cs="仿宋"/>
          <w:color w:val="auto"/>
          <w:highlight w:val="none"/>
        </w:rPr>
        <w:t>推动公租房社区整体提质，对建成早、面积小、品质差的社区逐步梳理排查，开展更新改造，重点开展结构加固、消防设施更新、市政管网更新、公共空间再造、停车设施优化等方面改造。针对重点人群开展有针对性的改造</w:t>
      </w:r>
      <w:r>
        <w:rPr>
          <w:rFonts w:hint="eastAsia" w:ascii="仿宋" w:hAnsi="仿宋" w:eastAsia="仿宋" w:cs="仿宋"/>
          <w:color w:val="auto"/>
          <w:highlight w:val="none"/>
          <w:lang w:eastAsia="zh-CN"/>
        </w:rPr>
        <w:t>，针</w:t>
      </w:r>
      <w:r>
        <w:rPr>
          <w:rFonts w:hint="eastAsia" w:ascii="仿宋" w:hAnsi="仿宋" w:eastAsia="仿宋" w:cs="仿宋"/>
          <w:color w:val="auto"/>
          <w:highlight w:val="none"/>
        </w:rPr>
        <w:t>对14岁及以下人口比重较高的公租房社区，</w:t>
      </w:r>
      <w:r>
        <w:rPr>
          <w:rFonts w:hint="eastAsia" w:ascii="仿宋" w:hAnsi="仿宋" w:eastAsia="仿宋" w:cs="仿宋"/>
          <w:color w:val="auto"/>
          <w:highlight w:val="none"/>
          <w:lang w:val="en-US" w:eastAsia="zh-CN"/>
        </w:rPr>
        <w:t>研究</w:t>
      </w:r>
      <w:r>
        <w:rPr>
          <w:rFonts w:hint="eastAsia" w:ascii="仿宋" w:hAnsi="仿宋" w:eastAsia="仿宋" w:cs="仿宋"/>
          <w:color w:val="auto"/>
          <w:highlight w:val="none"/>
        </w:rPr>
        <w:t>开展适儿化改造，积极挖潜盘活低效利用空间，打造中心广场、儿童乐园、活动场地等，推进儿童友好社区建设。</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改善保障性租赁住房的入住条件。</w:t>
      </w:r>
      <w:r>
        <w:rPr>
          <w:rFonts w:hint="eastAsia" w:ascii="仿宋" w:hAnsi="仿宋" w:eastAsia="仿宋" w:cs="仿宋"/>
          <w:color w:val="auto"/>
          <w:highlight w:val="none"/>
        </w:rPr>
        <w:t>挑选区位优势明显、交通便利且周边配套设施完善的保障性租赁住房项目作为试点，在简装的基础上，充分考虑新市民、青年人的实际需求，升级配置家具家电，实现并推广“拎包入住”。</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三、提高保障性住房运营管理和服务水平</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积极实施政府购买公租房运营管理服务。</w:t>
      </w:r>
      <w:r>
        <w:rPr>
          <w:rFonts w:hint="eastAsia" w:ascii="仿宋" w:hAnsi="仿宋" w:eastAsia="仿宋" w:cs="仿宋"/>
          <w:color w:val="auto"/>
          <w:highlight w:val="none"/>
        </w:rPr>
        <w:t>逐步推广政府购买保障性住房运营管理服务。建立委托公租房运营管理服务绩效考核机制，切实提升保障性住房运营管理专业化、规范化水平，增强群众满意度。</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健全公租房准入、使用、退出管理。</w:t>
      </w:r>
      <w:r>
        <w:rPr>
          <w:rFonts w:hint="eastAsia" w:ascii="仿宋" w:hAnsi="仿宋" w:eastAsia="仿宋" w:cs="仿宋"/>
          <w:color w:val="auto"/>
          <w:highlight w:val="none"/>
        </w:rPr>
        <w:t>加强资格审查，规范信息公开，增强配租工作透明度和公平公开度。优化公租房轮候与配租规则，将家庭人数及构成等纳入轮候排序或综合评分的因素，加强对初婚初育家庭、多子女家庭的住房保障。完善调换政策，对因家庭人口增加、就业、子女就学等原因需要调换公租房的，根据房源情况及时调换。严格退出管理，提升退出管理效率。</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优化公租房保障方式，提升保障精准度。</w:t>
      </w:r>
      <w:r>
        <w:rPr>
          <w:rFonts w:hint="eastAsia" w:ascii="仿宋" w:hAnsi="仿宋" w:eastAsia="仿宋" w:cs="仿宋"/>
          <w:color w:val="auto"/>
          <w:highlight w:val="none"/>
        </w:rPr>
        <w:t>根据保障对象的收入情况，建立科学合理的租金分档机制，制定并实施阶梯式租金标准，对不同收入水平的家庭或个人实行差别化的租金管理，确保公租房资源能够更加精准地分配给真正需要的人群，提高保障效率，促进社会公平与和谐发展。</w:t>
      </w:r>
    </w:p>
    <w:p>
      <w:pPr>
        <w:pStyle w:val="7"/>
        <w:rPr>
          <w:rFonts w:hint="eastAsia" w:ascii="仿宋" w:hAnsi="仿宋" w:eastAsia="仿宋" w:cs="仿宋"/>
          <w:color w:val="auto"/>
          <w:highlight w:val="none"/>
        </w:rPr>
      </w:pPr>
      <w:bookmarkStart w:id="83" w:name="_Toc29280"/>
      <w:bookmarkStart w:id="84" w:name="_Toc2028"/>
      <w:r>
        <w:rPr>
          <w:rFonts w:hint="eastAsia" w:ascii="仿宋" w:hAnsi="仿宋" w:eastAsia="仿宋" w:cs="仿宋"/>
          <w:color w:val="auto"/>
          <w:highlight w:val="none"/>
          <w:lang w:val="en-US" w:eastAsia="zh-CN"/>
        </w:rPr>
        <w:t>实施</w:t>
      </w:r>
      <w:r>
        <w:rPr>
          <w:rFonts w:hint="eastAsia" w:ascii="仿宋" w:hAnsi="仿宋" w:eastAsia="仿宋" w:cs="仿宋"/>
          <w:color w:val="auto"/>
          <w:highlight w:val="none"/>
        </w:rPr>
        <w:t>既有住房与住区更新改造</w:t>
      </w:r>
      <w:bookmarkEnd w:id="83"/>
      <w:bookmarkEnd w:id="84"/>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一、</w:t>
      </w:r>
      <w:bookmarkStart w:id="85" w:name="OLE_LINK20"/>
      <w:r>
        <w:rPr>
          <w:rFonts w:hint="eastAsia" w:ascii="仿宋" w:hAnsi="仿宋" w:eastAsia="仿宋" w:cs="仿宋"/>
          <w:color w:val="auto"/>
          <w:highlight w:val="none"/>
        </w:rPr>
        <w:t>常态化开展城镇老旧小区改造</w:t>
      </w:r>
      <w:bookmarkEnd w:id="85"/>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结合城市体检结果，推进老旧小区改造。</w:t>
      </w:r>
      <w:r>
        <w:rPr>
          <w:rFonts w:hint="eastAsia" w:ascii="仿宋" w:hAnsi="仿宋" w:eastAsia="仿宋" w:cs="仿宋"/>
          <w:color w:val="auto"/>
          <w:highlight w:val="none"/>
        </w:rPr>
        <w:t>在完成2000年底前建成的需改造城镇老旧小区改造任务基础上，稳步将建成满20年、有需求的其他小区纳入政策范围。在住房和小区（社区）维度体检结果基础上，摸清需改造小区底数，根据老旧住房占比、居民意愿协商程度等因素，合理确定街道改造优先级和项目筛选机制。优化改造内容确定流程与机制，重点推进基础类改造，全力消除安全隐患，着力保障居住安全；按照尽力而为、量力而行原则，推进完善类和提升类改造，整治小区及周边环境，完善小区停车、充电、消防、通信等配套基础设施，增设助餐、家政等公共服务设施。</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补齐短板、以点带面、循序渐进推进完整社区建设。</w:t>
      </w:r>
      <w:r>
        <w:rPr>
          <w:rFonts w:hint="eastAsia" w:ascii="仿宋" w:hAnsi="仿宋" w:eastAsia="仿宋" w:cs="仿宋"/>
          <w:color w:val="auto"/>
          <w:highlight w:val="none"/>
        </w:rPr>
        <w:t>鼓励现状基础条件良好的街道先行选取试点建设完整社区。补短板、强弱项，提升公共设施和服务能力</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围绕“一老一小”需求，加强适老化、适儿化改造，建设全龄友好社区。综合教育设施覆盖与14岁及以下人口空间分布情况，重点推进教育设施完善；综合养老设施覆盖与60岁及以上人口空间分布情况，重点推进养老设施完善。强化公共服务，推进5分钟、10分钟、15分钟生活圈建设。</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二、稳步推进城中村改造</w:t>
      </w:r>
    </w:p>
    <w:p>
      <w:pPr>
        <w:ind w:firstLine="643"/>
        <w:rPr>
          <w:rFonts w:hint="eastAsia" w:ascii="仿宋" w:hAnsi="仿宋" w:eastAsia="仿宋" w:cs="仿宋"/>
          <w:color w:val="auto"/>
          <w:highlight w:val="none"/>
        </w:rPr>
      </w:pPr>
      <w:r>
        <w:rPr>
          <w:rFonts w:hint="eastAsia" w:ascii="仿宋" w:hAnsi="仿宋" w:eastAsia="仿宋" w:cs="仿宋"/>
          <w:b/>
          <w:bCs/>
          <w:color w:val="auto"/>
          <w:szCs w:val="24"/>
          <w:highlight w:val="none"/>
        </w:rPr>
        <w:t>分类施策推进城中村改造。</w:t>
      </w:r>
      <w:r>
        <w:rPr>
          <w:rFonts w:hint="eastAsia" w:ascii="仿宋" w:hAnsi="仿宋" w:eastAsia="仿宋" w:cs="仿宋"/>
          <w:color w:val="auto"/>
          <w:szCs w:val="24"/>
          <w:highlight w:val="none"/>
        </w:rPr>
        <w:t>“一村一策”采取拆除新建、整治提升、拆整结合等方式实施改造，切实消除安全风险隐患，改善居住条件和生活环境。加快实施群众改造意愿强烈、城市资金能平衡、征收补偿方案成熟的城中村拆改造项目。对不具备拆除新建条件的城中村，采取局部修缮加固、功能转换、质量提升、建筑节能改造、环境综合整治、完善配套公共服务设施和基础设施等方式开展经常性整治提升。严格落实“一项目两方案”，切实保障群众合法权益，坚决避免新增地方政府债务风险。进一步健全征收制度，</w:t>
      </w:r>
      <w:r>
        <w:rPr>
          <w:rFonts w:hint="eastAsia" w:ascii="仿宋" w:hAnsi="仿宋" w:eastAsia="仿宋" w:cs="仿宋"/>
          <w:color w:val="auto"/>
          <w:szCs w:val="24"/>
          <w:highlight w:val="none"/>
          <w:lang w:val="en-US" w:eastAsia="zh-CN"/>
        </w:rPr>
        <w:t>根据</w:t>
      </w:r>
      <w:r>
        <w:rPr>
          <w:rFonts w:hint="eastAsia" w:ascii="仿宋" w:hAnsi="仿宋" w:eastAsia="仿宋" w:cs="仿宋"/>
          <w:color w:val="auto"/>
          <w:szCs w:val="24"/>
          <w:highlight w:val="none"/>
        </w:rPr>
        <w:t>房地产发展形势，合理安排拆迁安置方式，稳妥推进城中村改造货币化安置</w:t>
      </w:r>
      <w:r>
        <w:rPr>
          <w:rFonts w:hint="eastAsia" w:ascii="仿宋" w:hAnsi="仿宋" w:eastAsia="仿宋" w:cs="仿宋"/>
          <w:color w:val="auto"/>
          <w:szCs w:val="24"/>
          <w:highlight w:val="none"/>
          <w:lang w:eastAsia="zh-CN"/>
        </w:rPr>
        <w:t>，</w:t>
      </w:r>
      <w:r>
        <w:rPr>
          <w:rFonts w:hint="eastAsia" w:ascii="仿宋" w:hAnsi="仿宋" w:eastAsia="仿宋" w:cs="仿宋"/>
          <w:color w:val="auto"/>
          <w:highlight w:val="none"/>
        </w:rPr>
        <w:t>结合实际选择有利于多民族和谐聚居的拆迁安置方式</w:t>
      </w:r>
      <w:r>
        <w:rPr>
          <w:rFonts w:hint="eastAsia" w:ascii="仿宋" w:hAnsi="仿宋" w:eastAsia="仿宋" w:cs="仿宋"/>
          <w:color w:val="auto"/>
          <w:szCs w:val="24"/>
          <w:highlight w:val="none"/>
        </w:rPr>
        <w:t>。</w:t>
      </w:r>
      <w:r>
        <w:rPr>
          <w:rFonts w:hint="eastAsia" w:ascii="仿宋" w:hAnsi="仿宋" w:eastAsia="仿宋" w:cs="仿宋"/>
          <w:color w:val="auto"/>
          <w:highlight w:val="none"/>
        </w:rPr>
        <w:t>积极推进喀什市中心城区城中村改造项目，有序推进莎车县城中村（危旧房）改造项目。</w:t>
      </w:r>
    </w:p>
    <w:p>
      <w:pPr>
        <w:ind w:firstLine="643"/>
        <w:rPr>
          <w:rFonts w:hint="eastAsia" w:ascii="仿宋" w:hAnsi="仿宋" w:eastAsia="仿宋" w:cs="仿宋"/>
          <w:color w:val="auto"/>
          <w:szCs w:val="24"/>
          <w:highlight w:val="none"/>
        </w:rPr>
      </w:pPr>
      <w:r>
        <w:rPr>
          <w:rFonts w:hint="eastAsia" w:ascii="仿宋" w:hAnsi="仿宋" w:eastAsia="仿宋" w:cs="仿宋"/>
          <w:b/>
          <w:bCs/>
          <w:color w:val="auto"/>
          <w:szCs w:val="24"/>
          <w:highlight w:val="none"/>
        </w:rPr>
        <w:t>统筹考虑产业转型发展需求。</w:t>
      </w:r>
      <w:r>
        <w:rPr>
          <w:rFonts w:hint="eastAsia" w:ascii="仿宋" w:hAnsi="仿宋" w:eastAsia="仿宋" w:cs="仿宋"/>
          <w:color w:val="auto"/>
          <w:szCs w:val="24"/>
          <w:highlight w:val="none"/>
        </w:rPr>
        <w:t>坚持异地迁移与就地改造相结合，保障产业用地需求或配置一定比例的产业用房。通过功能重塑与文化赋能，培育特色文创、餐饮民宿</w:t>
      </w:r>
      <w:r>
        <w:rPr>
          <w:rFonts w:hint="eastAsia" w:ascii="仿宋" w:hAnsi="仿宋" w:eastAsia="仿宋" w:cs="仿宋"/>
          <w:color w:val="auto"/>
          <w:szCs w:val="24"/>
          <w:highlight w:val="none"/>
          <w:lang w:eastAsia="zh-CN"/>
        </w:rPr>
        <w:t>、</w:t>
      </w:r>
      <w:r>
        <w:rPr>
          <w:rFonts w:hint="eastAsia" w:ascii="仿宋" w:hAnsi="仿宋" w:eastAsia="仿宋" w:cs="仿宋"/>
          <w:color w:val="auto"/>
          <w:szCs w:val="24"/>
          <w:highlight w:val="none"/>
          <w:lang w:val="en-US" w:eastAsia="zh-CN"/>
        </w:rPr>
        <w:t>商贸物流、便民服务</w:t>
      </w:r>
      <w:r>
        <w:rPr>
          <w:rFonts w:hint="eastAsia" w:ascii="仿宋" w:hAnsi="仿宋" w:eastAsia="仿宋" w:cs="仿宋"/>
          <w:color w:val="auto"/>
          <w:szCs w:val="24"/>
          <w:highlight w:val="none"/>
        </w:rPr>
        <w:t>等产业，激发夜间经济新动能</w:t>
      </w:r>
      <w:r>
        <w:rPr>
          <w:rFonts w:hint="eastAsia" w:ascii="仿宋" w:hAnsi="仿宋" w:eastAsia="仿宋" w:cs="仿宋"/>
          <w:color w:val="auto"/>
          <w:szCs w:val="24"/>
          <w:highlight w:val="none"/>
          <w:lang w:eastAsia="zh-CN"/>
        </w:rPr>
        <w:t>，</w:t>
      </w:r>
      <w:r>
        <w:rPr>
          <w:rFonts w:hint="eastAsia" w:ascii="仿宋" w:hAnsi="仿宋" w:eastAsia="仿宋" w:cs="仿宋"/>
          <w:color w:val="auto"/>
          <w:highlight w:val="none"/>
        </w:rPr>
        <w:t>通过更新盘活存量空间，吸引多元化群体入住就业，推动互嵌式社会结构优化和社区环境提升</w:t>
      </w:r>
      <w:r>
        <w:rPr>
          <w:rFonts w:hint="eastAsia" w:ascii="仿宋" w:hAnsi="仿宋" w:eastAsia="仿宋" w:cs="仿宋"/>
          <w:color w:val="auto"/>
          <w:szCs w:val="24"/>
          <w:highlight w:val="none"/>
        </w:rPr>
        <w:t>。</w:t>
      </w:r>
      <w:r>
        <w:rPr>
          <w:rFonts w:hint="eastAsia" w:ascii="仿宋" w:hAnsi="仿宋" w:eastAsia="仿宋" w:cs="仿宋"/>
          <w:color w:val="auto"/>
          <w:highlight w:val="none"/>
        </w:rPr>
        <w:t>结合文旅融合发展需求，对位于城区边缘、具有历史文化遗存、特色风貌的城中村，实施保护性开发与文旅融合改造。</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加强历史风貌保护。</w:t>
      </w:r>
      <w:r>
        <w:rPr>
          <w:rFonts w:hint="eastAsia" w:ascii="仿宋" w:hAnsi="仿宋" w:eastAsia="仿宋" w:cs="仿宋"/>
          <w:color w:val="auto"/>
          <w:szCs w:val="24"/>
          <w:highlight w:val="none"/>
        </w:rPr>
        <w:t>做好历史文化风貌保护前期工作，</w:t>
      </w:r>
      <w:r>
        <w:rPr>
          <w:rFonts w:hint="eastAsia" w:ascii="仿宋" w:hAnsi="仿宋" w:eastAsia="仿宋" w:cs="仿宋"/>
          <w:color w:val="auto"/>
          <w:highlight w:val="none"/>
        </w:rPr>
        <w:t>对具有历史价值的建筑，采取修缮、加固等保护措施，保留其原有风貌；拆除新建项目应注重与周边历史环境相协调，延续城市历史文脉。</w:t>
      </w:r>
    </w:p>
    <w:p>
      <w:pPr>
        <w:ind w:firstLine="643"/>
        <w:rPr>
          <w:rFonts w:hint="eastAsia" w:ascii="仿宋" w:hAnsi="仿宋" w:eastAsia="仿宋" w:cs="仿宋"/>
          <w:color w:val="auto"/>
          <w:szCs w:val="24"/>
          <w:highlight w:val="none"/>
          <w:lang w:eastAsia="zh-CN"/>
        </w:rPr>
      </w:pPr>
      <w:r>
        <w:rPr>
          <w:rFonts w:hint="eastAsia" w:ascii="仿宋" w:hAnsi="仿宋" w:eastAsia="仿宋" w:cs="仿宋"/>
          <w:b/>
          <w:bCs/>
          <w:color w:val="auto"/>
          <w:szCs w:val="24"/>
          <w:highlight w:val="none"/>
        </w:rPr>
        <w:t>倡导城中村改造与保障性租赁住房供给有机结合。</w:t>
      </w:r>
      <w:r>
        <w:rPr>
          <w:rFonts w:hint="eastAsia" w:ascii="仿宋" w:hAnsi="仿宋" w:eastAsia="仿宋" w:cs="仿宋"/>
          <w:color w:val="auto"/>
          <w:szCs w:val="24"/>
          <w:highlight w:val="none"/>
        </w:rPr>
        <w:t>考虑外来人口居住权益，提倡包容性改造，鼓励通过收储小户型安置房、改造民房集中出租等方式，筹集保障性租赁住房，促进城市功能的有机更新与协调发展。</w:t>
      </w:r>
      <w:r>
        <w:rPr>
          <w:rFonts w:hint="eastAsia" w:ascii="仿宋" w:hAnsi="仿宋" w:eastAsia="仿宋" w:cs="仿宋"/>
          <w:color w:val="auto"/>
          <w:highlight w:val="none"/>
        </w:rPr>
        <w:t>房源优先面向符合互嵌居住导向的轮候人群</w:t>
      </w:r>
      <w:r>
        <w:rPr>
          <w:rFonts w:hint="eastAsia" w:ascii="仿宋" w:hAnsi="仿宋" w:eastAsia="仿宋" w:cs="仿宋"/>
          <w:color w:val="auto"/>
          <w:highlight w:val="none"/>
          <w:lang w:val="en-US" w:eastAsia="zh-CN"/>
        </w:rPr>
        <w:t>等群体</w:t>
      </w:r>
      <w:r>
        <w:rPr>
          <w:rFonts w:hint="eastAsia" w:ascii="仿宋" w:hAnsi="仿宋" w:eastAsia="仿宋" w:cs="仿宋"/>
          <w:color w:val="auto"/>
          <w:highlight w:val="none"/>
        </w:rPr>
        <w:t>配租</w:t>
      </w:r>
      <w:r>
        <w:rPr>
          <w:rFonts w:hint="eastAsia" w:ascii="仿宋" w:hAnsi="仿宋" w:eastAsia="仿宋" w:cs="仿宋"/>
          <w:color w:val="auto"/>
          <w:highlight w:val="none"/>
          <w:lang w:eastAsia="zh-CN"/>
        </w:rPr>
        <w:t>。</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三、稳妥实施危旧房改造</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“留改拆”多措并举推进危旧房改造。</w:t>
      </w:r>
      <w:r>
        <w:rPr>
          <w:rFonts w:hint="eastAsia" w:ascii="仿宋" w:hAnsi="仿宋" w:eastAsia="仿宋" w:cs="仿宋"/>
          <w:color w:val="auto"/>
          <w:highlight w:val="none"/>
        </w:rPr>
        <w:t>动态更新城市C、D级危险住房和非成套住房。根据房屋安全状况、周边配套、业主意愿等基本情况，通过维修加固、抗震加固、改建（扩建、翻建）、原址重建等多种措施进行治理。对于具有历史价值的保护性建筑，要严格落实保护措施。精简危旧房改造相关审批事项和环节，加快项目前期手续办理、项目施工准备等各项工作。</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积极探索自主更新、原拆原建改造模式。</w:t>
      </w:r>
      <w:r>
        <w:rPr>
          <w:rFonts w:hint="eastAsia" w:ascii="仿宋" w:hAnsi="仿宋" w:eastAsia="仿宋" w:cs="仿宋"/>
          <w:color w:val="auto"/>
          <w:highlight w:val="none"/>
        </w:rPr>
        <w:t>支持各县市</w:t>
      </w:r>
      <w:r>
        <w:rPr>
          <w:rFonts w:hint="eastAsia" w:ascii="仿宋" w:hAnsi="仿宋" w:eastAsia="仿宋" w:cs="仿宋"/>
          <w:bCs/>
          <w:color w:val="auto"/>
          <w:highlight w:val="none"/>
        </w:rPr>
        <w:t>对产权清晰、不存在违法建设或违法建设已整治到位的老旧住房实施自主更新、原拆原建，在规划、土地、项目审批、奖补等方面给予政策支持。原拆原建项目</w:t>
      </w:r>
      <w:r>
        <w:rPr>
          <w:rFonts w:hint="eastAsia" w:ascii="仿宋" w:hAnsi="仿宋" w:eastAsia="仿宋" w:cs="仿宋"/>
          <w:color w:val="auto"/>
          <w:szCs w:val="32"/>
          <w:highlight w:val="none"/>
        </w:rPr>
        <w:t>可</w:t>
      </w:r>
      <w:r>
        <w:rPr>
          <w:rFonts w:hint="eastAsia" w:ascii="仿宋" w:hAnsi="仿宋" w:eastAsia="仿宋" w:cs="仿宋"/>
          <w:bCs/>
          <w:color w:val="auto"/>
          <w:highlight w:val="none"/>
        </w:rPr>
        <w:t>适当增加每套的建筑面积以保障基本居住功能，适度开发地下空间改善停车和配套设施需求。</w:t>
      </w:r>
      <w:r>
        <w:rPr>
          <w:rFonts w:hint="eastAsia" w:ascii="仿宋" w:hAnsi="仿宋" w:eastAsia="仿宋" w:cs="仿宋"/>
          <w:color w:val="auto"/>
          <w:highlight w:val="none"/>
        </w:rPr>
        <w:t>鼓励采取“居民自筹资金为主，政府适度补贴”方式，拓展多元融资渠道，形成良性可持续的危旧房改造投资模式，促进政府、居民、社会多方共赢和社区治理能力提升。</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完善危旧房常态化管理机制。</w:t>
      </w:r>
      <w:r>
        <w:rPr>
          <w:rFonts w:hint="eastAsia" w:ascii="仿宋" w:hAnsi="仿宋" w:eastAsia="仿宋" w:cs="仿宋"/>
          <w:color w:val="auto"/>
          <w:highlight w:val="none"/>
        </w:rPr>
        <w:t>常态化开展危旧房排查、检查、治理工作。强化危旧房风险管控及应急处理措施，完善危旧房信息化档案建设工作，健全日常巡查与应急处置机制，</w:t>
      </w:r>
      <w:r>
        <w:rPr>
          <w:rFonts w:hint="eastAsia" w:ascii="仿宋" w:hAnsi="仿宋" w:eastAsia="仿宋" w:cs="仿宋"/>
          <w:color w:val="auto"/>
          <w:szCs w:val="24"/>
          <w:highlight w:val="none"/>
        </w:rPr>
        <w:t>制止和查处改造过程中违法建设行为，</w:t>
      </w:r>
      <w:r>
        <w:rPr>
          <w:rFonts w:hint="eastAsia" w:ascii="仿宋" w:hAnsi="仿宋" w:eastAsia="仿宋" w:cs="仿宋"/>
          <w:color w:val="auto"/>
          <w:highlight w:val="none"/>
        </w:rPr>
        <w:t>健全人员转移安置工作机制。</w:t>
      </w:r>
    </w:p>
    <w:p>
      <w:pPr>
        <w:pStyle w:val="7"/>
        <w:rPr>
          <w:rFonts w:hint="eastAsia" w:ascii="仿宋" w:hAnsi="仿宋" w:eastAsia="仿宋" w:cs="仿宋"/>
          <w:color w:val="auto"/>
          <w:highlight w:val="none"/>
        </w:rPr>
      </w:pPr>
      <w:bookmarkStart w:id="86" w:name="_Toc9784"/>
      <w:bookmarkStart w:id="87" w:name="_Toc24250"/>
      <w:r>
        <w:rPr>
          <w:rFonts w:hint="eastAsia" w:ascii="仿宋" w:hAnsi="仿宋" w:eastAsia="仿宋" w:cs="仿宋"/>
          <w:color w:val="auto"/>
          <w:highlight w:val="none"/>
        </w:rPr>
        <w:t>推进“好房子”建设</w:t>
      </w:r>
      <w:bookmarkEnd w:id="86"/>
      <w:bookmarkEnd w:id="87"/>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一、加强“好房子”标准体系引导</w:t>
      </w:r>
    </w:p>
    <w:p>
      <w:pPr>
        <w:spacing w:line="620" w:lineRule="exact"/>
        <w:ind w:firstLine="643"/>
        <w:rPr>
          <w:rFonts w:hint="eastAsia" w:ascii="仿宋" w:hAnsi="仿宋" w:eastAsia="仿宋" w:cs="仿宋"/>
          <w:color w:val="auto"/>
          <w:highlight w:val="none"/>
        </w:rPr>
      </w:pPr>
      <w:r>
        <w:rPr>
          <w:rFonts w:hint="eastAsia" w:ascii="仿宋" w:hAnsi="仿宋" w:eastAsia="仿宋" w:cs="仿宋"/>
          <w:b/>
          <w:bCs/>
          <w:color w:val="auto"/>
          <w:highlight w:val="none"/>
        </w:rPr>
        <w:t>落实“好房子”建设相关标准规范。</w:t>
      </w:r>
      <w:r>
        <w:rPr>
          <w:rFonts w:hint="eastAsia" w:ascii="仿宋" w:hAnsi="仿宋" w:eastAsia="仿宋" w:cs="仿宋"/>
          <w:color w:val="auto"/>
          <w:highlight w:val="none"/>
        </w:rPr>
        <w:t>落实国家《住宅项目规范》和自治区《好住房建设技术标准》的要求，结合喀什地区气候特点、资源特点、文化特点、需求特点，关注建筑本身+小区配套+全生命周期的运营与维护，引导开发主体落实“好房子”相关技术标准。提供内部空间动静分区、功能完善、全龄友好的高品质住宅，满足不同群体需求和居住习惯。推广建设产业化、建筑长寿化、空间可变性、智慧全龄化、绿色低碳化等新要求。</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提升“好房子”设计建设水平。</w:t>
      </w:r>
      <w:r>
        <w:rPr>
          <w:rFonts w:hint="eastAsia" w:ascii="仿宋" w:hAnsi="仿宋" w:eastAsia="仿宋" w:cs="仿宋"/>
          <w:color w:val="auto"/>
          <w:highlight w:val="none"/>
        </w:rPr>
        <w:t>围绕安全、舒适、智慧的总体要求，优化住宅设计。合理设计房间面宽、进深、层高，大力提升复合功能空间和建筑隔音、保温、通风、防水等性能，推行科学化、精细化、模数化设计。立足现代人居生活需求，充分兼顾各族群众居住习俗与生活行为特征，打造多元可选的住宅户型，全面提升住宅实用性。大力推广耐久建筑材料，采用高效、智能、绿色的电梯、空调、照明等设备，鼓励“好房子”项目提高绿色建材应用比例。</w:t>
      </w:r>
    </w:p>
    <w:p>
      <w:pPr>
        <w:spacing w:line="620" w:lineRule="exact"/>
        <w:ind w:firstLine="643"/>
        <w:rPr>
          <w:rFonts w:hint="eastAsia" w:ascii="仿宋" w:hAnsi="仿宋" w:eastAsia="仿宋" w:cs="仿宋"/>
          <w:color w:val="auto"/>
          <w:szCs w:val="28"/>
          <w:highlight w:val="none"/>
        </w:rPr>
      </w:pPr>
      <w:r>
        <w:rPr>
          <w:rFonts w:hint="eastAsia" w:ascii="仿宋" w:hAnsi="仿宋" w:eastAsia="仿宋" w:cs="仿宋"/>
          <w:b/>
          <w:bCs/>
          <w:color w:val="auto"/>
          <w:szCs w:val="28"/>
          <w:highlight w:val="none"/>
        </w:rPr>
        <w:t>加强新技术赋能“好房子”建设。</w:t>
      </w:r>
      <w:r>
        <w:rPr>
          <w:rFonts w:hint="eastAsia" w:ascii="仿宋" w:hAnsi="仿宋" w:eastAsia="仿宋" w:cs="仿宋"/>
          <w:color w:val="auto"/>
          <w:szCs w:val="28"/>
          <w:highlight w:val="none"/>
        </w:rPr>
        <w:t>大力推进新型建筑工业化与智能建造，推动建筑与装修设计一体化，推广装配式装修，广泛应用建筑机器人、智能设备及部品部件等核心技术。发展数字家庭，将智慧设施融入住宅设计，普及家居、家电及安防等智能家庭终端产品。推进智慧住区建设，优化升级社区信息基础设施。</w:t>
      </w:r>
    </w:p>
    <w:p>
      <w:pPr>
        <w:spacing w:line="620" w:lineRule="exact"/>
        <w:ind w:firstLine="643"/>
        <w:rPr>
          <w:rFonts w:hint="eastAsia" w:ascii="仿宋" w:hAnsi="仿宋" w:eastAsia="仿宋" w:cs="仿宋"/>
          <w:color w:val="auto"/>
          <w:highlight w:val="none"/>
        </w:rPr>
      </w:pPr>
      <w:r>
        <w:rPr>
          <w:rFonts w:hint="eastAsia" w:ascii="仿宋" w:hAnsi="仿宋" w:eastAsia="仿宋" w:cs="仿宋"/>
          <w:b/>
          <w:bCs/>
          <w:color w:val="auto"/>
          <w:highlight w:val="none"/>
        </w:rPr>
        <w:t>加强住区风貌管理。</w:t>
      </w:r>
      <w:r>
        <w:rPr>
          <w:rFonts w:hint="eastAsia" w:ascii="仿宋" w:hAnsi="仿宋" w:eastAsia="仿宋" w:cs="仿宋"/>
          <w:b w:val="0"/>
          <w:bCs w:val="0"/>
          <w:color w:val="auto"/>
          <w:highlight w:val="none"/>
        </w:rPr>
        <w:t>新建住区规划注重整体统筹、塑造特色风貌，融合中华优秀文化与时代气质，把</w:t>
      </w:r>
      <w:r>
        <w:rPr>
          <w:rFonts w:hint="eastAsia" w:ascii="仿宋" w:hAnsi="仿宋" w:eastAsia="仿宋" w:cs="仿宋"/>
          <w:b w:val="0"/>
          <w:bCs w:val="0"/>
          <w:color w:val="auto"/>
          <w:highlight w:val="none"/>
          <w:lang w:val="en-US" w:eastAsia="zh-CN"/>
        </w:rPr>
        <w:t>中华</w:t>
      </w:r>
      <w:r>
        <w:rPr>
          <w:rFonts w:hint="eastAsia" w:ascii="仿宋" w:hAnsi="仿宋" w:eastAsia="仿宋" w:cs="仿宋"/>
          <w:b w:val="0"/>
          <w:bCs w:val="0"/>
          <w:color w:val="auto"/>
          <w:highlight w:val="none"/>
        </w:rPr>
        <w:t>文化符号融入建筑、空间与景观设计，构建兼具文化认同与宜居属性的居住空间。从严规范重点区域住宅、楼宇命名工作，提升地名文化底蕴与标准化程度，</w:t>
      </w:r>
      <w:r>
        <w:rPr>
          <w:rFonts w:hint="eastAsia" w:ascii="仿宋" w:hAnsi="仿宋" w:eastAsia="仿宋" w:cs="仿宋"/>
          <w:b w:val="0"/>
          <w:bCs w:val="0"/>
          <w:color w:val="auto"/>
          <w:highlight w:val="none"/>
          <w:lang w:val="en-US" w:eastAsia="zh-CN"/>
        </w:rPr>
        <w:t>提升</w:t>
      </w:r>
      <w:r>
        <w:rPr>
          <w:rFonts w:hint="eastAsia" w:ascii="仿宋" w:hAnsi="仿宋" w:eastAsia="仿宋" w:cs="仿宋"/>
          <w:b w:val="0"/>
          <w:bCs w:val="0"/>
          <w:color w:val="auto"/>
          <w:highlight w:val="none"/>
        </w:rPr>
        <w:t>住区文化特色，增进居民归属感。</w:t>
      </w:r>
    </w:p>
    <w:bookmarkEnd w:id="74"/>
    <w:bookmarkEnd w:id="75"/>
    <w:bookmarkEnd w:id="76"/>
    <w:bookmarkEnd w:id="77"/>
    <w:bookmarkEnd w:id="78"/>
    <w:bookmarkEnd w:id="79"/>
    <w:bookmarkEnd w:id="80"/>
    <w:bookmarkEnd w:id="81"/>
    <w:p>
      <w:pPr>
        <w:pStyle w:val="8"/>
        <w:numPr>
          <w:ilvl w:val="0"/>
          <w:numId w:val="0"/>
        </w:numPr>
        <w:ind w:left="640" w:leftChars="200"/>
        <w:rPr>
          <w:rFonts w:hint="eastAsia" w:ascii="仿宋" w:hAnsi="仿宋" w:eastAsia="仿宋" w:cs="仿宋"/>
          <w:color w:val="auto"/>
          <w:highlight w:val="none"/>
        </w:rPr>
      </w:pPr>
      <w:bookmarkStart w:id="88" w:name="_Toc95230951"/>
      <w:bookmarkStart w:id="89" w:name="_Toc476"/>
      <w:bookmarkStart w:id="90" w:name="_Toc28503"/>
      <w:bookmarkStart w:id="91" w:name="_Toc31582"/>
      <w:bookmarkStart w:id="92" w:name="_Toc18498"/>
      <w:bookmarkStart w:id="93" w:name="_Toc26941"/>
      <w:bookmarkStart w:id="94" w:name="_Toc13034"/>
      <w:bookmarkStart w:id="95" w:name="_Toc8661"/>
      <w:r>
        <w:rPr>
          <w:rFonts w:hint="eastAsia" w:ascii="仿宋" w:hAnsi="仿宋" w:eastAsia="仿宋" w:cs="仿宋"/>
          <w:color w:val="auto"/>
          <w:highlight w:val="none"/>
        </w:rPr>
        <w:t>二、开展“好房子”项目试点示范</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以喀什市为重点，开展“好房子”示范。</w:t>
      </w:r>
      <w:r>
        <w:rPr>
          <w:rFonts w:hint="eastAsia" w:ascii="仿宋" w:hAnsi="仿宋" w:eastAsia="仿宋" w:cs="仿宋"/>
          <w:color w:val="auto"/>
          <w:highlight w:val="none"/>
        </w:rPr>
        <w:t>分类推进“好房子”建设试点，新建住房“好房子”示范项目优先布局在职住平衡、设施配套较为齐全的区域。老旧住房改造“好房子”示范项目优先选择已纳入老旧小区改造或城中村改造计划、居民改造意愿强烈的老旧住房。选址应充分考虑土地成本、基础设施投入、开发/改造难度与改造后效益的平衡，考虑服务不同收入阶层，关注“一老一小”等弱势群体需求。</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鼓励试点项目在规划设计、建造质量、运营服务等方面进行示范，关注重点群体需求。</w:t>
      </w:r>
      <w:r>
        <w:rPr>
          <w:rFonts w:hint="eastAsia" w:ascii="仿宋" w:hAnsi="仿宋" w:eastAsia="仿宋" w:cs="仿宋"/>
          <w:color w:val="auto"/>
          <w:highlight w:val="none"/>
        </w:rPr>
        <w:t>为重点人群提供满足多元需求、可负担的“好房子”。为育儿家庭提供改善型、灵活可变空间、功能全的“好房子”产品，实现精准供给。积极推进儿童友好社区建设。完善便利的儿童服务设施，社区配建幼儿园、儿童之家、童心书屋等儿童服务设施。推进邻里中心、社区用房等既有设施复合利用。建设特色趣味的儿童活动场地，充分利用口袋公园等，增设儿童游乐场地和体育运动场地。营建安全连续的儿童出行路径。</w:t>
      </w:r>
    </w:p>
    <w:bookmarkEnd w:id="88"/>
    <w:bookmarkEnd w:id="89"/>
    <w:bookmarkEnd w:id="90"/>
    <w:bookmarkEnd w:id="91"/>
    <w:bookmarkEnd w:id="92"/>
    <w:bookmarkEnd w:id="93"/>
    <w:bookmarkEnd w:id="94"/>
    <w:bookmarkEnd w:id="95"/>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三、完善“好房子”政策鼓励措施</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多部门协同，完善“好房子”政策鼓励措施。</w:t>
      </w:r>
      <w:r>
        <w:rPr>
          <w:rFonts w:hint="eastAsia" w:ascii="仿宋" w:hAnsi="仿宋" w:eastAsia="仿宋" w:cs="仿宋"/>
          <w:color w:val="auto"/>
          <w:highlight w:val="none"/>
        </w:rPr>
        <w:t>促进住宅容积率、高度、密度等指标优化。完善出让地块配套，坚持净地出让。加强房地产项目开发过程监管。完善商品房销售管理制度，落实“交房即交证”，规范市场销售服务。加大对开发企业的政策支持力度，</w:t>
      </w:r>
      <w:r>
        <w:rPr>
          <w:rFonts w:hint="eastAsia" w:ascii="仿宋" w:hAnsi="仿宋" w:eastAsia="仿宋" w:cs="仿宋"/>
          <w:color w:val="auto"/>
          <w:highlight w:val="none"/>
          <w:lang w:val="en-US" w:eastAsia="zh-CN"/>
        </w:rPr>
        <w:t>对“好房子”项目</w:t>
      </w:r>
      <w:r>
        <w:rPr>
          <w:rFonts w:hint="eastAsia" w:ascii="仿宋" w:hAnsi="仿宋" w:eastAsia="仿宋" w:cs="仿宋"/>
          <w:color w:val="auto"/>
          <w:highlight w:val="none"/>
        </w:rPr>
        <w:t>在项目审批、</w:t>
      </w:r>
      <w:r>
        <w:rPr>
          <w:rFonts w:hint="eastAsia" w:ascii="仿宋" w:hAnsi="仿宋" w:eastAsia="仿宋" w:cs="仿宋"/>
          <w:color w:val="auto"/>
          <w:highlight w:val="none"/>
          <w:lang w:val="en-US" w:eastAsia="zh-CN"/>
        </w:rPr>
        <w:t>融资协调</w:t>
      </w:r>
      <w:r>
        <w:rPr>
          <w:rFonts w:hint="eastAsia" w:ascii="仿宋" w:hAnsi="仿宋" w:eastAsia="仿宋" w:cs="仿宋"/>
          <w:color w:val="auto"/>
          <w:highlight w:val="none"/>
        </w:rPr>
        <w:t>等方面</w:t>
      </w:r>
      <w:r>
        <w:rPr>
          <w:rFonts w:hint="eastAsia" w:ascii="仿宋" w:hAnsi="仿宋" w:eastAsia="仿宋" w:cs="仿宋"/>
          <w:color w:val="auto"/>
          <w:highlight w:val="none"/>
          <w:lang w:val="en-US" w:eastAsia="zh-CN"/>
        </w:rPr>
        <w:t>给予</w:t>
      </w:r>
      <w:r>
        <w:rPr>
          <w:rFonts w:hint="eastAsia" w:ascii="仿宋" w:hAnsi="仿宋" w:eastAsia="仿宋" w:cs="仿宋"/>
          <w:color w:val="auto"/>
          <w:highlight w:val="none"/>
        </w:rPr>
        <w:t>政策倾斜。</w:t>
      </w:r>
    </w:p>
    <w:p>
      <w:pPr>
        <w:pStyle w:val="7"/>
        <w:rPr>
          <w:rFonts w:hint="eastAsia" w:ascii="仿宋" w:hAnsi="仿宋" w:eastAsia="仿宋" w:cs="仿宋"/>
          <w:color w:val="auto"/>
          <w:highlight w:val="none"/>
        </w:rPr>
      </w:pPr>
      <w:bookmarkStart w:id="96" w:name="_Toc24414"/>
      <w:bookmarkStart w:id="97" w:name="_Toc23369"/>
      <w:r>
        <w:rPr>
          <w:rFonts w:hint="eastAsia" w:ascii="仿宋" w:hAnsi="仿宋" w:eastAsia="仿宋" w:cs="仿宋"/>
          <w:color w:val="auto"/>
          <w:highlight w:val="none"/>
        </w:rPr>
        <w:t>提升社区服务水平与治理能力</w:t>
      </w:r>
      <w:bookmarkEnd w:id="96"/>
      <w:bookmarkEnd w:id="97"/>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一、深化社区物业党建联建</w:t>
      </w:r>
    </w:p>
    <w:p>
      <w:pPr>
        <w:widowControl/>
        <w:shd w:val="clear" w:color="auto" w:fill="FFFFFF"/>
        <w:adjustRightInd w:val="0"/>
        <w:spacing w:line="560" w:lineRule="exact"/>
        <w:ind w:firstLine="643"/>
        <w:rPr>
          <w:rFonts w:hint="eastAsia" w:ascii="仿宋" w:hAnsi="仿宋" w:eastAsia="仿宋" w:cs="仿宋"/>
          <w:color w:val="auto"/>
          <w:highlight w:val="none"/>
        </w:rPr>
      </w:pPr>
      <w:r>
        <w:rPr>
          <w:rFonts w:hint="eastAsia" w:ascii="仿宋" w:hAnsi="仿宋" w:eastAsia="仿宋" w:cs="仿宋"/>
          <w:b/>
          <w:bCs/>
          <w:color w:val="auto"/>
          <w:highlight w:val="none"/>
        </w:rPr>
        <w:t>强化党建引领作用。</w:t>
      </w:r>
      <w:r>
        <w:rPr>
          <w:rFonts w:hint="eastAsia" w:ascii="仿宋" w:hAnsi="仿宋" w:eastAsia="仿宋" w:cs="仿宋"/>
          <w:color w:val="auto"/>
          <w:highlight w:val="none"/>
        </w:rPr>
        <w:t>扩大“红色物业”覆盖范围，建立“社区党支部+物业企业+业主委员会”三方联动机制，在社区服务中心、物业办公室设立“红色驿站”，开展政策宣传、矛盾调解和民族团结活动。极搭建由居民代表、物业、辖区单位参与的沟通议事平台，建立矛盾纠纷联调机制，‌‌推动多元主体协同共治。</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二、提升物业服务水平</w:t>
      </w:r>
    </w:p>
    <w:p>
      <w:pPr>
        <w:ind w:firstLine="643"/>
        <w:rPr>
          <w:rFonts w:hint="eastAsia" w:ascii="仿宋" w:hAnsi="仿宋" w:eastAsia="仿宋" w:cs="仿宋"/>
          <w:color w:val="auto"/>
          <w:highlight w:val="none"/>
        </w:rPr>
      </w:pPr>
      <w:r>
        <w:rPr>
          <w:rFonts w:hint="eastAsia" w:ascii="仿宋" w:hAnsi="仿宋" w:eastAsia="仿宋" w:cs="仿宋"/>
          <w:b/>
          <w:bCs/>
          <w:color w:val="auto"/>
          <w:szCs w:val="24"/>
          <w:highlight w:val="none"/>
        </w:rPr>
        <w:t>强化物业服务监督管理。</w:t>
      </w:r>
      <w:r>
        <w:rPr>
          <w:rFonts w:hint="eastAsia" w:ascii="仿宋" w:hAnsi="仿宋" w:eastAsia="仿宋" w:cs="仿宋"/>
          <w:color w:val="auto"/>
          <w:highlight w:val="none"/>
        </w:rPr>
        <w:t>制定物业管理服务规范标准，强化物业企业资质审核与动态监管，完善物业企业信用评价体系，将公共收益管理、履约情况与招投标、评优直接挂钩。定期对物业服务质量进行居民满意度测评，继续推行“红黑榜”制度。常态化开展物业政策、业主权益宣讲，推广业主监督小组模式，畅通线上投诉反馈渠道，引导业主主动参与监督，形成共治共享格局。结合老旧小区改造工作，引入专业化物业或实施居民自治托管模式，提升物业服务履约保障能力。‌加强物业人才队伍建设，建立物业从业人员激励机制。</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三、推广智慧社区建设</w:t>
      </w:r>
    </w:p>
    <w:p>
      <w:pPr>
        <w:ind w:firstLine="643"/>
        <w:rPr>
          <w:rFonts w:hint="eastAsia" w:ascii="仿宋" w:hAnsi="仿宋" w:eastAsia="仿宋" w:cs="仿宋"/>
          <w:color w:val="auto"/>
          <w:highlight w:val="none"/>
        </w:rPr>
      </w:pPr>
      <w:r>
        <w:rPr>
          <w:rFonts w:hint="eastAsia" w:ascii="仿宋" w:hAnsi="仿宋" w:eastAsia="仿宋" w:cs="仿宋"/>
          <w:b/>
          <w:bCs/>
          <w:color w:val="auto"/>
          <w:szCs w:val="24"/>
          <w:highlight w:val="none"/>
        </w:rPr>
        <w:t>提升智慧物业管理服务能力。</w:t>
      </w:r>
      <w:r>
        <w:rPr>
          <w:rFonts w:hint="eastAsia" w:ascii="仿宋" w:hAnsi="仿宋" w:eastAsia="仿宋" w:cs="仿宋"/>
          <w:b w:val="0"/>
          <w:bCs w:val="0"/>
          <w:color w:val="auto"/>
          <w:szCs w:val="24"/>
          <w:highlight w:val="none"/>
        </w:rPr>
        <w:t>建好用好自治区“智慧住房”物业管理系统</w:t>
      </w:r>
      <w:r>
        <w:rPr>
          <w:rFonts w:hint="eastAsia" w:ascii="仿宋" w:hAnsi="仿宋" w:eastAsia="仿宋" w:cs="仿宋"/>
          <w:color w:val="auto"/>
          <w:highlight w:val="none"/>
        </w:rPr>
        <w:t>，实现服务监管、收益查询、投诉处置线上化，提升监管效能。探索构建“智慧社区信息平台”，综合人口管理、物业服务、民生诉求，实现“一网通办”。‌强化智能安防与便民服务，推广社区的智能安防系统建设，安装人脸识别门禁、高空抛物监控等设备。推动物业服务方式由粗放型管理向精细化管理转变、由单一服务向多元服务转变，加强物业管理系统与电商、科技、快递等第三方平台互联互通，实现资源对接、互补。</w:t>
      </w:r>
    </w:p>
    <w:p>
      <w:pPr>
        <w:pStyle w:val="7"/>
        <w:rPr>
          <w:rFonts w:hint="eastAsia" w:ascii="仿宋" w:hAnsi="仿宋" w:eastAsia="仿宋" w:cs="仿宋"/>
          <w:color w:val="auto"/>
          <w:highlight w:val="none"/>
          <w:lang w:eastAsia="zh-CN"/>
        </w:rPr>
      </w:pPr>
      <w:bookmarkStart w:id="98" w:name="_Toc8955"/>
      <w:bookmarkStart w:id="99" w:name="_Toc28220"/>
      <w:r>
        <w:rPr>
          <w:rFonts w:hint="eastAsia" w:ascii="仿宋" w:hAnsi="仿宋" w:eastAsia="仿宋" w:cs="仿宋"/>
          <w:color w:val="auto"/>
          <w:highlight w:val="none"/>
          <w:lang w:val="en-US" w:eastAsia="zh-CN"/>
        </w:rPr>
        <w:t>以住房为载体加快构建</w:t>
      </w:r>
      <w:r>
        <w:rPr>
          <w:rFonts w:hint="eastAsia" w:ascii="仿宋" w:hAnsi="仿宋" w:eastAsia="仿宋" w:cs="仿宋"/>
          <w:color w:val="auto"/>
          <w:highlight w:val="none"/>
          <w:lang w:eastAsia="zh-CN"/>
        </w:rPr>
        <w:t>互嵌式社区结构和社会环境</w:t>
      </w:r>
      <w:bookmarkEnd w:id="98"/>
      <w:bookmarkEnd w:id="99"/>
    </w:p>
    <w:p>
      <w:pPr>
        <w:pStyle w:val="8"/>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一、</w:t>
      </w:r>
      <w:r>
        <w:rPr>
          <w:rFonts w:hint="eastAsia" w:ascii="仿宋" w:hAnsi="仿宋" w:eastAsia="仿宋" w:cs="仿宋"/>
          <w:color w:val="auto"/>
          <w:highlight w:val="none"/>
        </w:rPr>
        <w:t>营造良好互嵌式居住生活空间</w:t>
      </w:r>
    </w:p>
    <w:p>
      <w:pPr>
        <w:spacing w:line="620" w:lineRule="exact"/>
        <w:ind w:firstLine="643"/>
        <w:rPr>
          <w:rFonts w:hint="eastAsia" w:ascii="仿宋" w:hAnsi="仿宋" w:eastAsia="仿宋" w:cs="仿宋"/>
          <w:color w:val="auto"/>
          <w:highlight w:val="none"/>
          <w:lang w:val="en-US" w:eastAsia="zh-CN"/>
        </w:rPr>
      </w:pPr>
      <w:r>
        <w:rPr>
          <w:rFonts w:hint="eastAsia" w:ascii="仿宋" w:hAnsi="仿宋" w:eastAsia="仿宋" w:cs="仿宋"/>
          <w:b/>
          <w:bCs/>
          <w:color w:val="auto"/>
          <w:kern w:val="0"/>
          <w:szCs w:val="32"/>
          <w:highlight w:val="none"/>
          <w:lang w:val="en-US" w:eastAsia="zh-CN"/>
        </w:rPr>
        <w:t>以</w:t>
      </w:r>
      <w:r>
        <w:rPr>
          <w:rFonts w:hint="eastAsia" w:ascii="仿宋" w:hAnsi="仿宋" w:eastAsia="仿宋" w:cs="仿宋"/>
          <w:b/>
          <w:bCs/>
          <w:color w:val="auto"/>
          <w:kern w:val="0"/>
          <w:szCs w:val="32"/>
          <w:highlight w:val="none"/>
        </w:rPr>
        <w:t>保障性住房</w:t>
      </w:r>
      <w:r>
        <w:rPr>
          <w:rFonts w:hint="eastAsia" w:ascii="仿宋" w:hAnsi="仿宋" w:eastAsia="仿宋" w:cs="仿宋"/>
          <w:b/>
          <w:bCs/>
          <w:color w:val="auto"/>
          <w:kern w:val="0"/>
          <w:szCs w:val="32"/>
          <w:highlight w:val="none"/>
          <w:lang w:val="en-US" w:eastAsia="zh-CN"/>
        </w:rPr>
        <w:t>为重点</w:t>
      </w:r>
      <w:r>
        <w:rPr>
          <w:rFonts w:hint="eastAsia" w:ascii="仿宋" w:hAnsi="仿宋" w:eastAsia="仿宋" w:cs="仿宋"/>
          <w:b/>
          <w:bCs/>
          <w:color w:val="auto"/>
          <w:kern w:val="0"/>
          <w:szCs w:val="32"/>
          <w:highlight w:val="none"/>
        </w:rPr>
        <w:t>持续推进互嵌式居住。</w:t>
      </w:r>
      <w:r>
        <w:rPr>
          <w:rFonts w:hint="eastAsia" w:ascii="仿宋" w:hAnsi="仿宋" w:eastAsia="仿宋" w:cs="仿宋"/>
          <w:b w:val="0"/>
          <w:bCs w:val="0"/>
          <w:color w:val="auto"/>
          <w:kern w:val="0"/>
          <w:szCs w:val="32"/>
          <w:highlight w:val="none"/>
          <w:lang w:val="en-US" w:eastAsia="zh-CN"/>
        </w:rPr>
        <w:t>因地制宜制定保障性住房互嵌式分配方案，</w:t>
      </w:r>
      <w:r>
        <w:rPr>
          <w:rFonts w:hint="eastAsia" w:ascii="仿宋" w:hAnsi="仿宋" w:eastAsia="仿宋" w:cs="仿宋"/>
          <w:color w:val="auto"/>
          <w:kern w:val="0"/>
          <w:szCs w:val="32"/>
          <w:highlight w:val="none"/>
        </w:rPr>
        <w:t>结合</w:t>
      </w:r>
      <w:r>
        <w:rPr>
          <w:rFonts w:hint="eastAsia" w:ascii="仿宋" w:hAnsi="仿宋" w:eastAsia="仿宋" w:cs="仿宋"/>
          <w:color w:val="auto"/>
          <w:kern w:val="0"/>
          <w:szCs w:val="32"/>
          <w:highlight w:val="none"/>
          <w:lang w:val="en-US" w:eastAsia="zh-CN"/>
        </w:rPr>
        <w:t>保障对象</w:t>
      </w:r>
      <w:r>
        <w:rPr>
          <w:rFonts w:hint="eastAsia" w:ascii="仿宋" w:hAnsi="仿宋" w:eastAsia="仿宋" w:cs="仿宋"/>
          <w:color w:val="auto"/>
          <w:kern w:val="0"/>
          <w:szCs w:val="32"/>
          <w:highlight w:val="none"/>
        </w:rPr>
        <w:t>实际需求</w:t>
      </w:r>
      <w:r>
        <w:rPr>
          <w:rFonts w:hint="eastAsia" w:ascii="仿宋" w:hAnsi="仿宋" w:eastAsia="仿宋" w:cs="仿宋"/>
          <w:color w:val="auto"/>
          <w:kern w:val="0"/>
          <w:szCs w:val="32"/>
          <w:highlight w:val="none"/>
          <w:lang w:eastAsia="zh-CN"/>
        </w:rPr>
        <w:t>、</w:t>
      </w:r>
      <w:r>
        <w:rPr>
          <w:rFonts w:hint="eastAsia" w:ascii="仿宋" w:hAnsi="仿宋" w:eastAsia="仿宋" w:cs="仿宋"/>
          <w:color w:val="auto"/>
          <w:kern w:val="0"/>
          <w:szCs w:val="32"/>
          <w:highlight w:val="none"/>
          <w:lang w:val="en-US" w:eastAsia="zh-CN"/>
        </w:rPr>
        <w:t>当地民族比例等实际情况</w:t>
      </w:r>
      <w:r>
        <w:rPr>
          <w:rFonts w:hint="eastAsia" w:ascii="仿宋" w:hAnsi="仿宋" w:eastAsia="仿宋" w:cs="仿宋"/>
          <w:color w:val="auto"/>
          <w:kern w:val="0"/>
          <w:szCs w:val="32"/>
          <w:highlight w:val="none"/>
        </w:rPr>
        <w:t>，</w:t>
      </w:r>
      <w:r>
        <w:rPr>
          <w:rFonts w:hint="eastAsia" w:ascii="仿宋" w:hAnsi="仿宋" w:eastAsia="仿宋" w:cs="仿宋"/>
          <w:color w:val="auto"/>
          <w:kern w:val="0"/>
          <w:szCs w:val="32"/>
          <w:highlight w:val="none"/>
          <w:lang w:val="en-US" w:eastAsia="zh-CN"/>
        </w:rPr>
        <w:t>合理确定互嵌式居住比例</w:t>
      </w:r>
      <w:r>
        <w:rPr>
          <w:rFonts w:hint="eastAsia" w:ascii="仿宋" w:hAnsi="仿宋" w:eastAsia="仿宋" w:cs="仿宋"/>
          <w:color w:val="auto"/>
          <w:kern w:val="0"/>
          <w:szCs w:val="32"/>
          <w:highlight w:val="none"/>
          <w:lang w:eastAsia="zh-CN"/>
        </w:rPr>
        <w:t>，</w:t>
      </w:r>
      <w:r>
        <w:rPr>
          <w:rFonts w:hint="eastAsia" w:ascii="仿宋" w:hAnsi="仿宋" w:eastAsia="仿宋" w:cs="仿宋"/>
          <w:color w:val="auto"/>
          <w:kern w:val="0"/>
          <w:szCs w:val="32"/>
          <w:highlight w:val="none"/>
          <w:lang w:val="en-US" w:eastAsia="zh-CN"/>
        </w:rPr>
        <w:t>并根据实际情况动态调整</w:t>
      </w:r>
      <w:r>
        <w:rPr>
          <w:rFonts w:hint="eastAsia" w:ascii="仿宋" w:hAnsi="仿宋" w:eastAsia="仿宋" w:cs="仿宋"/>
          <w:color w:val="auto"/>
          <w:kern w:val="0"/>
          <w:szCs w:val="32"/>
          <w:highlight w:val="none"/>
        </w:rPr>
        <w:t>。</w:t>
      </w:r>
      <w:r>
        <w:rPr>
          <w:rFonts w:hint="eastAsia" w:ascii="仿宋" w:hAnsi="仿宋" w:eastAsia="仿宋" w:cs="仿宋"/>
          <w:color w:val="auto"/>
          <w:kern w:val="0"/>
          <w:szCs w:val="32"/>
          <w:highlight w:val="none"/>
          <w:lang w:val="en-US" w:eastAsia="zh-CN"/>
        </w:rPr>
        <w:t>对已分配配售型保障性住房互嵌式居住不均衡的，可采取到期调整房源等方式对租房人员进行调整，</w:t>
      </w:r>
      <w:r>
        <w:rPr>
          <w:rFonts w:hint="eastAsia" w:ascii="仿宋" w:hAnsi="仿宋" w:eastAsia="仿宋" w:cs="仿宋"/>
          <w:b w:val="0"/>
          <w:bCs w:val="0"/>
          <w:color w:val="auto"/>
          <w:szCs w:val="32"/>
          <w:highlight w:val="none"/>
        </w:rPr>
        <w:t>积极鼓励引导各族群众互嵌式居住</w:t>
      </w:r>
      <w:r>
        <w:rPr>
          <w:rFonts w:hint="eastAsia" w:ascii="仿宋" w:hAnsi="仿宋" w:eastAsia="仿宋" w:cs="仿宋"/>
          <w:b w:val="0"/>
          <w:bCs w:val="0"/>
          <w:color w:val="auto"/>
          <w:szCs w:val="32"/>
          <w:highlight w:val="none"/>
          <w:lang w:eastAsia="zh-CN"/>
        </w:rPr>
        <w:t>。</w:t>
      </w:r>
      <w:r>
        <w:rPr>
          <w:rFonts w:hint="eastAsia" w:ascii="仿宋" w:hAnsi="仿宋" w:eastAsia="仿宋" w:cs="仿宋"/>
          <w:color w:val="auto"/>
          <w:highlight w:val="none"/>
          <w:lang w:val="en-US" w:eastAsia="zh-CN"/>
        </w:rPr>
        <w:t>在商品房中引导互嵌式居住，鼓励各县市在民族结构单一的商品房小区探索实施互嵌式居住优惠政策。</w:t>
      </w:r>
    </w:p>
    <w:p>
      <w:pPr>
        <w:spacing w:line="620" w:lineRule="exact"/>
        <w:ind w:firstLine="643"/>
        <w:rPr>
          <w:rFonts w:hint="eastAsia" w:ascii="仿宋" w:hAnsi="仿宋" w:eastAsia="仿宋" w:cs="仿宋"/>
          <w:color w:val="auto"/>
          <w:kern w:val="0"/>
          <w:szCs w:val="32"/>
          <w:highlight w:val="none"/>
        </w:rPr>
      </w:pPr>
      <w:r>
        <w:rPr>
          <w:rFonts w:hint="eastAsia" w:ascii="仿宋" w:hAnsi="仿宋" w:eastAsia="仿宋" w:cs="仿宋"/>
          <w:b/>
          <w:bCs/>
          <w:color w:val="auto"/>
          <w:kern w:val="0"/>
          <w:szCs w:val="32"/>
          <w:highlight w:val="none"/>
        </w:rPr>
        <w:t>试点推进互嵌式完整居住社区建设。</w:t>
      </w:r>
      <w:r>
        <w:rPr>
          <w:rFonts w:hint="eastAsia" w:ascii="仿宋" w:hAnsi="仿宋" w:eastAsia="仿宋" w:cs="仿宋"/>
          <w:b w:val="0"/>
          <w:bCs w:val="0"/>
          <w:color w:val="auto"/>
          <w:kern w:val="0"/>
          <w:szCs w:val="32"/>
          <w:highlight w:val="none"/>
          <w:lang w:val="en-US" w:eastAsia="zh-CN"/>
        </w:rPr>
        <w:t>在小区内打造各族居民交往交流交融的公共活动空间和文化宣传阵地</w:t>
      </w:r>
      <w:r>
        <w:rPr>
          <w:rFonts w:hint="eastAsia" w:ascii="仿宋" w:hAnsi="仿宋" w:eastAsia="仿宋" w:cs="仿宋"/>
          <w:color w:val="auto"/>
          <w:kern w:val="0"/>
          <w:szCs w:val="32"/>
          <w:highlight w:val="none"/>
        </w:rPr>
        <w:t>，</w:t>
      </w:r>
      <w:r>
        <w:rPr>
          <w:rFonts w:hint="eastAsia" w:ascii="仿宋" w:hAnsi="仿宋" w:eastAsia="仿宋" w:cs="仿宋"/>
          <w:color w:val="auto"/>
          <w:highlight w:val="none"/>
        </w:rPr>
        <w:t>增设符合各族群众生活消费习惯的商贸餐饮设施和网点</w:t>
      </w:r>
      <w:r>
        <w:rPr>
          <w:rFonts w:hint="eastAsia" w:ascii="仿宋" w:hAnsi="仿宋" w:eastAsia="仿宋" w:cs="仿宋"/>
          <w:color w:val="auto"/>
          <w:kern w:val="0"/>
          <w:szCs w:val="32"/>
          <w:highlight w:val="none"/>
        </w:rPr>
        <w:t>。</w:t>
      </w:r>
      <w:r>
        <w:rPr>
          <w:rFonts w:hint="eastAsia" w:ascii="仿宋" w:hAnsi="仿宋" w:eastAsia="仿宋" w:cs="仿宋"/>
          <w:color w:val="auto"/>
          <w:kern w:val="0"/>
          <w:szCs w:val="32"/>
          <w:highlight w:val="none"/>
          <w:lang w:val="en-US" w:eastAsia="zh-CN"/>
        </w:rPr>
        <w:t>按照互嵌式完整居住社区建设要求，完善社区基本公共服务设施和市政配套基础设施。提高互嵌式完整居住社区治理能力。</w:t>
      </w:r>
      <w:r>
        <w:rPr>
          <w:rFonts w:hint="eastAsia" w:ascii="仿宋" w:hAnsi="仿宋" w:eastAsia="仿宋" w:cs="仿宋"/>
          <w:color w:val="auto"/>
          <w:highlight w:val="none"/>
        </w:rPr>
        <w:t>在</w:t>
      </w:r>
      <w:r>
        <w:rPr>
          <w:rFonts w:hint="eastAsia" w:ascii="仿宋" w:hAnsi="仿宋" w:eastAsia="仿宋" w:cs="仿宋"/>
          <w:color w:val="auto"/>
          <w:highlight w:val="none"/>
          <w:lang w:val="en-US" w:eastAsia="zh-CN"/>
        </w:rPr>
        <w:t>喀什市探索</w:t>
      </w:r>
      <w:r>
        <w:rPr>
          <w:rFonts w:hint="eastAsia" w:ascii="仿宋" w:hAnsi="仿宋" w:eastAsia="仿宋" w:cs="仿宋"/>
          <w:color w:val="auto"/>
          <w:highlight w:val="none"/>
        </w:rPr>
        <w:t>推进高品质互嵌式完整</w:t>
      </w:r>
      <w:r>
        <w:rPr>
          <w:rFonts w:hint="eastAsia" w:ascii="仿宋" w:hAnsi="仿宋" w:eastAsia="仿宋" w:cs="仿宋"/>
          <w:color w:val="auto"/>
          <w:highlight w:val="none"/>
          <w:lang w:val="en-US" w:eastAsia="zh-CN"/>
        </w:rPr>
        <w:t>居住</w:t>
      </w:r>
      <w:r>
        <w:rPr>
          <w:rFonts w:hint="eastAsia" w:ascii="仿宋" w:hAnsi="仿宋" w:eastAsia="仿宋" w:cs="仿宋"/>
          <w:color w:val="auto"/>
          <w:highlight w:val="none"/>
        </w:rPr>
        <w:t>社区建设，塑造更加智慧、共享和文化交融的现代化社区形态，营造“职—住—服”多要素互促的交流交往场景。鼓励</w:t>
      </w:r>
      <w:r>
        <w:rPr>
          <w:rFonts w:hint="eastAsia" w:ascii="仿宋" w:hAnsi="仿宋" w:eastAsia="仿宋" w:cs="仿宋"/>
          <w:color w:val="auto"/>
          <w:highlight w:val="none"/>
          <w:lang w:val="en-US" w:eastAsia="zh-CN"/>
        </w:rPr>
        <w:t>各县</w:t>
      </w:r>
      <w:r>
        <w:rPr>
          <w:rFonts w:hint="eastAsia" w:ascii="仿宋" w:hAnsi="仿宋" w:eastAsia="仿宋" w:cs="仿宋"/>
          <w:color w:val="auto"/>
          <w:highlight w:val="none"/>
        </w:rPr>
        <w:t>建设互嵌式完整</w:t>
      </w:r>
      <w:r>
        <w:rPr>
          <w:rFonts w:hint="eastAsia" w:ascii="仿宋" w:hAnsi="仿宋" w:eastAsia="仿宋" w:cs="仿宋"/>
          <w:color w:val="auto"/>
          <w:highlight w:val="none"/>
          <w:lang w:val="en-US" w:eastAsia="zh-CN"/>
        </w:rPr>
        <w:t>居住</w:t>
      </w:r>
      <w:r>
        <w:rPr>
          <w:rFonts w:hint="eastAsia" w:ascii="仿宋" w:hAnsi="仿宋" w:eastAsia="仿宋" w:cs="仿宋"/>
          <w:color w:val="auto"/>
          <w:highlight w:val="none"/>
        </w:rPr>
        <w:t>社区，强化基本公共服务保障和针对不同人群的特色化设施配置。</w:t>
      </w:r>
    </w:p>
    <w:p>
      <w:pPr>
        <w:spacing w:line="620" w:lineRule="exact"/>
        <w:ind w:firstLine="643"/>
        <w:rPr>
          <w:rFonts w:hint="eastAsia" w:ascii="仿宋" w:hAnsi="仿宋" w:eastAsia="仿宋" w:cs="仿宋"/>
          <w:color w:val="auto"/>
          <w:kern w:val="0"/>
          <w:szCs w:val="32"/>
          <w:highlight w:val="none"/>
        </w:rPr>
      </w:pPr>
      <w:r>
        <w:rPr>
          <w:rFonts w:hint="eastAsia" w:ascii="仿宋" w:hAnsi="仿宋" w:eastAsia="仿宋" w:cs="仿宋"/>
          <w:b/>
          <w:bCs/>
          <w:color w:val="auto"/>
          <w:kern w:val="0"/>
          <w:szCs w:val="32"/>
          <w:highlight w:val="none"/>
        </w:rPr>
        <w:t>探索打造互嵌式聚居示范街区。</w:t>
      </w:r>
      <w:r>
        <w:rPr>
          <w:rFonts w:hint="eastAsia" w:ascii="仿宋" w:hAnsi="仿宋" w:eastAsia="仿宋" w:cs="仿宋"/>
          <w:color w:val="auto"/>
          <w:highlight w:val="none"/>
        </w:rPr>
        <w:t>开展依托美食街、特色街区、步行街、夜间经济示范街等的互嵌式社区环境改造行动。</w:t>
      </w:r>
      <w:r>
        <w:rPr>
          <w:rFonts w:hint="eastAsia" w:ascii="仿宋" w:hAnsi="仿宋" w:eastAsia="仿宋" w:cs="仿宋"/>
          <w:color w:val="auto"/>
          <w:kern w:val="0"/>
          <w:szCs w:val="32"/>
          <w:highlight w:val="none"/>
        </w:rPr>
        <w:t>因地制宜，引入文化展示、庭院旅游、特色餐饮等功能，打造多民族聚居、多文化交流的示范街区，探索培育成为人文旅游景区。</w:t>
      </w:r>
    </w:p>
    <w:p>
      <w:pPr>
        <w:pStyle w:val="8"/>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二、促进</w:t>
      </w:r>
      <w:r>
        <w:rPr>
          <w:rFonts w:hint="eastAsia" w:ascii="仿宋" w:hAnsi="仿宋" w:eastAsia="仿宋" w:cs="仿宋"/>
          <w:color w:val="auto"/>
          <w:highlight w:val="none"/>
        </w:rPr>
        <w:t>兵地</w:t>
      </w:r>
      <w:r>
        <w:rPr>
          <w:rFonts w:hint="eastAsia" w:ascii="仿宋" w:hAnsi="仿宋" w:eastAsia="仿宋" w:cs="仿宋"/>
          <w:color w:val="auto"/>
          <w:highlight w:val="none"/>
          <w:lang w:val="en-US" w:eastAsia="zh-CN"/>
        </w:rPr>
        <w:t>住房</w:t>
      </w:r>
      <w:r>
        <w:rPr>
          <w:rFonts w:hint="eastAsia" w:ascii="仿宋" w:hAnsi="仿宋" w:eastAsia="仿宋" w:cs="仿宋"/>
          <w:color w:val="auto"/>
          <w:highlight w:val="none"/>
        </w:rPr>
        <w:t>融合发展</w:t>
      </w:r>
    </w:p>
    <w:p>
      <w:pPr>
        <w:ind w:firstLine="0"/>
        <w:rPr>
          <w:rFonts w:hint="eastAsia" w:ascii="仿宋" w:hAnsi="仿宋" w:eastAsia="仿宋" w:cs="仿宋"/>
          <w:color w:val="auto"/>
          <w:highlight w:val="none"/>
        </w:rPr>
      </w:pPr>
      <w:r>
        <w:rPr>
          <w:rFonts w:hint="eastAsia" w:ascii="仿宋" w:hAnsi="仿宋" w:eastAsia="仿宋" w:cs="仿宋"/>
          <w:b/>
          <w:bCs/>
          <w:color w:val="auto"/>
          <w:highlight w:val="none"/>
        </w:rPr>
        <w:t>促进毗邻地区融合协调发展</w:t>
      </w:r>
      <w:r>
        <w:rPr>
          <w:rFonts w:hint="eastAsia" w:ascii="仿宋" w:hAnsi="仿宋" w:eastAsia="仿宋" w:cs="仿宋"/>
          <w:b/>
          <w:bCs/>
          <w:color w:val="auto"/>
          <w:highlight w:val="none"/>
          <w:lang w:eastAsia="zh-CN"/>
        </w:rPr>
        <w:t>。</w:t>
      </w:r>
      <w:r>
        <w:rPr>
          <w:rFonts w:hint="eastAsia" w:ascii="仿宋" w:hAnsi="仿宋" w:eastAsia="仿宋" w:cs="仿宋"/>
          <w:color w:val="auto"/>
          <w:highlight w:val="none"/>
        </w:rPr>
        <w:t>厘清喀什</w:t>
      </w:r>
      <w:r>
        <w:rPr>
          <w:rFonts w:hint="eastAsia" w:ascii="仿宋" w:hAnsi="仿宋" w:eastAsia="仿宋" w:cs="仿宋"/>
          <w:color w:val="auto"/>
          <w:highlight w:val="none"/>
          <w:lang w:val="en-US" w:eastAsia="zh-CN"/>
        </w:rPr>
        <w:t>地区</w:t>
      </w:r>
      <w:r>
        <w:rPr>
          <w:rFonts w:hint="eastAsia" w:ascii="仿宋" w:hAnsi="仿宋" w:eastAsia="仿宋" w:cs="仿宋"/>
          <w:color w:val="auto"/>
          <w:highlight w:val="none"/>
        </w:rPr>
        <w:t>与</w:t>
      </w:r>
      <w:r>
        <w:rPr>
          <w:rFonts w:hint="eastAsia" w:ascii="仿宋" w:hAnsi="仿宋" w:eastAsia="仿宋" w:cs="仿宋"/>
          <w:color w:val="auto"/>
          <w:highlight w:val="none"/>
          <w:lang w:val="en-US" w:eastAsia="zh-CN"/>
        </w:rPr>
        <w:t>兵团片区</w:t>
      </w:r>
      <w:r>
        <w:rPr>
          <w:rFonts w:hint="eastAsia" w:ascii="仿宋" w:hAnsi="仿宋" w:eastAsia="仿宋" w:cs="仿宋"/>
          <w:color w:val="auto"/>
          <w:highlight w:val="none"/>
        </w:rPr>
        <w:t>毗邻</w:t>
      </w:r>
      <w:r>
        <w:rPr>
          <w:rFonts w:hint="eastAsia" w:ascii="仿宋" w:hAnsi="仿宋" w:eastAsia="仿宋" w:cs="仿宋"/>
          <w:color w:val="auto"/>
          <w:highlight w:val="none"/>
          <w:lang w:val="en-US" w:eastAsia="zh-CN"/>
        </w:rPr>
        <w:t>区域</w:t>
      </w:r>
      <w:r>
        <w:rPr>
          <w:rFonts w:hint="eastAsia" w:ascii="仿宋" w:hAnsi="仿宋" w:eastAsia="仿宋" w:cs="仿宋"/>
          <w:color w:val="auto"/>
          <w:highlight w:val="none"/>
        </w:rPr>
        <w:t>可开发利用的建设空间，</w:t>
      </w:r>
      <w:r>
        <w:rPr>
          <w:rFonts w:hint="eastAsia" w:ascii="仿宋" w:hAnsi="仿宋" w:eastAsia="仿宋" w:cs="仿宋"/>
          <w:bCs/>
          <w:color w:val="auto"/>
          <w:highlight w:val="none"/>
        </w:rPr>
        <w:t>统筹优化</w:t>
      </w:r>
      <w:r>
        <w:rPr>
          <w:rFonts w:hint="eastAsia" w:ascii="仿宋" w:hAnsi="仿宋" w:eastAsia="仿宋" w:cs="仿宋"/>
          <w:color w:val="auto"/>
          <w:highlight w:val="none"/>
          <w:lang w:val="en-US" w:eastAsia="zh-CN"/>
        </w:rPr>
        <w:t>巴楚</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图木舒克、</w:t>
      </w:r>
      <w:r>
        <w:rPr>
          <w:rFonts w:hint="eastAsia" w:ascii="仿宋" w:hAnsi="仿宋" w:eastAsia="仿宋" w:cs="仿宋"/>
          <w:color w:val="auto"/>
          <w:highlight w:val="none"/>
        </w:rPr>
        <w:t>疏附－疏勒－草湖毗邻地区</w:t>
      </w:r>
      <w:r>
        <w:rPr>
          <w:rFonts w:hint="eastAsia" w:ascii="仿宋" w:hAnsi="仿宋" w:eastAsia="仿宋" w:cs="仿宋"/>
          <w:bCs/>
          <w:color w:val="auto"/>
          <w:highlight w:val="none"/>
        </w:rPr>
        <w:t>住房空间布局、土地供应</w:t>
      </w:r>
      <w:r>
        <w:rPr>
          <w:rFonts w:hint="eastAsia" w:ascii="仿宋" w:hAnsi="仿宋" w:eastAsia="仿宋" w:cs="仿宋"/>
          <w:bCs/>
          <w:color w:val="auto"/>
          <w:highlight w:val="none"/>
          <w:lang w:val="en-US" w:eastAsia="zh-CN"/>
        </w:rPr>
        <w:t>与</w:t>
      </w:r>
      <w:r>
        <w:rPr>
          <w:rFonts w:hint="eastAsia" w:ascii="仿宋" w:hAnsi="仿宋" w:eastAsia="仿宋" w:cs="仿宋"/>
          <w:bCs/>
          <w:color w:val="auto"/>
          <w:highlight w:val="none"/>
        </w:rPr>
        <w:t>公共服务配套，健全跨区域协同机制</w:t>
      </w:r>
      <w:r>
        <w:rPr>
          <w:rFonts w:hint="eastAsia" w:ascii="仿宋" w:hAnsi="仿宋" w:eastAsia="仿宋" w:cs="仿宋"/>
          <w:bCs/>
          <w:color w:val="auto"/>
          <w:highlight w:val="none"/>
          <w:lang w:eastAsia="zh-CN"/>
        </w:rPr>
        <w:t>。</w:t>
      </w:r>
      <w:r>
        <w:rPr>
          <w:rFonts w:hint="eastAsia" w:ascii="仿宋" w:hAnsi="仿宋" w:eastAsia="仿宋" w:cs="仿宋"/>
          <w:color w:val="auto"/>
          <w:highlight w:val="none"/>
        </w:rPr>
        <w:t>协同发展房地产市场，引导房地产企业进入毗邻地区开展片区改造、旅游开发、园区建设等，大力发展养老地产、产业地产和旅游地产。</w:t>
      </w:r>
    </w:p>
    <w:p>
      <w:pPr>
        <w:rPr>
          <w:rFonts w:hint="eastAsia" w:ascii="仿宋" w:hAnsi="仿宋" w:eastAsia="仿宋" w:cs="仿宋"/>
          <w:color w:val="auto"/>
          <w:highlight w:val="none"/>
        </w:rPr>
      </w:pPr>
      <w:r>
        <w:rPr>
          <w:rFonts w:hint="eastAsia" w:ascii="仿宋" w:hAnsi="仿宋" w:eastAsia="仿宋" w:cs="仿宋"/>
          <w:b/>
          <w:bCs/>
          <w:color w:val="auto"/>
          <w:highlight w:val="none"/>
        </w:rPr>
        <w:t>强化房地产政策协同</w:t>
      </w:r>
      <w:r>
        <w:rPr>
          <w:rFonts w:hint="eastAsia" w:ascii="仿宋" w:hAnsi="仿宋" w:eastAsia="仿宋" w:cs="仿宋"/>
          <w:b/>
          <w:bCs/>
          <w:color w:val="auto"/>
          <w:highlight w:val="none"/>
          <w:lang w:eastAsia="zh-CN"/>
        </w:rPr>
        <w:t>。</w:t>
      </w:r>
      <w:r>
        <w:rPr>
          <w:rFonts w:hint="eastAsia" w:ascii="仿宋" w:hAnsi="仿宋" w:eastAsia="仿宋" w:cs="仿宋"/>
          <w:color w:val="auto"/>
          <w:highlight w:val="none"/>
        </w:rPr>
        <w:t>遵循</w:t>
      </w:r>
      <w:r>
        <w:rPr>
          <w:rFonts w:hint="eastAsia" w:ascii="仿宋" w:hAnsi="仿宋" w:eastAsia="仿宋" w:cs="仿宋"/>
          <w:color w:val="auto"/>
          <w:highlight w:val="none"/>
          <w:lang w:val="en-US" w:eastAsia="zh-CN"/>
        </w:rPr>
        <w:t>协同</w:t>
      </w:r>
      <w:r>
        <w:rPr>
          <w:rFonts w:hint="eastAsia" w:ascii="仿宋" w:hAnsi="仿宋" w:eastAsia="仿宋" w:cs="仿宋"/>
          <w:color w:val="auto"/>
          <w:highlight w:val="none"/>
        </w:rPr>
        <w:t>互补、互惠共赢原则，增强兵地城镇房地产发展的协调性、联动性，</w:t>
      </w:r>
      <w:r>
        <w:rPr>
          <w:rFonts w:hint="eastAsia" w:ascii="仿宋" w:hAnsi="仿宋" w:eastAsia="仿宋" w:cs="仿宋"/>
          <w:bCs/>
          <w:color w:val="auto"/>
          <w:highlight w:val="none"/>
        </w:rPr>
        <w:t>促进</w:t>
      </w:r>
      <w:r>
        <w:rPr>
          <w:rFonts w:hint="eastAsia" w:ascii="仿宋" w:hAnsi="仿宋" w:eastAsia="仿宋" w:cs="仿宋"/>
          <w:bCs/>
          <w:color w:val="auto"/>
          <w:highlight w:val="none"/>
          <w:lang w:val="en-US" w:eastAsia="zh-CN"/>
        </w:rPr>
        <w:t>地区</w:t>
      </w:r>
      <w:r>
        <w:rPr>
          <w:rFonts w:hint="eastAsia" w:ascii="仿宋" w:hAnsi="仿宋" w:eastAsia="仿宋" w:cs="仿宋"/>
          <w:bCs/>
          <w:color w:val="auto"/>
          <w:highlight w:val="none"/>
        </w:rPr>
        <w:t>与兵团</w:t>
      </w:r>
      <w:r>
        <w:rPr>
          <w:rFonts w:hint="eastAsia" w:ascii="仿宋" w:hAnsi="仿宋" w:eastAsia="仿宋" w:cs="仿宋"/>
          <w:color w:val="auto"/>
          <w:highlight w:val="none"/>
        </w:rPr>
        <w:t>第三师</w:t>
      </w:r>
      <w:r>
        <w:rPr>
          <w:rFonts w:hint="eastAsia" w:ascii="仿宋" w:hAnsi="仿宋" w:eastAsia="仿宋" w:cs="仿宋"/>
          <w:bCs/>
          <w:color w:val="auto"/>
          <w:highlight w:val="none"/>
        </w:rPr>
        <w:t>房地产市场优势互补、有序联动</w:t>
      </w:r>
      <w:r>
        <w:rPr>
          <w:rFonts w:hint="eastAsia" w:ascii="仿宋" w:hAnsi="仿宋" w:eastAsia="仿宋" w:cs="仿宋"/>
          <w:color w:val="auto"/>
          <w:highlight w:val="none"/>
        </w:rPr>
        <w:t>。</w:t>
      </w:r>
      <w:r>
        <w:rPr>
          <w:rFonts w:hint="eastAsia" w:ascii="仿宋" w:hAnsi="仿宋" w:eastAsia="仿宋" w:cs="仿宋"/>
          <w:bCs/>
          <w:color w:val="auto"/>
          <w:highlight w:val="none"/>
        </w:rPr>
        <w:t>推动住房公积金、保障房、不动产登记等深度互通共享</w:t>
      </w:r>
      <w:r>
        <w:rPr>
          <w:rFonts w:hint="eastAsia" w:ascii="仿宋" w:hAnsi="仿宋" w:eastAsia="仿宋" w:cs="仿宋"/>
          <w:color w:val="auto"/>
          <w:highlight w:val="none"/>
        </w:rPr>
        <w:t>。联合加强兵地房地产市场监管，联合开展跨区域监督检查，推进兵地房地产行业信用评价结果共享、监管协同。</w:t>
      </w:r>
    </w:p>
    <w:p>
      <w:pPr>
        <w:pStyle w:val="7"/>
        <w:rPr>
          <w:rFonts w:hint="eastAsia" w:ascii="仿宋" w:hAnsi="仿宋" w:eastAsia="仿宋" w:cs="仿宋"/>
          <w:color w:val="auto"/>
          <w:highlight w:val="none"/>
        </w:rPr>
      </w:pPr>
      <w:bookmarkStart w:id="100" w:name="_Toc28514"/>
      <w:bookmarkStart w:id="101" w:name="_Toc19766"/>
      <w:bookmarkStart w:id="102" w:name="_Toc26363"/>
      <w:bookmarkStart w:id="103" w:name="_Toc53592243"/>
      <w:bookmarkStart w:id="104" w:name="_Toc95230952"/>
      <w:bookmarkStart w:id="105" w:name="_Toc593"/>
      <w:bookmarkStart w:id="106" w:name="_Toc53592320"/>
      <w:bookmarkStart w:id="107" w:name="_Toc8149"/>
      <w:bookmarkStart w:id="108" w:name="_Toc23460"/>
      <w:bookmarkStart w:id="109" w:name="_Toc31302"/>
      <w:bookmarkStart w:id="110" w:name="_Toc26513"/>
      <w:bookmarkStart w:id="111" w:name="_Toc27211"/>
      <w:r>
        <w:rPr>
          <w:rFonts w:hint="eastAsia" w:ascii="仿宋" w:hAnsi="仿宋" w:eastAsia="仿宋" w:cs="仿宋"/>
          <w:color w:val="auto"/>
          <w:highlight w:val="none"/>
        </w:rPr>
        <w:t>推动住房开发、使用与管理转型发展</w:t>
      </w:r>
      <w:bookmarkEnd w:id="100"/>
      <w:bookmarkEnd w:id="101"/>
    </w:p>
    <w:p>
      <w:pPr>
        <w:pStyle w:val="8"/>
        <w:ind w:firstLine="643"/>
        <w:rPr>
          <w:rFonts w:hint="eastAsia" w:ascii="仿宋" w:hAnsi="仿宋" w:eastAsia="仿宋" w:cs="仿宋"/>
          <w:color w:val="auto"/>
          <w:highlight w:val="none"/>
        </w:rPr>
      </w:pPr>
      <w:r>
        <w:rPr>
          <w:rFonts w:hint="eastAsia" w:ascii="仿宋" w:hAnsi="仿宋" w:eastAsia="仿宋" w:cs="仿宋"/>
          <w:color w:val="auto"/>
          <w:highlight w:val="none"/>
        </w:rPr>
        <w:t>一、改革完善房地产开发、融资、销售制度</w:t>
      </w:r>
    </w:p>
    <w:p>
      <w:pPr>
        <w:spacing w:line="620" w:lineRule="exact"/>
        <w:ind w:firstLine="643"/>
        <w:rPr>
          <w:rFonts w:hint="eastAsia" w:ascii="仿宋" w:hAnsi="仿宋" w:eastAsia="仿宋" w:cs="仿宋"/>
          <w:color w:val="auto"/>
          <w:highlight w:val="none"/>
        </w:rPr>
      </w:pPr>
      <w:r>
        <w:rPr>
          <w:rFonts w:hint="eastAsia" w:ascii="仿宋" w:hAnsi="仿宋" w:eastAsia="仿宋" w:cs="仿宋"/>
          <w:b/>
          <w:bCs/>
          <w:color w:val="auto"/>
          <w:highlight w:val="none"/>
        </w:rPr>
        <w:t>建立健全房地产发展新模式相关基础性制度</w:t>
      </w:r>
      <w:r>
        <w:rPr>
          <w:rFonts w:hint="eastAsia" w:ascii="仿宋" w:hAnsi="仿宋" w:eastAsia="仿宋" w:cs="仿宋"/>
          <w:b/>
          <w:bCs/>
          <w:color w:val="auto"/>
          <w:highlight w:val="none"/>
          <w:lang w:eastAsia="zh-CN"/>
        </w:rPr>
        <w:t>。</w:t>
      </w:r>
      <w:r>
        <w:rPr>
          <w:rFonts w:hint="eastAsia" w:ascii="仿宋" w:hAnsi="仿宋" w:eastAsia="仿宋" w:cs="仿宋"/>
          <w:color w:val="auto"/>
          <w:highlight w:val="none"/>
        </w:rPr>
        <w:t>建立项目公司制度，保障项目公司独立法人地位和日常开发经营权，通过主办银行融资，项目交付前不能违规抽调挪用资金。建立主办银行制，形成主办银行与项目开发公司利润共享、风险共担的利益共同体，项目开发公司与主办银行进行双向选择。有力有序推进现房销售，鼓励有条件的县市积极探索现房销售模式。</w:t>
      </w:r>
    </w:p>
    <w:p>
      <w:pPr>
        <w:spacing w:line="620" w:lineRule="exact"/>
        <w:ind w:firstLine="643"/>
        <w:rPr>
          <w:rFonts w:hint="eastAsia" w:ascii="仿宋" w:hAnsi="仿宋" w:eastAsia="仿宋" w:cs="仿宋"/>
          <w:color w:val="auto"/>
          <w:highlight w:val="none"/>
        </w:rPr>
      </w:pPr>
      <w:r>
        <w:rPr>
          <w:rFonts w:hint="eastAsia" w:ascii="仿宋" w:hAnsi="仿宋" w:eastAsia="仿宋" w:cs="仿宋"/>
          <w:b/>
          <w:bCs/>
          <w:color w:val="auto"/>
          <w:highlight w:val="none"/>
        </w:rPr>
        <w:t>加快构建房屋全生命周期安全管理制度。</w:t>
      </w:r>
      <w:r>
        <w:rPr>
          <w:rFonts w:hint="eastAsia" w:ascii="仿宋" w:hAnsi="仿宋" w:eastAsia="仿宋" w:cs="仿宋"/>
          <w:color w:val="auto"/>
          <w:highlight w:val="none"/>
        </w:rPr>
        <w:t>建立房屋体检制度，及时发现问题，防范风险隐患。建立房屋安全管理资金制度，多渠道筹集资金，建立公共账户，制定房屋养老金的管理办法。建立房屋保险制度，由政府政策引导，运用市场化方式提高安全保障能力。</w:t>
      </w:r>
    </w:p>
    <w:p>
      <w:pPr>
        <w:pStyle w:val="8"/>
        <w:ind w:firstLine="643"/>
        <w:rPr>
          <w:rFonts w:hint="eastAsia" w:ascii="仿宋" w:hAnsi="仿宋" w:eastAsia="仿宋" w:cs="仿宋"/>
          <w:color w:val="auto"/>
          <w:highlight w:val="none"/>
        </w:rPr>
      </w:pPr>
      <w:r>
        <w:rPr>
          <w:rFonts w:hint="eastAsia" w:ascii="仿宋" w:hAnsi="仿宋" w:eastAsia="仿宋" w:cs="仿宋"/>
          <w:color w:val="auto"/>
          <w:highlight w:val="none"/>
        </w:rPr>
        <w:t>二、创新数字管理新机制</w:t>
      </w:r>
    </w:p>
    <w:p>
      <w:pPr>
        <w:spacing w:line="580" w:lineRule="exact"/>
        <w:ind w:firstLine="643"/>
        <w:rPr>
          <w:rFonts w:hint="eastAsia" w:ascii="仿宋" w:hAnsi="仿宋" w:eastAsia="仿宋" w:cs="仿宋"/>
          <w:b w:val="0"/>
          <w:bCs w:val="0"/>
          <w:color w:val="auto"/>
          <w:highlight w:val="none"/>
        </w:rPr>
      </w:pPr>
      <w:r>
        <w:rPr>
          <w:rFonts w:hint="eastAsia" w:ascii="仿宋" w:hAnsi="仿宋" w:eastAsia="仿宋" w:cs="仿宋"/>
          <w:b/>
          <w:bCs/>
          <w:color w:val="auto"/>
          <w:highlight w:val="none"/>
        </w:rPr>
        <w:t>优化“智慧住房”平台建设。</w:t>
      </w:r>
      <w:r>
        <w:rPr>
          <w:rFonts w:hint="eastAsia" w:ascii="仿宋" w:hAnsi="仿宋" w:eastAsia="仿宋" w:cs="仿宋"/>
          <w:b w:val="0"/>
          <w:bCs w:val="0"/>
          <w:color w:val="auto"/>
          <w:highlight w:val="none"/>
        </w:rPr>
        <w:t>完善开发交易系统功能，细化业务模块配置，</w:t>
      </w:r>
      <w:r>
        <w:rPr>
          <w:rFonts w:hint="eastAsia" w:ascii="仿宋" w:hAnsi="仿宋" w:eastAsia="仿宋" w:cs="仿宋"/>
          <w:bCs/>
          <w:color w:val="auto"/>
          <w:kern w:val="0"/>
          <w:szCs w:val="32"/>
          <w:highlight w:val="none"/>
          <w:lang w:val="en-US" w:eastAsia="zh-CN"/>
        </w:rPr>
        <w:t>逐步达成</w:t>
      </w:r>
      <w:r>
        <w:rPr>
          <w:rFonts w:hint="eastAsia" w:ascii="仿宋" w:hAnsi="仿宋" w:eastAsia="仿宋" w:cs="仿宋"/>
          <w:b w:val="0"/>
          <w:bCs w:val="0"/>
          <w:color w:val="auto"/>
          <w:highlight w:val="none"/>
        </w:rPr>
        <w:t>对房地产项目从拿地到交付各环节的动态监管，推进全部关联业务线上办理。优化物业服务管理系统功能，搭建物业管理与生活服务相融合的应用场景，支撑小区管理数字化转型。优化房屋安全综合管理服务系统，健全常态化动态监测和风险预警机制，增强房屋安全防范能力。建立房屋数字身份证，推行“一房一码”，为房屋全生命周期管理提供精准数据底座。</w:t>
      </w:r>
    </w:p>
    <w:p>
      <w:pPr>
        <w:spacing w:line="580" w:lineRule="exact"/>
        <w:ind w:firstLine="643"/>
        <w:rPr>
          <w:rFonts w:hint="eastAsia" w:ascii="仿宋" w:hAnsi="仿宋" w:eastAsia="仿宋" w:cs="仿宋"/>
          <w:b/>
          <w:bCs/>
          <w:color w:val="auto"/>
          <w:highlight w:val="none"/>
        </w:rPr>
      </w:pPr>
      <w:r>
        <w:rPr>
          <w:rFonts w:hint="eastAsia" w:ascii="仿宋" w:hAnsi="仿宋" w:eastAsia="仿宋" w:cs="仿宋"/>
          <w:b/>
          <w:bCs/>
          <w:color w:val="auto"/>
          <w:highlight w:val="none"/>
        </w:rPr>
        <w:t>优化“智慧住房保障”系统功能。</w:t>
      </w:r>
      <w:r>
        <w:rPr>
          <w:rFonts w:hint="eastAsia" w:ascii="仿宋" w:hAnsi="仿宋" w:eastAsia="仿宋" w:cs="仿宋"/>
          <w:b w:val="0"/>
          <w:bCs w:val="0"/>
          <w:color w:val="auto"/>
          <w:highlight w:val="none"/>
        </w:rPr>
        <w:t>完善保障性住房全链条监管机制，强化服务质效闭环管控，推动城镇住房保障重心由建设筹集逐步向运营管理过渡，构建全域覆盖、协同联动的保障性住房精细治理体系。建设保障性住房轮候库，为各</w:t>
      </w:r>
      <w:r>
        <w:rPr>
          <w:rFonts w:hint="eastAsia" w:ascii="仿宋" w:hAnsi="仿宋" w:eastAsia="仿宋" w:cs="仿宋"/>
          <w:b w:val="0"/>
          <w:bCs w:val="0"/>
          <w:color w:val="auto"/>
          <w:highlight w:val="none"/>
          <w:lang w:val="en-US" w:eastAsia="zh-CN"/>
        </w:rPr>
        <w:t>县市</w:t>
      </w:r>
      <w:r>
        <w:rPr>
          <w:rFonts w:hint="eastAsia" w:ascii="仿宋" w:hAnsi="仿宋" w:eastAsia="仿宋" w:cs="仿宋"/>
          <w:b w:val="0"/>
          <w:bCs w:val="0"/>
          <w:color w:val="auto"/>
          <w:highlight w:val="none"/>
        </w:rPr>
        <w:t>按需定建、按需定购提供精准数据支撑，促进管理规范化与服务便民化水平同步提升。</w:t>
      </w:r>
    </w:p>
    <w:bookmarkEnd w:id="102"/>
    <w:bookmarkEnd w:id="103"/>
    <w:bookmarkEnd w:id="104"/>
    <w:bookmarkEnd w:id="105"/>
    <w:bookmarkEnd w:id="106"/>
    <w:bookmarkEnd w:id="107"/>
    <w:bookmarkEnd w:id="108"/>
    <w:bookmarkEnd w:id="109"/>
    <w:bookmarkEnd w:id="110"/>
    <w:bookmarkEnd w:id="111"/>
    <w:p>
      <w:pPr>
        <w:pStyle w:val="6"/>
        <w:rPr>
          <w:rFonts w:hint="eastAsia" w:ascii="仿宋" w:hAnsi="仿宋" w:eastAsia="仿宋" w:cs="仿宋"/>
          <w:color w:val="auto"/>
          <w:highlight w:val="none"/>
        </w:rPr>
      </w:pPr>
      <w:bookmarkStart w:id="112" w:name="_Toc20824"/>
      <w:bookmarkStart w:id="113" w:name="_Toc32750"/>
      <w:bookmarkStart w:id="114" w:name="_Toc15611"/>
      <w:bookmarkStart w:id="115" w:name="_Toc17957"/>
      <w:bookmarkStart w:id="116" w:name="_Toc30434"/>
      <w:bookmarkStart w:id="117" w:name="_Toc15177"/>
      <w:bookmarkStart w:id="118" w:name="_Toc30071"/>
      <w:bookmarkStart w:id="119" w:name="_Toc11569"/>
      <w:bookmarkStart w:id="120" w:name="_Toc95230953"/>
      <w:r>
        <w:rPr>
          <w:rFonts w:hint="eastAsia" w:ascii="仿宋" w:hAnsi="仿宋" w:eastAsia="仿宋" w:cs="仿宋"/>
          <w:color w:val="auto"/>
          <w:highlight w:val="none"/>
        </w:rPr>
        <w:br w:type="page"/>
      </w:r>
      <w:bookmarkStart w:id="121" w:name="_Toc24128"/>
      <w:bookmarkStart w:id="122" w:name="_Toc3228"/>
      <w:r>
        <w:rPr>
          <w:rFonts w:hint="eastAsia" w:ascii="仿宋" w:hAnsi="仿宋" w:eastAsia="仿宋" w:cs="仿宋"/>
          <w:color w:val="auto"/>
          <w:highlight w:val="none"/>
        </w:rPr>
        <w:t>空间指引</w:t>
      </w:r>
      <w:bookmarkEnd w:id="112"/>
      <w:bookmarkEnd w:id="113"/>
      <w:bookmarkEnd w:id="114"/>
      <w:bookmarkEnd w:id="115"/>
      <w:bookmarkEnd w:id="116"/>
      <w:bookmarkEnd w:id="117"/>
      <w:bookmarkEnd w:id="118"/>
      <w:bookmarkEnd w:id="119"/>
      <w:bookmarkEnd w:id="120"/>
      <w:bookmarkEnd w:id="121"/>
      <w:bookmarkEnd w:id="122"/>
    </w:p>
    <w:p>
      <w:pPr>
        <w:pStyle w:val="7"/>
        <w:numPr>
          <w:ilvl w:val="1"/>
          <w:numId w:val="6"/>
        </w:numPr>
        <w:rPr>
          <w:rFonts w:hint="eastAsia" w:ascii="仿宋" w:hAnsi="仿宋" w:eastAsia="仿宋" w:cs="仿宋"/>
          <w:color w:val="auto"/>
          <w:highlight w:val="none"/>
        </w:rPr>
      </w:pPr>
      <w:bookmarkStart w:id="123" w:name="_Toc18697"/>
      <w:bookmarkStart w:id="124" w:name="_Toc5406"/>
      <w:bookmarkStart w:id="125" w:name="_Toc16636"/>
      <w:bookmarkStart w:id="126" w:name="_Toc21812"/>
      <w:bookmarkStart w:id="127" w:name="_Toc28243"/>
      <w:bookmarkStart w:id="128" w:name="_Toc2446"/>
      <w:bookmarkStart w:id="129" w:name="_Toc12949"/>
      <w:bookmarkStart w:id="130" w:name="_Toc13365"/>
      <w:bookmarkStart w:id="131" w:name="_Toc28153"/>
      <w:bookmarkStart w:id="132" w:name="_Toc95230964"/>
      <w:r>
        <w:rPr>
          <w:rFonts w:hint="eastAsia" w:ascii="仿宋" w:hAnsi="仿宋" w:eastAsia="仿宋" w:cs="仿宋"/>
          <w:color w:val="auto"/>
          <w:highlight w:val="none"/>
        </w:rPr>
        <w:t>喀什城市圈核心区指引</w:t>
      </w:r>
      <w:bookmarkEnd w:id="123"/>
      <w:bookmarkEnd w:id="124"/>
    </w:p>
    <w:p>
      <w:pPr>
        <w:pStyle w:val="8"/>
        <w:numPr>
          <w:ilvl w:val="0"/>
          <w:numId w:val="0"/>
        </w:numPr>
        <w:ind w:left="640" w:left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一、优化住房发展的空间形态</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构建“二轴四心”的总体发展结构。</w:t>
      </w:r>
      <w:r>
        <w:rPr>
          <w:rFonts w:hint="eastAsia" w:ascii="仿宋" w:hAnsi="仿宋" w:eastAsia="仿宋" w:cs="仿宋"/>
          <w:color w:val="auto"/>
          <w:highlight w:val="none"/>
        </w:rPr>
        <w:t>沿东西城市特色风貌主轴、南北文化生态风貌次轴“二轴”形成的城市十字脉络上植入现代化高品质住宅，联动公共功能，塑造高品质城市形象。围绕喀什古城、喀什新城</w:t>
      </w:r>
      <w:r>
        <w:rPr>
          <w:rFonts w:hint="eastAsia" w:ascii="仿宋" w:hAnsi="仿宋" w:eastAsia="仿宋" w:cs="仿宋"/>
          <w:color w:val="auto"/>
          <w:highlight w:val="none"/>
          <w:lang w:eastAsia="zh-CN"/>
        </w:rPr>
        <w:t>两个</w:t>
      </w:r>
      <w:r>
        <w:rPr>
          <w:rFonts w:hint="eastAsia" w:ascii="仿宋" w:hAnsi="仿宋" w:eastAsia="仿宋" w:cs="仿宋"/>
          <w:color w:val="auto"/>
          <w:highlight w:val="none"/>
        </w:rPr>
        <w:t>主要活力核心，打造高品质住宅样板，营造特色公共空间，与周边建筑共同形成错落有致、富有韵律的城市天际线，在喀什老城及其周边区域的新建或改造项目，建筑风格、色彩、体量应与古城风貌相协调</w:t>
      </w:r>
      <w:r>
        <w:rPr>
          <w:rFonts w:hint="eastAsia" w:ascii="仿宋" w:hAnsi="仿宋" w:eastAsia="仿宋" w:cs="仿宋"/>
          <w:color w:val="auto"/>
          <w:highlight w:val="none"/>
          <w:lang w:eastAsia="zh-CN"/>
        </w:rPr>
        <w:t>。加强历史城区周边重要城市界面的设计管控和风貌引导，塑造现代城区到历史城区的有机过渡。</w:t>
      </w:r>
      <w:r>
        <w:rPr>
          <w:rFonts w:hint="eastAsia" w:ascii="仿宋" w:hAnsi="仿宋" w:eastAsia="仿宋" w:cs="仿宋"/>
          <w:color w:val="auto"/>
          <w:highlight w:val="none"/>
        </w:rPr>
        <w:t>疏附县、疏勒县两个次要活力核心布局中低强度住区，保证居住舒适度，</w:t>
      </w:r>
      <w:r>
        <w:rPr>
          <w:rFonts w:hint="eastAsia" w:ascii="仿宋" w:hAnsi="仿宋" w:eastAsia="仿宋" w:cs="仿宋"/>
          <w:color w:val="auto"/>
          <w:highlight w:val="none"/>
          <w:lang w:val="en-US" w:eastAsia="zh-CN"/>
        </w:rPr>
        <w:t>提高规划设计水平</w:t>
      </w:r>
      <w:r>
        <w:rPr>
          <w:rFonts w:hint="eastAsia" w:ascii="仿宋" w:hAnsi="仿宋" w:eastAsia="仿宋" w:cs="仿宋"/>
          <w:color w:val="auto"/>
          <w:highlight w:val="none"/>
        </w:rPr>
        <w:t>。</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引导形成差异化、多样化的三类住区形态风貌。</w:t>
      </w:r>
      <w:r>
        <w:rPr>
          <w:rFonts w:hint="eastAsia" w:ascii="仿宋" w:hAnsi="仿宋" w:eastAsia="仿宋" w:cs="仿宋"/>
          <w:color w:val="auto"/>
          <w:highlight w:val="none"/>
        </w:rPr>
        <w:t>按照地域文化特色类、现代都市类、生态景观类分类指引住区建设。现代都市类地区以现代简约中等强度住宅（10—18层）为主，适当穿插布局少量中高强度住宅；地域文化类地区以兼具地方特色与绿色生态的中低强度住宅（7—9层）为主；生态景观类地区以疏密有致的组团式、田园式低密度住宅（4—6层）为主，适当布局高品质洋房。</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二</w:t>
      </w:r>
      <w:r>
        <w:rPr>
          <w:rFonts w:hint="eastAsia" w:ascii="仿宋" w:hAnsi="仿宋" w:eastAsia="仿宋" w:cs="仿宋"/>
          <w:color w:val="auto"/>
          <w:highlight w:val="none"/>
        </w:rPr>
        <w:t>、分片区指引</w:t>
      </w:r>
    </w:p>
    <w:p>
      <w:pPr>
        <w:spacing w:line="240" w:lineRule="auto"/>
        <w:ind w:firstLine="0"/>
        <w:rPr>
          <w:rFonts w:hint="eastAsia" w:ascii="仿宋" w:hAnsi="仿宋" w:eastAsia="仿宋" w:cs="仿宋"/>
          <w:color w:val="auto"/>
          <w:highlight w:val="none"/>
        </w:rPr>
      </w:pPr>
      <w:r>
        <w:rPr>
          <w:rFonts w:hint="eastAsia" w:ascii="仿宋" w:hAnsi="仿宋" w:eastAsia="仿宋" w:cs="仿宋"/>
          <w:b/>
          <w:bCs/>
          <w:color w:val="auto"/>
          <w:highlight w:val="none"/>
        </w:rPr>
        <w:t>喀什老城</w:t>
      </w:r>
      <w:r>
        <w:rPr>
          <w:rFonts w:hint="eastAsia" w:ascii="仿宋" w:hAnsi="仿宋" w:eastAsia="仿宋" w:cs="仿宋"/>
          <w:color w:val="auto"/>
          <w:highlight w:val="none"/>
        </w:rPr>
        <w:t>定位为对外彰显中华风范、对内更好凝聚人心的现代化区域中心城市核心片区，富有历史特色、景观风貌协调的历史人文风貌区。通过加快完善经济文化、商贸物流、综合服务等功能，提升人口承载能力。针对</w:t>
      </w:r>
      <w:r>
        <w:rPr>
          <w:rFonts w:hint="eastAsia" w:ascii="仿宋" w:hAnsi="仿宋" w:eastAsia="仿宋" w:cs="仿宋"/>
          <w:color w:val="auto"/>
          <w:highlight w:val="none"/>
          <w:lang w:val="en-US" w:eastAsia="zh-CN"/>
        </w:rPr>
        <w:t>新市民、青年人、引进</w:t>
      </w:r>
      <w:r>
        <w:rPr>
          <w:rFonts w:hint="eastAsia" w:ascii="仿宋" w:hAnsi="仿宋" w:eastAsia="仿宋" w:cs="仿宋"/>
          <w:color w:val="auto"/>
          <w:highlight w:val="none"/>
        </w:rPr>
        <w:t>人才、旅游暂住人口、商务人口</w:t>
      </w:r>
      <w:r>
        <w:rPr>
          <w:rFonts w:hint="eastAsia" w:ascii="仿宋" w:hAnsi="仿宋" w:eastAsia="仿宋" w:cs="仿宋"/>
          <w:color w:val="auto"/>
          <w:highlight w:val="none"/>
          <w:lang w:val="en-US" w:eastAsia="zh-CN"/>
        </w:rPr>
        <w:t>等</w:t>
      </w:r>
      <w:r>
        <w:rPr>
          <w:rFonts w:hint="eastAsia" w:ascii="仿宋" w:hAnsi="仿宋" w:eastAsia="仿宋" w:cs="仿宋"/>
          <w:color w:val="auto"/>
          <w:highlight w:val="none"/>
        </w:rPr>
        <w:t>人群需求，喀什老城在房地产市场发展上以改善型</w:t>
      </w:r>
      <w:r>
        <w:rPr>
          <w:rFonts w:hint="eastAsia" w:ascii="仿宋" w:hAnsi="仿宋" w:eastAsia="仿宋" w:cs="仿宋"/>
          <w:color w:val="auto"/>
          <w:highlight w:val="none"/>
          <w:lang w:val="en-US" w:eastAsia="zh-CN"/>
        </w:rPr>
        <w:t>住宅</w:t>
      </w:r>
      <w:r>
        <w:rPr>
          <w:rFonts w:hint="eastAsia" w:ascii="仿宋" w:hAnsi="仿宋" w:eastAsia="仿宋" w:cs="仿宋"/>
          <w:color w:val="auto"/>
          <w:highlight w:val="none"/>
        </w:rPr>
        <w:t>为主，</w:t>
      </w:r>
      <w:r>
        <w:rPr>
          <w:rFonts w:hint="eastAsia" w:ascii="仿宋" w:hAnsi="仿宋" w:eastAsia="仿宋" w:cs="仿宋"/>
          <w:color w:val="auto"/>
          <w:highlight w:val="none"/>
          <w:lang w:val="en-US" w:eastAsia="zh-CN"/>
        </w:rPr>
        <w:t>稳步推进城镇老旧小区改造、城中村工作、危旧房改造等工作</w:t>
      </w:r>
      <w:r>
        <w:rPr>
          <w:rFonts w:hint="eastAsia" w:ascii="仿宋" w:hAnsi="仿宋" w:eastAsia="仿宋" w:cs="仿宋"/>
          <w:color w:val="auto"/>
          <w:highlight w:val="none"/>
        </w:rPr>
        <w:t>。结合完整社区建设，完善社区设施配套，</w:t>
      </w:r>
      <w:r>
        <w:rPr>
          <w:rFonts w:hint="eastAsia" w:ascii="仿宋" w:hAnsi="仿宋" w:eastAsia="仿宋" w:cs="仿宋"/>
          <w:bCs/>
          <w:color w:val="auto"/>
          <w:highlight w:val="none"/>
        </w:rPr>
        <w:t>适度开发地下空间改善停车和配套设施需求</w:t>
      </w:r>
      <w:r>
        <w:rPr>
          <w:rFonts w:hint="eastAsia" w:ascii="仿宋" w:hAnsi="仿宋" w:eastAsia="仿宋" w:cs="仿宋"/>
          <w:color w:val="auto"/>
          <w:highlight w:val="none"/>
        </w:rPr>
        <w:t>。“十五五”期间，居住用地优先利用区域为北湖西组团、站前组团。</w:t>
      </w:r>
    </w:p>
    <w:p>
      <w:pPr>
        <w:spacing w:line="620" w:lineRule="exact"/>
        <w:ind w:firstLine="640" w:firstLineChars="0"/>
        <w:rPr>
          <w:rFonts w:hint="eastAsia" w:ascii="仿宋" w:hAnsi="仿宋" w:eastAsia="仿宋" w:cs="仿宋"/>
          <w:color w:val="auto"/>
          <w:highlight w:val="none"/>
        </w:rPr>
      </w:pPr>
      <w:r>
        <w:rPr>
          <w:rFonts w:hint="eastAsia" w:ascii="仿宋" w:hAnsi="仿宋" w:eastAsia="仿宋" w:cs="仿宋"/>
          <w:b/>
          <w:bCs/>
          <w:color w:val="auto"/>
          <w:highlight w:val="none"/>
        </w:rPr>
        <w:t>喀什新城</w:t>
      </w:r>
      <w:r>
        <w:rPr>
          <w:rFonts w:hint="eastAsia" w:ascii="仿宋" w:hAnsi="仿宋" w:eastAsia="仿宋" w:cs="仿宋"/>
          <w:color w:val="auto"/>
          <w:highlight w:val="none"/>
        </w:rPr>
        <w:t>定位为喀什城市圈对外开放主平台和新发展动能集聚区。喀什新城需提升城市综合承载能力，系统增强对人才、资本、技术等关键要素的集聚与配置效率。针对城市发展需求，喀什新城进一步完善中心城区发展框架，建设城市重点片区；房地产市场发展以</w:t>
      </w:r>
      <w:r>
        <w:rPr>
          <w:rFonts w:hint="eastAsia" w:ascii="仿宋" w:hAnsi="仿宋" w:eastAsia="仿宋" w:cs="仿宋"/>
          <w:color w:val="auto"/>
          <w:highlight w:val="none"/>
          <w:lang w:val="en-US" w:eastAsia="zh-CN"/>
        </w:rPr>
        <w:t>改善型住宅和</w:t>
      </w:r>
      <w:r>
        <w:rPr>
          <w:rFonts w:hint="eastAsia" w:ascii="仿宋" w:hAnsi="仿宋" w:eastAsia="仿宋" w:cs="仿宋"/>
          <w:color w:val="auto"/>
          <w:highlight w:val="none"/>
        </w:rPr>
        <w:t>刚改型</w:t>
      </w:r>
      <w:r>
        <w:rPr>
          <w:rFonts w:hint="eastAsia" w:ascii="仿宋" w:hAnsi="仿宋" w:eastAsia="仿宋" w:cs="仿宋"/>
          <w:color w:val="auto"/>
          <w:highlight w:val="none"/>
          <w:lang w:val="en-US" w:eastAsia="zh-CN"/>
        </w:rPr>
        <w:t>住宅</w:t>
      </w:r>
      <w:r>
        <w:rPr>
          <w:rFonts w:hint="eastAsia" w:ascii="仿宋" w:hAnsi="仿宋" w:eastAsia="仿宋" w:cs="仿宋"/>
          <w:color w:val="auto"/>
          <w:highlight w:val="none"/>
        </w:rPr>
        <w:t>为主，完善公服配套设施，</w:t>
      </w:r>
      <w:r>
        <w:rPr>
          <w:rFonts w:hint="eastAsia" w:ascii="仿宋" w:hAnsi="仿宋" w:eastAsia="仿宋" w:cs="仿宋"/>
          <w:bCs/>
          <w:color w:val="auto"/>
          <w:highlight w:val="none"/>
        </w:rPr>
        <w:t>适度开发地下空间改善停车和配套设施需求</w:t>
      </w:r>
      <w:r>
        <w:rPr>
          <w:rFonts w:hint="eastAsia" w:ascii="仿宋" w:hAnsi="仿宋" w:eastAsia="仿宋" w:cs="仿宋"/>
          <w:bCs/>
          <w:color w:val="auto"/>
          <w:highlight w:val="none"/>
          <w:lang w:eastAsia="zh-CN"/>
        </w:rPr>
        <w:t>；</w:t>
      </w:r>
      <w:r>
        <w:rPr>
          <w:rFonts w:hint="eastAsia" w:ascii="仿宋" w:hAnsi="仿宋" w:eastAsia="仿宋" w:cs="仿宋"/>
          <w:bCs/>
          <w:color w:val="auto"/>
          <w:highlight w:val="none"/>
          <w:lang w:val="en-US" w:eastAsia="zh-CN"/>
        </w:rPr>
        <w:t>面向新市民、青年人提供高品质保障性租赁住房</w:t>
      </w:r>
      <w:r>
        <w:rPr>
          <w:rFonts w:hint="eastAsia" w:ascii="仿宋" w:hAnsi="仿宋" w:eastAsia="仿宋" w:cs="仿宋"/>
          <w:color w:val="auto"/>
          <w:highlight w:val="none"/>
        </w:rPr>
        <w:t>。“十五五”期间，居住用地优先利用区域为城北组团、新城南组团。</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疏附县</w:t>
      </w:r>
      <w:r>
        <w:rPr>
          <w:rFonts w:hint="eastAsia" w:ascii="仿宋" w:hAnsi="仿宋" w:eastAsia="仿宋" w:cs="仿宋"/>
          <w:color w:val="auto"/>
          <w:highlight w:val="none"/>
        </w:rPr>
        <w:t>定位为喀什城市圈农副产品交易与精深加工、能源产业和数智制造基地、公铁联运喀什物流枢纽副中心、南疆国家区域医疗中心。疏附县在房地产市场发展上以刚改型</w:t>
      </w:r>
      <w:r>
        <w:rPr>
          <w:rFonts w:hint="eastAsia" w:ascii="仿宋" w:hAnsi="仿宋" w:eastAsia="仿宋" w:cs="仿宋"/>
          <w:color w:val="auto"/>
          <w:highlight w:val="none"/>
          <w:lang w:val="en-US" w:eastAsia="zh-CN"/>
        </w:rPr>
        <w:t>住宅</w:t>
      </w:r>
      <w:r>
        <w:rPr>
          <w:rFonts w:hint="eastAsia" w:ascii="仿宋" w:hAnsi="仿宋" w:eastAsia="仿宋" w:cs="仿宋"/>
          <w:color w:val="auto"/>
          <w:highlight w:val="none"/>
        </w:rPr>
        <w:t>为主，优化商业服务设施，打造休闲文旅体验住宿产品，推进与喀什市联动发展。“十五五”期间，居住用地优先利用区域为高等院校新城组团。</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疏勒县</w:t>
      </w:r>
      <w:r>
        <w:rPr>
          <w:rFonts w:hint="eastAsia" w:ascii="仿宋" w:hAnsi="仿宋" w:eastAsia="仿宋" w:cs="仿宋"/>
          <w:color w:val="auto"/>
          <w:highlight w:val="none"/>
        </w:rPr>
        <w:t>定位为进出口导向的特色加工制造基地、中欧班列喀什物流枢纽副中心、喀什地区重要的蔬菜基地、丝路文化和民族风情旅游目的地主战场。疏勒县中心城区在房地产市场发展上以刚改型</w:t>
      </w:r>
      <w:r>
        <w:rPr>
          <w:rFonts w:hint="eastAsia" w:ascii="仿宋" w:hAnsi="仿宋" w:eastAsia="仿宋" w:cs="仿宋"/>
          <w:color w:val="auto"/>
          <w:highlight w:val="none"/>
          <w:lang w:val="en-US" w:eastAsia="zh-CN"/>
        </w:rPr>
        <w:t>住宅</w:t>
      </w:r>
      <w:r>
        <w:rPr>
          <w:rFonts w:hint="eastAsia" w:ascii="仿宋" w:hAnsi="仿宋" w:eastAsia="仿宋" w:cs="仿宋"/>
          <w:color w:val="auto"/>
          <w:highlight w:val="none"/>
        </w:rPr>
        <w:t>为主，优化制造物流产业园区住房配套，推进与喀什市联动发展。“十五五”期间，居住用地优先利用区域为疏勒乐活宜居组团。</w:t>
      </w:r>
    </w:p>
    <w:p>
      <w:pPr>
        <w:pStyle w:val="7"/>
        <w:rPr>
          <w:rFonts w:hint="eastAsia" w:ascii="仿宋" w:hAnsi="仿宋" w:eastAsia="仿宋" w:cs="仿宋"/>
          <w:color w:val="auto"/>
          <w:highlight w:val="none"/>
        </w:rPr>
      </w:pPr>
      <w:bookmarkStart w:id="133" w:name="_Toc3314"/>
      <w:bookmarkStart w:id="134" w:name="_Toc21624"/>
      <w:r>
        <w:rPr>
          <w:rFonts w:hint="eastAsia" w:ascii="仿宋" w:hAnsi="仿宋" w:eastAsia="仿宋" w:cs="仿宋"/>
          <w:color w:val="auto"/>
          <w:highlight w:val="none"/>
        </w:rPr>
        <w:t>其他县指引</w:t>
      </w:r>
      <w:bookmarkEnd w:id="133"/>
      <w:bookmarkEnd w:id="134"/>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一、英吉沙县</w:t>
      </w:r>
    </w:p>
    <w:p>
      <w:pPr>
        <w:spacing w:line="240" w:lineRule="auto"/>
        <w:ind w:firstLine="640"/>
        <w:rPr>
          <w:rFonts w:hint="eastAsia" w:ascii="仿宋" w:hAnsi="仿宋" w:eastAsia="仿宋" w:cs="仿宋"/>
          <w:color w:val="auto"/>
          <w:highlight w:val="none"/>
        </w:rPr>
      </w:pPr>
      <w:r>
        <w:rPr>
          <w:rFonts w:hint="eastAsia" w:ascii="仿宋" w:hAnsi="仿宋" w:eastAsia="仿宋" w:cs="仿宋"/>
          <w:color w:val="auto"/>
          <w:highlight w:val="none"/>
        </w:rPr>
        <w:t>英吉沙县定位为喀什休闲之城、新型工业之城、商贸物流之城、生态宜居之城。住房市场方面，提升商品房居住品质，推动建设“好房子”；结合城区周边芒辛非遗小镇、南湖水库等</w:t>
      </w:r>
      <w:r>
        <w:rPr>
          <w:rFonts w:hint="eastAsia" w:ascii="仿宋" w:hAnsi="仿宋" w:eastAsia="仿宋" w:cs="仿宋"/>
          <w:color w:val="auto"/>
          <w:highlight w:val="none"/>
          <w:lang w:val="en-US" w:eastAsia="zh-CN"/>
        </w:rPr>
        <w:t>旅游</w:t>
      </w:r>
      <w:r>
        <w:rPr>
          <w:rFonts w:hint="eastAsia" w:ascii="仿宋" w:hAnsi="仿宋" w:eastAsia="仿宋" w:cs="仿宋"/>
          <w:color w:val="auto"/>
          <w:highlight w:val="none"/>
        </w:rPr>
        <w:t>资源，探索打造</w:t>
      </w:r>
      <w:r>
        <w:rPr>
          <w:rFonts w:hint="eastAsia" w:ascii="仿宋" w:hAnsi="仿宋" w:eastAsia="仿宋" w:cs="仿宋"/>
          <w:color w:val="auto"/>
          <w:highlight w:val="none"/>
          <w:lang w:eastAsia="zh-CN"/>
        </w:rPr>
        <w:t>旅居</w:t>
      </w:r>
      <w:r>
        <w:rPr>
          <w:rFonts w:hint="eastAsia" w:ascii="仿宋" w:hAnsi="仿宋" w:eastAsia="仿宋" w:cs="仿宋"/>
          <w:color w:val="auto"/>
          <w:highlight w:val="none"/>
        </w:rPr>
        <w:t>产品。在住房保障</w:t>
      </w:r>
      <w:r>
        <w:rPr>
          <w:rFonts w:hint="eastAsia" w:ascii="仿宋" w:hAnsi="仿宋" w:eastAsia="仿宋" w:cs="仿宋"/>
          <w:color w:val="auto"/>
          <w:highlight w:val="none"/>
          <w:lang w:val="en-US" w:eastAsia="zh-CN"/>
        </w:rPr>
        <w:t>方面</w:t>
      </w:r>
      <w:r>
        <w:rPr>
          <w:rFonts w:hint="eastAsia" w:ascii="仿宋" w:hAnsi="仿宋" w:eastAsia="仿宋" w:cs="仿宋"/>
          <w:color w:val="auto"/>
          <w:highlight w:val="none"/>
        </w:rPr>
        <w:t>，优化保障性住房管理和服务水平，加大对公租房的维修支持力度，根据实际需求筹集保障性租赁住房。“十五五”期间，居住用地优先利用区域为老城中心以及色提力路两侧、北湖公园周边等城东区域，远期逐步向城西发展。</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二、泽普县</w:t>
      </w:r>
    </w:p>
    <w:p>
      <w:pPr>
        <w:ind w:firstLine="640"/>
        <w:rPr>
          <w:rFonts w:hint="eastAsia" w:ascii="仿宋" w:hAnsi="仿宋" w:eastAsia="仿宋" w:cs="仿宋"/>
          <w:bCs/>
          <w:color w:val="auto"/>
          <w:highlight w:val="none"/>
        </w:rPr>
      </w:pPr>
      <w:r>
        <w:rPr>
          <w:rFonts w:hint="eastAsia" w:ascii="仿宋" w:hAnsi="仿宋" w:eastAsia="仿宋" w:cs="仿宋"/>
          <w:bCs/>
          <w:color w:val="auto"/>
          <w:highlight w:val="none"/>
        </w:rPr>
        <w:t>泽普县定位为南疆重要的油气化工基地，以法桐为特色的生态宜居魅力城市。住房市场方面，尊重当地市场规律，适度控制商品住</w:t>
      </w:r>
      <w:r>
        <w:rPr>
          <w:rFonts w:hint="eastAsia" w:ascii="仿宋" w:hAnsi="仿宋" w:eastAsia="仿宋" w:cs="仿宋"/>
          <w:bCs/>
          <w:color w:val="auto"/>
          <w:highlight w:val="none"/>
          <w:lang w:val="en-US" w:eastAsia="zh-CN"/>
        </w:rPr>
        <w:t>宅</w:t>
      </w:r>
      <w:r>
        <w:rPr>
          <w:rFonts w:hint="eastAsia" w:ascii="仿宋" w:hAnsi="仿宋" w:eastAsia="仿宋" w:cs="仿宋"/>
          <w:bCs/>
          <w:color w:val="auto"/>
          <w:highlight w:val="none"/>
        </w:rPr>
        <w:t>供应规模，挖掘改善性需求，提升商品房产品品质，促进库存去化；住房保障</w:t>
      </w:r>
      <w:r>
        <w:rPr>
          <w:rFonts w:hint="eastAsia" w:ascii="仿宋" w:hAnsi="仿宋" w:eastAsia="仿宋" w:cs="仿宋"/>
          <w:bCs/>
          <w:color w:val="auto"/>
          <w:highlight w:val="none"/>
          <w:lang w:val="en-US" w:eastAsia="zh-CN"/>
        </w:rPr>
        <w:t>方面</w:t>
      </w:r>
      <w:r>
        <w:rPr>
          <w:rFonts w:hint="eastAsia" w:ascii="仿宋" w:hAnsi="仿宋" w:eastAsia="仿宋" w:cs="仿宋"/>
          <w:bCs/>
          <w:color w:val="auto"/>
          <w:highlight w:val="none"/>
        </w:rPr>
        <w:t>，做好对存量保障性住房的运营和维护，根据实际需要建设保障性租赁住房。“十五五”期间，</w:t>
      </w:r>
      <w:r>
        <w:rPr>
          <w:rFonts w:hint="eastAsia" w:ascii="仿宋" w:hAnsi="仿宋" w:eastAsia="仿宋" w:cs="仿宋"/>
          <w:color w:val="auto"/>
          <w:highlight w:val="none"/>
        </w:rPr>
        <w:t>居住用地</w:t>
      </w:r>
      <w:r>
        <w:rPr>
          <w:rFonts w:hint="eastAsia" w:ascii="仿宋" w:hAnsi="仿宋" w:eastAsia="仿宋" w:cs="仿宋"/>
          <w:bCs/>
          <w:color w:val="auto"/>
          <w:highlight w:val="none"/>
        </w:rPr>
        <w:t>优先利用区域为法桐公园南片区，远期向津泽路南发展。</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三、莎车县</w:t>
      </w:r>
    </w:p>
    <w:p>
      <w:pPr>
        <w:spacing w:line="620" w:lineRule="exact"/>
        <w:ind w:firstLine="640"/>
        <w:rPr>
          <w:rFonts w:hint="eastAsia" w:ascii="仿宋" w:hAnsi="仿宋" w:eastAsia="仿宋" w:cs="仿宋"/>
          <w:color w:val="auto"/>
          <w:highlight w:val="none"/>
        </w:rPr>
      </w:pPr>
      <w:r>
        <w:rPr>
          <w:rFonts w:hint="eastAsia" w:ascii="仿宋" w:hAnsi="仿宋" w:eastAsia="仿宋" w:cs="仿宋"/>
          <w:color w:val="auto"/>
          <w:highlight w:val="none"/>
        </w:rPr>
        <w:t>莎车县定位为喀什副中心城市，区域性综合交通枢纽，自治区历史文化名城、叶尔羌河生态旅游集散中心。住房市场方面，在城南片区提升住房品质，引入</w:t>
      </w:r>
      <w:r>
        <w:rPr>
          <w:rFonts w:hint="eastAsia" w:ascii="仿宋" w:hAnsi="仿宋" w:eastAsia="仿宋" w:cs="仿宋"/>
          <w:color w:val="auto"/>
          <w:highlight w:val="none"/>
          <w:lang w:val="en-US" w:eastAsia="zh-CN"/>
        </w:rPr>
        <w:t>优质</w:t>
      </w:r>
      <w:r>
        <w:rPr>
          <w:rFonts w:hint="eastAsia" w:ascii="仿宋" w:hAnsi="仿宋" w:eastAsia="仿宋" w:cs="仿宋"/>
          <w:color w:val="auto"/>
          <w:highlight w:val="none"/>
        </w:rPr>
        <w:t>基础教育学校，强化公共服务集聚效应，促进商品住宅库存去化；住房保障</w:t>
      </w:r>
      <w:r>
        <w:rPr>
          <w:rFonts w:hint="eastAsia" w:ascii="仿宋" w:hAnsi="仿宋" w:eastAsia="仿宋" w:cs="仿宋"/>
          <w:color w:val="auto"/>
          <w:highlight w:val="none"/>
          <w:lang w:val="en-US" w:eastAsia="zh-CN"/>
        </w:rPr>
        <w:t>方面</w:t>
      </w:r>
      <w:r>
        <w:rPr>
          <w:rFonts w:hint="eastAsia" w:ascii="仿宋" w:hAnsi="仿宋" w:eastAsia="仿宋" w:cs="仿宋"/>
          <w:color w:val="auto"/>
          <w:highlight w:val="none"/>
        </w:rPr>
        <w:t>，加大对公租房的维修支持力度，根据实际需求</w:t>
      </w:r>
      <w:r>
        <w:rPr>
          <w:rFonts w:hint="eastAsia" w:ascii="仿宋" w:hAnsi="仿宋" w:eastAsia="仿宋" w:cs="仿宋"/>
          <w:color w:val="auto"/>
          <w:highlight w:val="none"/>
          <w:lang w:val="en-US" w:eastAsia="zh-CN"/>
        </w:rPr>
        <w:t>向</w:t>
      </w:r>
      <w:r>
        <w:rPr>
          <w:rFonts w:hint="eastAsia" w:ascii="仿宋" w:hAnsi="仿宋" w:eastAsia="仿宋" w:cs="仿宋"/>
          <w:color w:val="auto"/>
          <w:highlight w:val="none"/>
        </w:rPr>
        <w:t>青年大学生、引进人才提供高品质</w:t>
      </w:r>
      <w:r>
        <w:rPr>
          <w:rFonts w:hint="eastAsia" w:ascii="仿宋" w:hAnsi="仿宋" w:eastAsia="仿宋" w:cs="仿宋"/>
          <w:color w:val="auto"/>
          <w:highlight w:val="none"/>
          <w:lang w:eastAsia="zh-CN"/>
        </w:rPr>
        <w:t>保障性租赁住房</w:t>
      </w:r>
      <w:r>
        <w:rPr>
          <w:rFonts w:hint="eastAsia" w:ascii="仿宋" w:hAnsi="仿宋" w:eastAsia="仿宋" w:cs="仿宋"/>
          <w:color w:val="auto"/>
          <w:highlight w:val="none"/>
        </w:rPr>
        <w:t>。“十五五”期间，居住用地优先利用区域为城南启动区南部、城中一区南部、城南产业区西部，远期向北部发展。</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四、叶城县</w:t>
      </w:r>
    </w:p>
    <w:p>
      <w:pPr>
        <w:spacing w:line="620" w:lineRule="exact"/>
        <w:ind w:firstLine="640"/>
        <w:rPr>
          <w:rFonts w:hint="eastAsia" w:ascii="仿宋" w:hAnsi="仿宋" w:eastAsia="仿宋" w:cs="仿宋"/>
          <w:color w:val="auto"/>
          <w:highlight w:val="none"/>
        </w:rPr>
      </w:pPr>
      <w:r>
        <w:rPr>
          <w:rFonts w:hint="eastAsia" w:ascii="仿宋" w:hAnsi="仿宋" w:eastAsia="仿宋" w:cs="仿宋"/>
          <w:color w:val="auto"/>
          <w:highlight w:val="none"/>
        </w:rPr>
        <w:t>叶城县定位为战略物资储备基地、综合物流枢纽、核桃批发交易中心、旅游服务中心。</w:t>
      </w:r>
      <w:r>
        <w:rPr>
          <w:rFonts w:hint="eastAsia" w:ascii="仿宋" w:hAnsi="仿宋" w:eastAsia="仿宋" w:cs="仿宋"/>
          <w:color w:val="auto"/>
          <w:highlight w:val="none"/>
          <w:lang w:val="en-US" w:eastAsia="zh-CN"/>
        </w:rPr>
        <w:t>要</w:t>
      </w:r>
      <w:r>
        <w:rPr>
          <w:rFonts w:hint="eastAsia" w:ascii="仿宋" w:hAnsi="仿宋" w:eastAsia="仿宋" w:cs="仿宋"/>
          <w:color w:val="auto"/>
          <w:highlight w:val="none"/>
        </w:rPr>
        <w:t>着力提升商品房产品品质，满足群众改善性需求，促进库存去化；以优化管理为主，根据实际需求对青年大学生、引进人才适当提供高品质</w:t>
      </w:r>
      <w:r>
        <w:rPr>
          <w:rFonts w:hint="eastAsia" w:ascii="仿宋" w:hAnsi="仿宋" w:eastAsia="仿宋" w:cs="仿宋"/>
          <w:color w:val="auto"/>
          <w:highlight w:val="none"/>
          <w:lang w:eastAsia="zh-CN"/>
        </w:rPr>
        <w:t>保障性租赁住房</w:t>
      </w:r>
      <w:r>
        <w:rPr>
          <w:rFonts w:hint="eastAsia" w:ascii="仿宋" w:hAnsi="仿宋" w:eastAsia="仿宋" w:cs="仿宋"/>
          <w:color w:val="auto"/>
          <w:highlight w:val="none"/>
        </w:rPr>
        <w:t>。“十五五”期间，推荐居住用地优先利用区域为老城片区东部和新城片区西部，充分利用棚户区改造后腾退的用地，以老城区为主，“十五五”中后期逐步向新城发展，优先发展315国道两侧的区域。</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五、麦盖提县</w:t>
      </w:r>
    </w:p>
    <w:p>
      <w:pPr>
        <w:spacing w:line="620" w:lineRule="exact"/>
        <w:ind w:firstLine="640"/>
        <w:rPr>
          <w:rFonts w:hint="eastAsia" w:ascii="仿宋" w:hAnsi="仿宋" w:eastAsia="仿宋" w:cs="仿宋"/>
          <w:color w:val="auto"/>
          <w:highlight w:val="none"/>
        </w:rPr>
      </w:pPr>
      <w:r>
        <w:rPr>
          <w:rFonts w:hint="eastAsia" w:ascii="仿宋" w:hAnsi="仿宋" w:eastAsia="仿宋" w:cs="仿宋"/>
          <w:color w:val="auto"/>
          <w:highlight w:val="none"/>
        </w:rPr>
        <w:t>麦盖提县定位为莎车—图木舒克城镇群的重要节点城市，全国知名沙漠产业示范区，新疆现代农业产业化经营示范基地，刀郎文化特色生态旅游目的地。要统筹商品住宅规划建设和推介销售，推进“好房子”建设满足群众改善性需求，促进库存去化。“十五五”期间，推荐居住用地优先利用区域为新城片区东部、行政文化中心片区。</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六、岳普湖县</w:t>
      </w:r>
    </w:p>
    <w:p>
      <w:pPr>
        <w:ind w:firstLine="640"/>
        <w:rPr>
          <w:rFonts w:hint="eastAsia" w:ascii="仿宋" w:hAnsi="仿宋" w:eastAsia="仿宋" w:cs="仿宋"/>
          <w:color w:val="auto"/>
          <w:highlight w:val="none"/>
        </w:rPr>
      </w:pPr>
      <w:r>
        <w:rPr>
          <w:rFonts w:hint="eastAsia" w:ascii="仿宋" w:hAnsi="仿宋" w:eastAsia="仿宋" w:cs="仿宋"/>
          <w:color w:val="auto"/>
          <w:highlight w:val="none"/>
        </w:rPr>
        <w:t>岳普湖县定位为农副产品精深加工基地、沙漠休闲旅游城市、喀什城市圈的重要节点。住房市场方面，适度控制商品住</w:t>
      </w:r>
      <w:r>
        <w:rPr>
          <w:rFonts w:hint="eastAsia" w:ascii="仿宋" w:hAnsi="仿宋" w:eastAsia="仿宋" w:cs="仿宋"/>
          <w:color w:val="auto"/>
          <w:highlight w:val="none"/>
          <w:lang w:val="en-US" w:eastAsia="zh-CN"/>
        </w:rPr>
        <w:t>宅</w:t>
      </w:r>
      <w:r>
        <w:rPr>
          <w:rFonts w:hint="eastAsia" w:ascii="仿宋" w:hAnsi="仿宋" w:eastAsia="仿宋" w:cs="仿宋"/>
          <w:color w:val="auto"/>
          <w:highlight w:val="none"/>
        </w:rPr>
        <w:t>供应规模，提升商品房产品品质，满足群众改善性需求；根据实际需求对青年大学生、引进人才、农业转移人口适当提供高品质</w:t>
      </w:r>
      <w:r>
        <w:rPr>
          <w:rFonts w:hint="eastAsia" w:ascii="仿宋" w:hAnsi="仿宋" w:eastAsia="仿宋" w:cs="仿宋"/>
          <w:color w:val="auto"/>
          <w:highlight w:val="none"/>
          <w:lang w:eastAsia="zh-CN"/>
        </w:rPr>
        <w:t>保障性租赁住房</w:t>
      </w:r>
      <w:r>
        <w:rPr>
          <w:rFonts w:hint="eastAsia" w:ascii="仿宋" w:hAnsi="仿宋" w:eastAsia="仿宋" w:cs="仿宋"/>
          <w:color w:val="auto"/>
          <w:highlight w:val="none"/>
        </w:rPr>
        <w:t>，鼓励上述人群转为购房群体。“十五五”期间，居住用地优先利用区域为新城片区，远期向老城片区补充。</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七、伽师县</w:t>
      </w:r>
    </w:p>
    <w:p>
      <w:pPr>
        <w:spacing w:line="620" w:lineRule="exact"/>
        <w:ind w:firstLine="640"/>
        <w:rPr>
          <w:rFonts w:hint="eastAsia" w:ascii="仿宋" w:hAnsi="仿宋" w:eastAsia="仿宋" w:cs="仿宋"/>
          <w:color w:val="auto"/>
          <w:highlight w:val="none"/>
        </w:rPr>
      </w:pPr>
      <w:r>
        <w:rPr>
          <w:rFonts w:hint="eastAsia" w:ascii="仿宋" w:hAnsi="仿宋" w:eastAsia="仿宋" w:cs="仿宋"/>
          <w:color w:val="auto"/>
          <w:highlight w:val="none"/>
        </w:rPr>
        <w:t>伽师县定位为丝绸之路经济带核心区节点城市、全产业链农副产品精深加工基地、南疆重要的绿色矿产及建筑产业基地。住房市场方面，提升商品房居住品质，引导有条件的居民购置房产，促进库存去化。住房保障</w:t>
      </w:r>
      <w:r>
        <w:rPr>
          <w:rFonts w:hint="eastAsia" w:ascii="仿宋" w:hAnsi="仿宋" w:eastAsia="仿宋" w:cs="仿宋"/>
          <w:color w:val="auto"/>
          <w:highlight w:val="none"/>
          <w:lang w:val="en-US" w:eastAsia="zh-CN"/>
        </w:rPr>
        <w:t>方面</w:t>
      </w:r>
      <w:r>
        <w:rPr>
          <w:rFonts w:hint="eastAsia" w:ascii="仿宋" w:hAnsi="仿宋" w:eastAsia="仿宋" w:cs="仿宋"/>
          <w:color w:val="auto"/>
          <w:highlight w:val="none"/>
        </w:rPr>
        <w:t>，优化保障性住房管理服务，有序推动既有房源的维修维护，根据实际需求筹集保障性租赁住房。“十五五”期间，居住用地优先利用区域为第四中学东侧、瓜香路东侧区域，远期逐步向城南发展。</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八、巴楚县</w:t>
      </w:r>
    </w:p>
    <w:p>
      <w:pPr>
        <w:ind w:firstLine="640"/>
        <w:rPr>
          <w:rFonts w:hint="eastAsia" w:ascii="仿宋" w:hAnsi="仿宋" w:eastAsia="仿宋" w:cs="仿宋"/>
          <w:color w:val="auto"/>
          <w:highlight w:val="none"/>
        </w:rPr>
      </w:pPr>
      <w:r>
        <w:rPr>
          <w:rFonts w:hint="eastAsia" w:ascii="仿宋" w:hAnsi="仿宋" w:eastAsia="仿宋" w:cs="仿宋"/>
          <w:color w:val="auto"/>
          <w:highlight w:val="none"/>
        </w:rPr>
        <w:t>巴楚县定位为“环塔里木城镇带”重要节点、喀什地区东部区域经济中心城市。住房市场方面，提升商品房产品品质，满足群众刚性和改善性需求，以优化管理为主；住房保障方面</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根据实际需求对新就业大学生、引进人才适当提供高品质</w:t>
      </w:r>
      <w:r>
        <w:rPr>
          <w:rFonts w:hint="eastAsia" w:ascii="仿宋" w:hAnsi="仿宋" w:eastAsia="仿宋" w:cs="仿宋"/>
          <w:color w:val="auto"/>
          <w:highlight w:val="none"/>
          <w:lang w:eastAsia="zh-CN"/>
        </w:rPr>
        <w:t>保障性租赁住房</w:t>
      </w:r>
      <w:r>
        <w:rPr>
          <w:rFonts w:hint="eastAsia" w:ascii="仿宋" w:hAnsi="仿宋" w:eastAsia="仿宋" w:cs="仿宋"/>
          <w:color w:val="auto"/>
          <w:highlight w:val="none"/>
        </w:rPr>
        <w:t>。“十五五”期间，居住用地优先利用区域为世纪大道南侧片区和人民东路片区。</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九、塔什库尔干塔吉克自治县</w:t>
      </w:r>
    </w:p>
    <w:p>
      <w:pPr>
        <w:ind w:firstLine="640"/>
        <w:rPr>
          <w:rFonts w:hint="eastAsia" w:ascii="仿宋" w:hAnsi="仿宋" w:eastAsia="仿宋" w:cs="仿宋"/>
          <w:color w:val="auto"/>
          <w:highlight w:val="none"/>
        </w:rPr>
      </w:pPr>
      <w:r>
        <w:rPr>
          <w:rFonts w:hint="eastAsia" w:ascii="仿宋" w:hAnsi="仿宋" w:eastAsia="仿宋" w:cs="仿宋"/>
          <w:color w:val="auto"/>
          <w:highlight w:val="none"/>
        </w:rPr>
        <w:t>塔什库尔干塔吉克自治县定位为丝绸之路经济带核心区边境经济支点、边境门户节点、世界级高原旅游目的地、西部边境安全屏障、塔吉克文旅名城。住房市场方面，融合高原特色、塔吉克民族风情等丰富文旅资源，探索打造特色</w:t>
      </w:r>
      <w:r>
        <w:rPr>
          <w:rFonts w:hint="eastAsia" w:ascii="仿宋" w:hAnsi="仿宋" w:eastAsia="仿宋" w:cs="仿宋"/>
          <w:color w:val="auto"/>
          <w:highlight w:val="none"/>
          <w:lang w:val="en-US" w:eastAsia="zh-CN"/>
        </w:rPr>
        <w:t>旅居</w:t>
      </w:r>
      <w:r>
        <w:rPr>
          <w:rFonts w:hint="eastAsia" w:ascii="仿宋" w:hAnsi="仿宋" w:eastAsia="仿宋" w:cs="仿宋"/>
          <w:color w:val="auto"/>
          <w:highlight w:val="none"/>
        </w:rPr>
        <w:t>产品。住房保障</w:t>
      </w:r>
      <w:r>
        <w:rPr>
          <w:rFonts w:hint="eastAsia" w:ascii="仿宋" w:hAnsi="仿宋" w:eastAsia="仿宋" w:cs="仿宋"/>
          <w:color w:val="auto"/>
          <w:highlight w:val="none"/>
          <w:lang w:val="en-US" w:eastAsia="zh-CN"/>
        </w:rPr>
        <w:t>方面</w:t>
      </w:r>
      <w:r>
        <w:rPr>
          <w:rFonts w:hint="eastAsia" w:ascii="仿宋" w:hAnsi="仿宋" w:eastAsia="仿宋" w:cs="仿宋"/>
          <w:color w:val="auto"/>
          <w:highlight w:val="none"/>
        </w:rPr>
        <w:t>，优化保障性住房管理服务水平，根据实际需求筹集保障性租赁住房。“十五五”期间，居住用地优先利用区域为中巴友谊路两侧的城区核心区域，远期逐步向城北发展。</w:t>
      </w:r>
    </w:p>
    <w:p>
      <w:pPr>
        <w:pStyle w:val="8"/>
        <w:numPr>
          <w:ilvl w:val="0"/>
          <w:numId w:val="0"/>
        </w:numPr>
        <w:ind w:left="640" w:leftChars="200"/>
        <w:rPr>
          <w:rFonts w:hint="eastAsia" w:ascii="仿宋" w:hAnsi="仿宋" w:eastAsia="仿宋" w:cs="仿宋"/>
          <w:color w:val="auto"/>
          <w:highlight w:val="none"/>
        </w:rPr>
      </w:pPr>
      <w:r>
        <w:rPr>
          <w:rFonts w:hint="eastAsia" w:ascii="仿宋" w:hAnsi="仿宋" w:eastAsia="仿宋" w:cs="仿宋"/>
          <w:color w:val="auto"/>
          <w:highlight w:val="none"/>
        </w:rPr>
        <w:t>十、岑岭县</w:t>
      </w:r>
    </w:p>
    <w:p>
      <w:pPr>
        <w:ind w:firstLine="640"/>
        <w:rPr>
          <w:rFonts w:hint="eastAsia" w:ascii="仿宋" w:hAnsi="仿宋" w:eastAsia="仿宋" w:cs="仿宋"/>
          <w:color w:val="auto"/>
          <w:highlight w:val="none"/>
        </w:rPr>
      </w:pPr>
      <w:r>
        <w:rPr>
          <w:rFonts w:hint="eastAsia" w:ascii="仿宋" w:hAnsi="仿宋" w:eastAsia="仿宋" w:cs="仿宋"/>
          <w:color w:val="auto"/>
          <w:highlight w:val="none"/>
        </w:rPr>
        <w:t>岑岭县将发挥边境综合服务保障基地、高原生态旅游枢纽、边贸物流节点等功能。“十五五”时期根据实际需求，以保障性租赁住房</w:t>
      </w:r>
      <w:r>
        <w:rPr>
          <w:rFonts w:hint="eastAsia" w:ascii="仿宋" w:hAnsi="仿宋" w:eastAsia="仿宋" w:cs="仿宋"/>
          <w:color w:val="auto"/>
          <w:highlight w:val="none"/>
          <w:lang w:val="en-US" w:eastAsia="zh-CN"/>
        </w:rPr>
        <w:t>等住房</w:t>
      </w:r>
      <w:r>
        <w:rPr>
          <w:rFonts w:hint="eastAsia" w:ascii="仿宋" w:hAnsi="仿宋" w:eastAsia="仿宋" w:cs="仿宋"/>
          <w:color w:val="auto"/>
          <w:highlight w:val="none"/>
        </w:rPr>
        <w:t>满足新增城镇人口住房需求，推荐居住用地优先利用区域为新华镇周边区域。</w:t>
      </w:r>
    </w:p>
    <w:p>
      <w:pPr>
        <w:ind w:firstLine="640"/>
        <w:rPr>
          <w:rFonts w:hint="eastAsia" w:ascii="仿宋" w:hAnsi="仿宋" w:eastAsia="仿宋" w:cs="仿宋"/>
          <w:color w:val="auto"/>
          <w:highlight w:val="none"/>
        </w:rPr>
      </w:pPr>
    </w:p>
    <w:p>
      <w:pPr>
        <w:ind w:firstLine="640"/>
        <w:rPr>
          <w:rFonts w:hint="eastAsia" w:ascii="仿宋" w:hAnsi="仿宋" w:eastAsia="仿宋" w:cs="仿宋"/>
          <w:color w:val="auto"/>
          <w:highlight w:val="none"/>
        </w:rPr>
      </w:pPr>
    </w:p>
    <w:p>
      <w:pPr>
        <w:pStyle w:val="6"/>
        <w:rPr>
          <w:rFonts w:hint="eastAsia" w:ascii="仿宋" w:hAnsi="仿宋" w:eastAsia="仿宋" w:cs="仿宋"/>
          <w:color w:val="auto"/>
          <w:highlight w:val="none"/>
        </w:rPr>
      </w:pPr>
      <w:r>
        <w:rPr>
          <w:rFonts w:hint="eastAsia" w:ascii="仿宋" w:hAnsi="仿宋" w:eastAsia="仿宋" w:cs="仿宋"/>
          <w:color w:val="auto"/>
          <w:highlight w:val="none"/>
        </w:rPr>
        <w:br w:type="page"/>
      </w:r>
      <w:bookmarkStart w:id="135" w:name="_Toc9882"/>
      <w:bookmarkStart w:id="136" w:name="_Toc24440"/>
      <w:r>
        <w:rPr>
          <w:rFonts w:hint="eastAsia" w:ascii="仿宋" w:hAnsi="仿宋" w:eastAsia="仿宋" w:cs="仿宋"/>
          <w:color w:val="auto"/>
          <w:highlight w:val="none"/>
        </w:rPr>
        <w:t>要素联动</w:t>
      </w:r>
      <w:bookmarkEnd w:id="135"/>
      <w:bookmarkEnd w:id="136"/>
    </w:p>
    <w:p>
      <w:pPr>
        <w:pStyle w:val="7"/>
        <w:numPr>
          <w:ilvl w:val="1"/>
          <w:numId w:val="7"/>
        </w:numPr>
        <w:rPr>
          <w:rFonts w:hint="eastAsia" w:ascii="仿宋" w:hAnsi="仿宋" w:eastAsia="仿宋" w:cs="仿宋"/>
          <w:color w:val="auto"/>
          <w:highlight w:val="none"/>
        </w:rPr>
      </w:pPr>
      <w:bookmarkStart w:id="137" w:name="_Toc14697"/>
      <w:bookmarkStart w:id="138" w:name="_Toc10306"/>
      <w:r>
        <w:rPr>
          <w:rFonts w:hint="eastAsia" w:ascii="仿宋" w:hAnsi="仿宋" w:eastAsia="仿宋" w:cs="仿宋"/>
          <w:color w:val="auto"/>
          <w:highlight w:val="none"/>
        </w:rPr>
        <w:t>完善用地保障政策措施</w:t>
      </w:r>
      <w:bookmarkEnd w:id="137"/>
      <w:bookmarkEnd w:id="138"/>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建立“以房定地”的住宅用地供应机制。</w:t>
      </w:r>
      <w:r>
        <w:rPr>
          <w:rFonts w:hint="eastAsia" w:ascii="仿宋" w:hAnsi="仿宋" w:eastAsia="仿宋" w:cs="仿宋"/>
          <w:b w:val="0"/>
          <w:bCs w:val="0"/>
          <w:color w:val="auto"/>
          <w:highlight w:val="none"/>
        </w:rPr>
        <w:t>坚持以需定供，综合考虑人、房、地、钱等因素</w:t>
      </w:r>
      <w:r>
        <w:rPr>
          <w:rFonts w:hint="eastAsia" w:ascii="仿宋" w:hAnsi="仿宋" w:eastAsia="仿宋" w:cs="仿宋"/>
          <w:b w:val="0"/>
          <w:bCs w:val="0"/>
          <w:color w:val="auto"/>
          <w:highlight w:val="none"/>
          <w:lang w:eastAsia="zh-CN"/>
        </w:rPr>
        <w:t>，</w:t>
      </w:r>
      <w:r>
        <w:rPr>
          <w:rFonts w:hint="eastAsia" w:ascii="仿宋" w:hAnsi="仿宋" w:eastAsia="仿宋" w:cs="仿宋"/>
          <w:b w:val="0"/>
          <w:bCs w:val="0"/>
          <w:color w:val="auto"/>
          <w:highlight w:val="none"/>
        </w:rPr>
        <w:t>研究完善商品房全口径库存去化周期，</w:t>
      </w:r>
      <w:r>
        <w:rPr>
          <w:rFonts w:hint="eastAsia" w:ascii="仿宋" w:hAnsi="仿宋" w:eastAsia="仿宋" w:cs="仿宋"/>
          <w:color w:val="auto"/>
          <w:highlight w:val="none"/>
        </w:rPr>
        <w:t>建立动态供地调整机制。每年制定《住房发展年度计划》，落实住房发展规划要求，分解目标任务，对城市住房发展规划执行进度进行评估。</w:t>
      </w:r>
      <w:r>
        <w:rPr>
          <w:rFonts w:hint="eastAsia" w:ascii="仿宋" w:hAnsi="仿宋" w:eastAsia="仿宋" w:cs="仿宋"/>
          <w:color w:val="auto"/>
          <w:highlight w:val="none"/>
          <w:lang w:val="en-US" w:eastAsia="zh-CN"/>
        </w:rPr>
        <w:t>自然资源</w:t>
      </w:r>
      <w:r>
        <w:rPr>
          <w:rFonts w:hint="eastAsia" w:ascii="仿宋" w:hAnsi="仿宋" w:eastAsia="仿宋" w:cs="仿宋"/>
          <w:color w:val="auto"/>
          <w:highlight w:val="none"/>
        </w:rPr>
        <w:t>部门依据住房发展年度计划确定的住房建设需求，编制年度住宅用地供应计划。</w:t>
      </w:r>
      <w:r>
        <w:rPr>
          <w:rFonts w:hint="eastAsia" w:ascii="仿宋" w:hAnsi="仿宋" w:eastAsia="仿宋" w:cs="仿宋"/>
          <w:b w:val="0"/>
          <w:bCs w:val="0"/>
          <w:color w:val="auto"/>
          <w:highlight w:val="none"/>
        </w:rPr>
        <w:t>新增建设用地优先保障重大项目建设和民生事业发展，原则上不用于经营性房地产开发。</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完善存量用地盘活机制。</w:t>
      </w:r>
      <w:r>
        <w:rPr>
          <w:rFonts w:hint="eastAsia" w:ascii="仿宋" w:hAnsi="仿宋" w:eastAsia="仿宋" w:cs="仿宋"/>
          <w:color w:val="auto"/>
          <w:highlight w:val="none"/>
        </w:rPr>
        <w:t>结合城市更新、低效用地再开发等优先储备存量建设用地。重点用好存量资源“精供优供”，优先布局区位优越、配套完善的区域，把握好供地的节奏和时序，提升土地利用效能。</w:t>
      </w:r>
    </w:p>
    <w:p>
      <w:pPr>
        <w:pStyle w:val="7"/>
        <w:rPr>
          <w:rFonts w:hint="eastAsia" w:ascii="仿宋" w:hAnsi="仿宋" w:eastAsia="仿宋" w:cs="仿宋"/>
          <w:color w:val="auto"/>
          <w:highlight w:val="none"/>
        </w:rPr>
      </w:pPr>
      <w:bookmarkStart w:id="139" w:name="_Toc435"/>
      <w:bookmarkStart w:id="140" w:name="_Toc29145"/>
      <w:r>
        <w:rPr>
          <w:rFonts w:hint="eastAsia" w:ascii="仿宋" w:hAnsi="仿宋" w:eastAsia="仿宋" w:cs="仿宋"/>
          <w:color w:val="auto"/>
          <w:highlight w:val="none"/>
        </w:rPr>
        <w:t>落实金融保障政策措施</w:t>
      </w:r>
      <w:bookmarkEnd w:id="139"/>
      <w:bookmarkEnd w:id="140"/>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优化“以房定钱”的房地产金融管理机制</w:t>
      </w:r>
      <w:r>
        <w:rPr>
          <w:rFonts w:hint="eastAsia" w:ascii="仿宋" w:hAnsi="仿宋" w:eastAsia="仿宋" w:cs="仿宋"/>
          <w:b/>
          <w:bCs/>
          <w:color w:val="auto"/>
          <w:highlight w:val="none"/>
          <w:lang w:eastAsia="zh-CN"/>
        </w:rPr>
        <w:t>。</w:t>
      </w:r>
      <w:r>
        <w:rPr>
          <w:rFonts w:hint="eastAsia" w:ascii="仿宋" w:hAnsi="仿宋" w:eastAsia="仿宋" w:cs="仿宋"/>
          <w:b w:val="0"/>
          <w:bCs w:val="0"/>
          <w:color w:val="auto"/>
          <w:highlight w:val="none"/>
        </w:rPr>
        <w:t>发挥房地产融资协调机制作用，满足住房项目合理融资需求，避免资金过度流入和支持不足。</w:t>
      </w:r>
      <w:r>
        <w:rPr>
          <w:rFonts w:hint="eastAsia" w:ascii="仿宋" w:hAnsi="仿宋" w:eastAsia="仿宋" w:cs="仿宋"/>
          <w:color w:val="auto"/>
          <w:highlight w:val="none"/>
        </w:rPr>
        <w:t>确保新建住房融资支持，</w:t>
      </w:r>
      <w:r>
        <w:rPr>
          <w:rFonts w:hint="eastAsia" w:ascii="仿宋" w:hAnsi="仿宋" w:eastAsia="仿宋" w:cs="仿宋"/>
          <w:color w:val="auto"/>
          <w:highlight w:val="none"/>
          <w:lang w:val="en-US" w:eastAsia="zh-CN"/>
        </w:rPr>
        <w:t>推动</w:t>
      </w:r>
      <w:r>
        <w:rPr>
          <w:rFonts w:hint="eastAsia" w:ascii="仿宋" w:hAnsi="仿宋" w:eastAsia="仿宋" w:cs="仿宋"/>
          <w:color w:val="auto"/>
          <w:highlight w:val="none"/>
        </w:rPr>
        <w:t>“十五五”时期房地产开发投资额</w:t>
      </w:r>
      <w:r>
        <w:rPr>
          <w:rFonts w:hint="eastAsia" w:ascii="仿宋" w:hAnsi="仿宋" w:eastAsia="仿宋" w:cs="仿宋"/>
          <w:color w:val="auto"/>
          <w:highlight w:val="none"/>
          <w:lang w:val="en-US" w:eastAsia="zh-CN"/>
        </w:rPr>
        <w:t>保持基本稳定</w:t>
      </w:r>
      <w:r>
        <w:rPr>
          <w:rFonts w:hint="eastAsia" w:ascii="仿宋" w:hAnsi="仿宋" w:eastAsia="仿宋" w:cs="仿宋"/>
          <w:color w:val="auto"/>
          <w:highlight w:val="none"/>
        </w:rPr>
        <w:t>。支持保障性住房筹集建设、既有住房和住区更新改造。</w:t>
      </w:r>
    </w:p>
    <w:p>
      <w:pPr>
        <w:ind w:firstLine="643"/>
        <w:rPr>
          <w:rFonts w:hint="eastAsia" w:ascii="仿宋" w:hAnsi="仿宋" w:eastAsia="仿宋" w:cs="仿宋"/>
          <w:color w:val="auto"/>
          <w:highlight w:val="none"/>
        </w:rPr>
      </w:pPr>
      <w:bookmarkStart w:id="141" w:name="_Hlk201740855"/>
      <w:r>
        <w:rPr>
          <w:rFonts w:hint="eastAsia" w:ascii="仿宋" w:hAnsi="仿宋" w:eastAsia="仿宋" w:cs="仿宋"/>
          <w:b/>
          <w:bCs/>
          <w:color w:val="auto"/>
          <w:szCs w:val="24"/>
          <w:highlight w:val="none"/>
        </w:rPr>
        <w:t>加大对住房租赁的金融支持力度。</w:t>
      </w:r>
      <w:bookmarkEnd w:id="141"/>
      <w:r>
        <w:rPr>
          <w:rFonts w:hint="eastAsia" w:ascii="仿宋" w:hAnsi="仿宋" w:eastAsia="仿宋" w:cs="仿宋"/>
          <w:color w:val="auto"/>
          <w:szCs w:val="24"/>
          <w:highlight w:val="none"/>
        </w:rPr>
        <w:t>鼓励银行业金融机构遵循依法合规、风险可控、商业可持续原则，为住房租赁企业提供分期还本等契合其经营特点的长期贷款及其他金融支持；拓宽住房租赁企业直接融资路径，支持其发行企业债券、公司债券、非金融企业债务融资工具等公司信用类债券及资产支持证券，专项用于住房租赁业务发展。</w:t>
      </w:r>
    </w:p>
    <w:p>
      <w:pPr>
        <w:pStyle w:val="7"/>
        <w:numPr>
          <w:ilvl w:val="1"/>
          <w:numId w:val="4"/>
        </w:numPr>
        <w:spacing w:before="0" w:line="620" w:lineRule="exact"/>
        <w:rPr>
          <w:rFonts w:hint="eastAsia" w:ascii="仿宋" w:hAnsi="仿宋" w:eastAsia="仿宋" w:cs="仿宋"/>
          <w:color w:val="auto"/>
          <w:highlight w:val="none"/>
        </w:rPr>
      </w:pPr>
      <w:bookmarkStart w:id="142" w:name="_Toc1377"/>
      <w:bookmarkStart w:id="143" w:name="_Toc18016"/>
      <w:r>
        <w:rPr>
          <w:rFonts w:hint="eastAsia" w:ascii="仿宋" w:hAnsi="仿宋" w:eastAsia="仿宋" w:cs="仿宋"/>
          <w:color w:val="auto"/>
          <w:highlight w:val="none"/>
        </w:rPr>
        <w:t>加强住房公积金支持</w:t>
      </w:r>
      <w:bookmarkEnd w:id="142"/>
      <w:r>
        <w:rPr>
          <w:rFonts w:hint="eastAsia" w:ascii="仿宋" w:hAnsi="仿宋" w:eastAsia="仿宋" w:cs="仿宋"/>
          <w:color w:val="auto"/>
          <w:highlight w:val="none"/>
          <w:lang w:val="en-US" w:eastAsia="zh-CN"/>
        </w:rPr>
        <w:t>措施</w:t>
      </w:r>
      <w:bookmarkEnd w:id="143"/>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扩大公积金保障覆盖范围。</w:t>
      </w:r>
      <w:r>
        <w:rPr>
          <w:rFonts w:hint="eastAsia" w:ascii="仿宋" w:hAnsi="仿宋" w:eastAsia="仿宋" w:cs="仿宋"/>
          <w:color w:val="auto"/>
          <w:highlight w:val="none"/>
        </w:rPr>
        <w:t>持续扩大灵活就业人员覆盖范围，积极探索补贴、灵活还款、审批简化等手段。持续完善灵活就业人员缴存使用规定，持续强化风险防控。探索将缴存公积金纳入劳动合同示范文本，推进用人单位依法缴存。</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持续优化资金使用政策。</w:t>
      </w:r>
      <w:r>
        <w:rPr>
          <w:rFonts w:hint="eastAsia" w:ascii="仿宋" w:hAnsi="仿宋" w:eastAsia="仿宋" w:cs="仿宋"/>
          <w:color w:val="auto"/>
          <w:highlight w:val="none"/>
        </w:rPr>
        <w:t>稳步加大租房提取支持力度，重点支持新市民、青年人。探索进一步增加住房公积金可贷额度。探索每月还贷额度的灵活调整机制。</w:t>
      </w:r>
    </w:p>
    <w:p>
      <w:pPr>
        <w:ind w:firstLine="643"/>
        <w:rPr>
          <w:rFonts w:hint="eastAsia" w:ascii="仿宋" w:hAnsi="仿宋" w:eastAsia="仿宋" w:cs="仿宋"/>
          <w:color w:val="auto"/>
          <w:highlight w:val="none"/>
        </w:rPr>
      </w:pPr>
      <w:r>
        <w:rPr>
          <w:rFonts w:hint="eastAsia" w:ascii="仿宋" w:hAnsi="仿宋" w:eastAsia="仿宋" w:cs="仿宋"/>
          <w:b/>
          <w:bCs/>
          <w:color w:val="auto"/>
          <w:highlight w:val="none"/>
        </w:rPr>
        <w:t>持续提升管理服务效能。</w:t>
      </w:r>
      <w:r>
        <w:rPr>
          <w:rFonts w:hint="eastAsia" w:ascii="仿宋" w:hAnsi="仿宋" w:eastAsia="仿宋" w:cs="仿宋"/>
          <w:color w:val="auto"/>
          <w:highlight w:val="none"/>
        </w:rPr>
        <w:t>持续优化房屋估值系统及改进测算结果。持续优化当前“跨省通办”业务事项在线办结流程；逐步实现各类事项“疆内通办”“跨省通办”。加强灵活就业人员参缴的多渠道宣传工作。</w:t>
      </w:r>
    </w:p>
    <w:p>
      <w:pPr>
        <w:bidi w:val="0"/>
        <w:rPr>
          <w:rFonts w:hint="eastAsia" w:ascii="仿宋" w:hAnsi="仿宋" w:eastAsia="仿宋" w:cs="仿宋"/>
          <w:color w:val="auto"/>
          <w:highlight w:val="none"/>
        </w:rPr>
      </w:pPr>
      <w:r>
        <w:rPr>
          <w:rFonts w:hint="eastAsia" w:ascii="仿宋" w:hAnsi="仿宋" w:eastAsia="仿宋" w:cs="仿宋"/>
          <w:b/>
          <w:bCs/>
          <w:color w:val="auto"/>
          <w:highlight w:val="none"/>
        </w:rPr>
        <w:t>积极扩大住房公积金使用范围。</w:t>
      </w:r>
      <w:r>
        <w:rPr>
          <w:rFonts w:hint="eastAsia" w:ascii="仿宋" w:hAnsi="仿宋" w:eastAsia="仿宋" w:cs="仿宋"/>
          <w:color w:val="auto"/>
          <w:highlight w:val="none"/>
        </w:rPr>
        <w:t>支持缴存人提取公积金，用于住宅加装电梯，C、D级</w:t>
      </w:r>
      <w:r>
        <w:rPr>
          <w:rFonts w:hint="eastAsia" w:ascii="仿宋" w:hAnsi="仿宋" w:eastAsia="仿宋" w:cs="仿宋"/>
          <w:color w:val="auto"/>
          <w:highlight w:val="none"/>
          <w:lang w:val="en-US" w:eastAsia="zh-CN"/>
        </w:rPr>
        <w:t>危险</w:t>
      </w:r>
      <w:r>
        <w:rPr>
          <w:rFonts w:hint="eastAsia" w:ascii="仿宋" w:hAnsi="仿宋" w:eastAsia="仿宋" w:cs="仿宋"/>
          <w:color w:val="auto"/>
          <w:highlight w:val="none"/>
        </w:rPr>
        <w:t>住房改造的个人分摊费用。支持拆迁过渡期缴存人提取公积金支付房租，采取原拆原建、房票安置方式购房的拆迁群众，可依规办理公积金提取及住房贷款业务。持续探索拓展使用场景，研究推进允许缴存人使用公积金用于老旧小区门窗改造、水电气暖升级，居住设施适老化改造，以及缴纳取暖费、物业费、装修费、停车费等居住类开支和购房契税。</w:t>
      </w:r>
    </w:p>
    <w:p>
      <w:pPr>
        <w:pStyle w:val="7"/>
        <w:numPr>
          <w:ilvl w:val="1"/>
          <w:numId w:val="4"/>
        </w:numPr>
        <w:spacing w:before="0" w:line="620" w:lineRule="exact"/>
        <w:rPr>
          <w:rFonts w:hint="eastAsia" w:ascii="仿宋" w:hAnsi="仿宋" w:eastAsia="仿宋" w:cs="仿宋"/>
          <w:color w:val="auto"/>
          <w:highlight w:val="none"/>
        </w:rPr>
      </w:pPr>
      <w:bookmarkStart w:id="144" w:name="_Toc9711"/>
      <w:bookmarkStart w:id="145" w:name="_Toc11"/>
      <w:r>
        <w:rPr>
          <w:rFonts w:hint="eastAsia" w:ascii="仿宋" w:hAnsi="仿宋" w:eastAsia="仿宋" w:cs="仿宋"/>
          <w:color w:val="auto"/>
          <w:highlight w:val="none"/>
        </w:rPr>
        <w:t>优化财税保障政策措施</w:t>
      </w:r>
      <w:bookmarkEnd w:id="144"/>
      <w:bookmarkEnd w:id="145"/>
    </w:p>
    <w:p>
      <w:pPr>
        <w:spacing w:line="620" w:lineRule="exact"/>
        <w:ind w:firstLine="643"/>
        <w:rPr>
          <w:rFonts w:hint="eastAsia" w:ascii="仿宋" w:hAnsi="仿宋" w:eastAsia="仿宋" w:cs="仿宋"/>
          <w:color w:val="auto"/>
          <w:szCs w:val="32"/>
          <w:highlight w:val="none"/>
        </w:rPr>
      </w:pPr>
      <w:bookmarkStart w:id="146" w:name="OLE_LINK16"/>
      <w:r>
        <w:rPr>
          <w:rFonts w:hint="eastAsia" w:ascii="仿宋" w:hAnsi="仿宋" w:eastAsia="仿宋" w:cs="仿宋"/>
          <w:b/>
          <w:bCs/>
          <w:color w:val="auto"/>
          <w:szCs w:val="24"/>
          <w:highlight w:val="none"/>
        </w:rPr>
        <w:t>支持保障性住房建设筹集与更新维护。</w:t>
      </w:r>
      <w:r>
        <w:rPr>
          <w:rFonts w:hint="eastAsia" w:ascii="仿宋" w:hAnsi="仿宋" w:eastAsia="仿宋" w:cs="仿宋"/>
          <w:color w:val="auto"/>
          <w:szCs w:val="24"/>
          <w:highlight w:val="none"/>
        </w:rPr>
        <w:t>支持县市政府利用专项债、再贷款等工具收购存量商品房用作保障性住房。</w:t>
      </w:r>
      <w:r>
        <w:rPr>
          <w:rFonts w:hint="eastAsia" w:ascii="仿宋" w:hAnsi="仿宋" w:eastAsia="仿宋" w:cs="仿宋"/>
          <w:color w:val="auto"/>
          <w:szCs w:val="32"/>
          <w:highlight w:val="none"/>
        </w:rPr>
        <w:t>加大保障性租赁住房资金支持</w:t>
      </w:r>
      <w:bookmarkEnd w:id="146"/>
      <w:r>
        <w:rPr>
          <w:rFonts w:hint="eastAsia" w:ascii="仿宋" w:hAnsi="仿宋" w:eastAsia="仿宋" w:cs="仿宋"/>
          <w:color w:val="auto"/>
          <w:szCs w:val="32"/>
          <w:highlight w:val="none"/>
        </w:rPr>
        <w:t>，积极争取中央资金，保障性租赁住房项目免收城市基础设施配套费。建立健全保障性住房体检、更新改造和资金保障机制。</w:t>
      </w:r>
    </w:p>
    <w:p>
      <w:pPr>
        <w:spacing w:line="620" w:lineRule="exact"/>
        <w:ind w:firstLine="643"/>
        <w:rPr>
          <w:rFonts w:hint="eastAsia" w:ascii="仿宋" w:hAnsi="仿宋" w:eastAsia="仿宋" w:cs="仿宋"/>
          <w:color w:val="auto"/>
          <w:szCs w:val="32"/>
          <w:highlight w:val="none"/>
        </w:rPr>
      </w:pPr>
      <w:r>
        <w:rPr>
          <w:rFonts w:hint="eastAsia" w:ascii="仿宋" w:hAnsi="仿宋" w:eastAsia="仿宋" w:cs="仿宋"/>
          <w:b/>
          <w:bCs/>
          <w:color w:val="auto"/>
          <w:szCs w:val="32"/>
          <w:highlight w:val="none"/>
        </w:rPr>
        <w:t>有力发挥税费调节作用。</w:t>
      </w:r>
      <w:r>
        <w:rPr>
          <w:rFonts w:hint="eastAsia" w:ascii="仿宋" w:hAnsi="仿宋" w:eastAsia="仿宋" w:cs="仿宋"/>
          <w:color w:val="auto"/>
          <w:szCs w:val="32"/>
          <w:highlight w:val="none"/>
        </w:rPr>
        <w:t>住房租赁和促进现房销售方面，依法落实国家税费支持政策，有效发挥政策调节作用，严格执行现行住房租赁有关税收政策。降低房地产企业运营成本，促进租赁市场和现房销售发展。</w:t>
      </w:r>
    </w:p>
    <w:p>
      <w:pPr>
        <w:ind w:firstLine="643"/>
        <w:rPr>
          <w:rFonts w:hint="eastAsia" w:ascii="仿宋" w:hAnsi="仿宋" w:eastAsia="仿宋" w:cs="仿宋"/>
          <w:color w:val="auto"/>
          <w:szCs w:val="32"/>
          <w:highlight w:val="none"/>
        </w:rPr>
      </w:pPr>
      <w:r>
        <w:rPr>
          <w:rFonts w:hint="eastAsia" w:ascii="仿宋" w:hAnsi="仿宋" w:eastAsia="仿宋" w:cs="仿宋"/>
          <w:b/>
          <w:bCs/>
          <w:color w:val="auto"/>
          <w:szCs w:val="32"/>
          <w:highlight w:val="none"/>
        </w:rPr>
        <w:t>支持长租房发展。</w:t>
      </w:r>
      <w:r>
        <w:rPr>
          <w:rFonts w:hint="eastAsia" w:ascii="仿宋" w:hAnsi="仿宋" w:eastAsia="仿宋" w:cs="仿宋"/>
          <w:color w:val="auto"/>
          <w:szCs w:val="32"/>
          <w:highlight w:val="none"/>
        </w:rPr>
        <w:t>积极研究在政策支持、市场培育等方面的工作，落实财政补贴等政策，培育专业化长租房运营企业，推动长租房市场健康发展。</w:t>
      </w:r>
    </w:p>
    <w:p>
      <w:pPr>
        <w:ind w:firstLine="643"/>
        <w:rPr>
          <w:rFonts w:hint="eastAsia" w:ascii="仿宋" w:hAnsi="仿宋" w:eastAsia="仿宋" w:cs="仿宋"/>
          <w:color w:val="auto"/>
          <w:highlight w:val="none"/>
        </w:rPr>
      </w:pPr>
      <w:r>
        <w:rPr>
          <w:rFonts w:hint="eastAsia" w:ascii="仿宋" w:hAnsi="仿宋" w:eastAsia="仿宋" w:cs="仿宋"/>
          <w:b/>
          <w:bCs/>
          <w:color w:val="auto"/>
          <w:szCs w:val="24"/>
          <w:highlight w:val="none"/>
        </w:rPr>
        <w:t>创新住区更新财政激励政策</w:t>
      </w:r>
      <w:r>
        <w:rPr>
          <w:rFonts w:hint="eastAsia" w:ascii="仿宋" w:hAnsi="仿宋" w:eastAsia="仿宋" w:cs="仿宋"/>
          <w:b/>
          <w:bCs/>
          <w:color w:val="auto"/>
          <w:szCs w:val="24"/>
          <w:highlight w:val="none"/>
          <w:lang w:eastAsia="zh-CN"/>
        </w:rPr>
        <w:t>。</w:t>
      </w:r>
      <w:r>
        <w:rPr>
          <w:rFonts w:hint="eastAsia" w:ascii="仿宋" w:hAnsi="仿宋" w:eastAsia="仿宋" w:cs="仿宋"/>
          <w:color w:val="auto"/>
          <w:szCs w:val="24"/>
          <w:highlight w:val="none"/>
        </w:rPr>
        <w:t>聚焦城中村改造、老旧小区改造、城市危旧房改造等重点板块，全力争取中央财政补助资金、中央预算内投资等资金。整合地方政府专项债</w:t>
      </w:r>
      <w:r>
        <w:rPr>
          <w:rFonts w:hint="eastAsia" w:ascii="仿宋" w:hAnsi="仿宋" w:eastAsia="仿宋" w:cs="仿宋"/>
          <w:color w:val="auto"/>
          <w:szCs w:val="24"/>
          <w:highlight w:val="none"/>
          <w:lang w:eastAsia="zh-CN"/>
        </w:rPr>
        <w:t>、</w:t>
      </w:r>
      <w:r>
        <w:rPr>
          <w:rFonts w:hint="eastAsia" w:ascii="仿宋" w:hAnsi="仿宋" w:eastAsia="仿宋" w:cs="仿宋"/>
          <w:color w:val="auto"/>
          <w:szCs w:val="24"/>
          <w:highlight w:val="none"/>
        </w:rPr>
        <w:t>超长期特别国债与地方配套专项补助等多元资金渠道，保障原拆原建、自主更新类项目配套基础设施落地。用好城镇保障性安居工程补助、中央预算内投资专项等资金资源，支持符合申报要求的危旧房改造、住房翻新项目，同步完善适配生活需求、优化人居环境的公共服务与基础配套</w:t>
      </w:r>
      <w:r>
        <w:rPr>
          <w:rFonts w:hint="eastAsia" w:ascii="仿宋" w:hAnsi="仿宋" w:eastAsia="仿宋" w:cs="仿宋"/>
          <w:color w:val="auto"/>
          <w:szCs w:val="24"/>
          <w:highlight w:val="none"/>
          <w:lang w:val="en-US" w:eastAsia="zh-CN"/>
        </w:rPr>
        <w:t>设施</w:t>
      </w:r>
      <w:r>
        <w:rPr>
          <w:rFonts w:hint="eastAsia" w:ascii="仿宋" w:hAnsi="仿宋" w:eastAsia="仿宋" w:cs="仿宋"/>
          <w:color w:val="auto"/>
          <w:szCs w:val="24"/>
          <w:highlight w:val="none"/>
        </w:rPr>
        <w:t>。</w:t>
      </w:r>
      <w:r>
        <w:rPr>
          <w:rFonts w:hint="eastAsia" w:ascii="仿宋" w:hAnsi="仿宋" w:eastAsia="仿宋" w:cs="仿宋"/>
          <w:color w:val="auto"/>
          <w:highlight w:val="none"/>
        </w:rPr>
        <w:br w:type="page"/>
      </w:r>
      <w:bookmarkStart w:id="147" w:name="_Toc15813"/>
    </w:p>
    <w:p>
      <w:pPr>
        <w:pStyle w:val="6"/>
        <w:bidi w:val="0"/>
        <w:rPr>
          <w:rFonts w:hint="eastAsia" w:ascii="仿宋" w:hAnsi="仿宋" w:eastAsia="仿宋" w:cs="仿宋"/>
          <w:color w:val="auto"/>
          <w:highlight w:val="none"/>
        </w:rPr>
      </w:pPr>
      <w:bookmarkStart w:id="148" w:name="_Toc3041"/>
      <w:r>
        <w:rPr>
          <w:rFonts w:hint="eastAsia" w:ascii="仿宋" w:hAnsi="仿宋" w:eastAsia="仿宋" w:cs="仿宋"/>
          <w:color w:val="auto"/>
          <w:highlight w:val="none"/>
        </w:rPr>
        <w:t>保障措施</w:t>
      </w:r>
      <w:bookmarkEnd w:id="125"/>
      <w:bookmarkEnd w:id="126"/>
      <w:bookmarkEnd w:id="127"/>
      <w:bookmarkEnd w:id="128"/>
      <w:bookmarkEnd w:id="129"/>
      <w:bookmarkEnd w:id="130"/>
      <w:bookmarkEnd w:id="131"/>
      <w:bookmarkEnd w:id="132"/>
      <w:bookmarkEnd w:id="147"/>
      <w:bookmarkEnd w:id="148"/>
    </w:p>
    <w:p>
      <w:pPr>
        <w:pStyle w:val="7"/>
        <w:numPr>
          <w:ilvl w:val="1"/>
          <w:numId w:val="8"/>
        </w:numPr>
        <w:rPr>
          <w:rFonts w:hint="eastAsia" w:ascii="仿宋" w:hAnsi="仿宋" w:eastAsia="仿宋" w:cs="仿宋"/>
          <w:color w:val="auto"/>
          <w:highlight w:val="none"/>
        </w:rPr>
      </w:pPr>
      <w:bookmarkStart w:id="149" w:name="_Toc10488"/>
      <w:bookmarkStart w:id="150" w:name="_Toc14844"/>
      <w:bookmarkStart w:id="151" w:name="_Toc16586"/>
      <w:bookmarkStart w:id="152" w:name="_Toc15675"/>
      <w:bookmarkStart w:id="153" w:name="_Toc9807"/>
      <w:bookmarkStart w:id="154" w:name="_Toc26482"/>
      <w:bookmarkStart w:id="155" w:name="_Toc4709"/>
      <w:bookmarkStart w:id="156" w:name="_Toc18086"/>
      <w:bookmarkStart w:id="157" w:name="_Toc3596"/>
      <w:bookmarkStart w:id="158" w:name="_Toc95230967"/>
      <w:r>
        <w:rPr>
          <w:rFonts w:hint="eastAsia" w:ascii="仿宋" w:hAnsi="仿宋" w:eastAsia="仿宋" w:cs="仿宋"/>
          <w:color w:val="auto"/>
          <w:highlight w:val="none"/>
        </w:rPr>
        <w:t>加强组织领导</w:t>
      </w:r>
      <w:bookmarkEnd w:id="149"/>
      <w:bookmarkEnd w:id="150"/>
      <w:bookmarkEnd w:id="151"/>
      <w:bookmarkEnd w:id="152"/>
      <w:bookmarkEnd w:id="153"/>
      <w:bookmarkEnd w:id="154"/>
      <w:bookmarkEnd w:id="155"/>
      <w:bookmarkEnd w:id="156"/>
      <w:bookmarkEnd w:id="157"/>
      <w:bookmarkEnd w:id="158"/>
    </w:p>
    <w:p>
      <w:pPr>
        <w:spacing w:line="620" w:lineRule="exact"/>
        <w:ind w:firstLine="643"/>
        <w:rPr>
          <w:rFonts w:hint="eastAsia" w:ascii="仿宋" w:hAnsi="仿宋" w:eastAsia="仿宋" w:cs="仿宋"/>
          <w:color w:val="auto"/>
          <w:highlight w:val="none"/>
        </w:rPr>
      </w:pPr>
      <w:r>
        <w:rPr>
          <w:rFonts w:hint="eastAsia" w:ascii="仿宋" w:hAnsi="仿宋" w:eastAsia="仿宋" w:cs="仿宋"/>
          <w:b/>
          <w:bCs/>
          <w:color w:val="auto"/>
          <w:highlight w:val="none"/>
        </w:rPr>
        <w:t>坚持和加强党中央集中统一领导。</w:t>
      </w:r>
      <w:r>
        <w:rPr>
          <w:rFonts w:hint="eastAsia" w:ascii="仿宋" w:hAnsi="仿宋" w:eastAsia="仿宋" w:cs="仿宋"/>
          <w:color w:val="auto"/>
          <w:highlight w:val="none"/>
        </w:rPr>
        <w:t>充分发挥党总揽全局、协调各方的领导核心作用，将党的领导贯穿于地区城镇住房与房地产发展的各环节和全过程。</w:t>
      </w:r>
      <w:bookmarkStart w:id="159" w:name="OLE_LINK18"/>
      <w:r>
        <w:rPr>
          <w:rFonts w:hint="eastAsia" w:ascii="仿宋" w:hAnsi="仿宋" w:eastAsia="仿宋" w:cs="仿宋"/>
          <w:color w:val="auto"/>
          <w:highlight w:val="none"/>
        </w:rPr>
        <w:t>强化地区层面统筹协调、监督检查。</w:t>
      </w:r>
      <w:bookmarkEnd w:id="159"/>
      <w:r>
        <w:rPr>
          <w:rFonts w:hint="eastAsia" w:ascii="仿宋" w:hAnsi="仿宋" w:eastAsia="仿宋" w:cs="仿宋"/>
          <w:color w:val="auto"/>
          <w:highlight w:val="none"/>
        </w:rPr>
        <w:t>围绕规划确定的目标，落实部门责任，建立多部门联动的工作机制</w:t>
      </w:r>
      <w:r>
        <w:rPr>
          <w:rFonts w:hint="eastAsia" w:ascii="仿宋" w:hAnsi="仿宋" w:eastAsia="仿宋" w:cs="仿宋"/>
          <w:color w:val="auto"/>
          <w:szCs w:val="24"/>
          <w:highlight w:val="none"/>
        </w:rPr>
        <w:t>，统筹土地、金融、财税等资源配置</w:t>
      </w:r>
      <w:r>
        <w:rPr>
          <w:rFonts w:hint="eastAsia" w:ascii="仿宋" w:hAnsi="仿宋" w:eastAsia="仿宋" w:cs="仿宋"/>
          <w:color w:val="auto"/>
          <w:highlight w:val="none"/>
        </w:rPr>
        <w:t>。加强对各县市住房工作的指导和监督，明确县市对规划落实和执行的责任。</w:t>
      </w:r>
    </w:p>
    <w:p>
      <w:pPr>
        <w:pStyle w:val="7"/>
        <w:rPr>
          <w:rFonts w:hint="eastAsia" w:ascii="仿宋" w:hAnsi="仿宋" w:eastAsia="仿宋" w:cs="仿宋"/>
          <w:color w:val="auto"/>
          <w:highlight w:val="none"/>
        </w:rPr>
      </w:pPr>
      <w:bookmarkStart w:id="160" w:name="_Toc12716"/>
      <w:bookmarkStart w:id="161" w:name="_Toc26099"/>
      <w:r>
        <w:rPr>
          <w:rFonts w:hint="eastAsia" w:ascii="仿宋" w:hAnsi="仿宋" w:eastAsia="仿宋" w:cs="仿宋"/>
          <w:color w:val="auto"/>
          <w:highlight w:val="none"/>
        </w:rPr>
        <w:t>强化社会监督与公众参与</w:t>
      </w:r>
      <w:bookmarkEnd w:id="160"/>
      <w:bookmarkEnd w:id="161"/>
    </w:p>
    <w:p>
      <w:pPr>
        <w:spacing w:line="620" w:lineRule="exact"/>
        <w:ind w:firstLine="643"/>
        <w:rPr>
          <w:rFonts w:hint="eastAsia" w:ascii="仿宋" w:hAnsi="仿宋" w:eastAsia="仿宋" w:cs="仿宋"/>
          <w:color w:val="auto"/>
          <w:highlight w:val="none"/>
        </w:rPr>
      </w:pPr>
      <w:r>
        <w:rPr>
          <w:rFonts w:hint="eastAsia" w:ascii="仿宋" w:hAnsi="仿宋" w:eastAsia="仿宋" w:cs="仿宋"/>
          <w:b/>
          <w:bCs/>
          <w:color w:val="auto"/>
          <w:highlight w:val="none"/>
        </w:rPr>
        <w:t>推行规划政务信息公开，广泛动员社会各方面积极支持、形成合力。</w:t>
      </w:r>
      <w:r>
        <w:rPr>
          <w:rFonts w:hint="eastAsia" w:ascii="仿宋" w:hAnsi="仿宋" w:eastAsia="仿宋" w:cs="仿宋"/>
          <w:color w:val="auto"/>
          <w:highlight w:val="none"/>
        </w:rPr>
        <w:t>创新和丰富规划成果宣传形式，营造规划实施的良好氛围。准确传递规划目标和政策导向，提高人民群众对城镇住房发展的认识，</w:t>
      </w:r>
      <w:r>
        <w:rPr>
          <w:rFonts w:hint="eastAsia" w:ascii="仿宋" w:hAnsi="仿宋" w:eastAsia="仿宋" w:cs="仿宋"/>
          <w:color w:val="auto"/>
          <w:szCs w:val="24"/>
          <w:highlight w:val="none"/>
        </w:rPr>
        <w:t>调动房地产企业等市场主体积极性，</w:t>
      </w:r>
      <w:r>
        <w:rPr>
          <w:rFonts w:hint="eastAsia" w:ascii="仿宋" w:hAnsi="仿宋" w:eastAsia="仿宋" w:cs="仿宋"/>
          <w:color w:val="auto"/>
          <w:highlight w:val="none"/>
        </w:rPr>
        <w:t>合理引导预期。</w:t>
      </w:r>
    </w:p>
    <w:p>
      <w:pPr>
        <w:pStyle w:val="7"/>
        <w:rPr>
          <w:rFonts w:hint="eastAsia" w:ascii="仿宋" w:hAnsi="仿宋" w:eastAsia="仿宋" w:cs="仿宋"/>
          <w:color w:val="auto"/>
          <w:highlight w:val="none"/>
        </w:rPr>
      </w:pPr>
      <w:bookmarkStart w:id="162" w:name="_Toc5301"/>
      <w:bookmarkStart w:id="163" w:name="_Toc20821"/>
      <w:r>
        <w:rPr>
          <w:rFonts w:hint="eastAsia" w:ascii="仿宋" w:hAnsi="仿宋" w:eastAsia="仿宋" w:cs="仿宋"/>
          <w:color w:val="auto"/>
          <w:highlight w:val="none"/>
        </w:rPr>
        <w:t>建立规划评估机制</w:t>
      </w:r>
      <w:bookmarkEnd w:id="162"/>
      <w:bookmarkEnd w:id="163"/>
    </w:p>
    <w:p>
      <w:pPr>
        <w:spacing w:line="620" w:lineRule="exact"/>
        <w:ind w:firstLine="643"/>
        <w:rPr>
          <w:rFonts w:hint="eastAsia" w:ascii="仿宋" w:hAnsi="仿宋" w:eastAsia="仿宋" w:cs="仿宋"/>
          <w:color w:val="auto"/>
          <w:highlight w:val="none"/>
        </w:rPr>
      </w:pPr>
      <w:r>
        <w:rPr>
          <w:rFonts w:hint="eastAsia" w:ascii="仿宋" w:hAnsi="仿宋" w:eastAsia="仿宋" w:cs="仿宋"/>
          <w:b/>
          <w:bCs/>
          <w:color w:val="auto"/>
          <w:highlight w:val="none"/>
        </w:rPr>
        <w:t>开展规划中期和实施期末评估。</w:t>
      </w:r>
      <w:r>
        <w:rPr>
          <w:rFonts w:hint="eastAsia" w:ascii="仿宋" w:hAnsi="仿宋" w:eastAsia="仿宋" w:cs="仿宋"/>
          <w:color w:val="auto"/>
          <w:highlight w:val="none"/>
        </w:rPr>
        <w:t>形成规划“编制－实施－评估－反馈”的全周期管理。在中期和期末开展规划实施效果跟踪，分析规划实施情况，对规划实施绩效进行综合评估。及时解决规划实施中存在的问题，促进规划目标的实现。结合人口流动变化、政策调整等形势，结合住房发展年度计划，制定主要目标和指标的动态调整机制。宏观环境发生重大变化，确有必要调整规划的，按程序办理。</w:t>
      </w:r>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1" w:fontKey="{229AF9B6-93DC-4293-91FE-11E88AB46252}"/>
  </w:font>
  <w:font w:name="Calibri Light">
    <w:panose1 w:val="020F0302020204030204"/>
    <w:charset w:val="00"/>
    <w:family w:val="swiss"/>
    <w:pitch w:val="default"/>
    <w:sig w:usb0="E4002EFF" w:usb1="C000247B" w:usb2="00000009" w:usb3="00000000" w:csb0="200001FF" w:csb1="00000000"/>
  </w:font>
  <w:font w:name="DejaVu Sans">
    <w:panose1 w:val="020B0603030804020204"/>
    <w:charset w:val="00"/>
    <w:family w:val="auto"/>
    <w:pitch w:val="default"/>
    <w:sig w:usb0="00000000" w:usb1="00000000" w:usb2="00000000" w:usb3="00000000" w:csb0="00000000" w:csb1="00000000"/>
  </w:font>
  <w:font w:name="方正黑体_GBK">
    <w:panose1 w:val="02000000000000000000"/>
    <w:charset w:val="86"/>
    <w:family w:val="auto"/>
    <w:pitch w:val="default"/>
    <w:sig w:usb0="00000000" w:usb1="00000000" w:usb2="00000000" w:usb3="00000000" w:csb0="00000000" w:csb1="00000000"/>
  </w:font>
  <w:font w:name="方正仿宋_GBK">
    <w:panose1 w:val="02000000000000000000"/>
    <w:charset w:val="86"/>
    <w:family w:val="script"/>
    <w:pitch w:val="default"/>
    <w:sig w:usb0="00000000" w:usb1="00000000" w:usb2="00000000" w:usb3="00000000" w:csb0="00000000" w:csb1="00000000"/>
  </w:font>
  <w:font w:name="ó×.2">
    <w:altName w:val="仿宋"/>
    <w:panose1 w:val="00000000000000000000"/>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FZFSK--GBK1-0">
    <w:altName w:val="宋体"/>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Songti SC">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spacing w:before="120"/>
      <w:ind w:firstLine="360"/>
      <w:jc w:val="center"/>
    </w:pPr>
  </w:p>
  <w:p>
    <w:pPr>
      <w:pStyle w:val="22"/>
      <w:spacing w:before="1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en-US" w:eastAsia="zh-CN"/>
      </w:rPr>
      <w:t>9</w:t>
    </w:r>
    <w:r>
      <w:rPr>
        <w:b/>
        <w:bCs/>
        <w:sz w:val="24"/>
        <w:szCs w:val="24"/>
      </w:rPr>
      <w:fldChar w:fldCharType="end"/>
    </w:r>
    <w:r>
      <w:rPr>
        <w:lang w:val="zh-CN"/>
      </w:rPr>
      <w:t xml:space="preserve"> </w:t>
    </w:r>
  </w:p>
  <w:p>
    <w:pPr>
      <w:pStyle w:val="2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783268"/>
    <w:multiLevelType w:val="multilevel"/>
    <w:tmpl w:val="D7783268"/>
    <w:lvl w:ilvl="0" w:tentative="0">
      <w:start w:val="1"/>
      <w:numFmt w:val="chineseCounting"/>
      <w:suff w:val="nothing"/>
      <w:lvlText w:val="第%1章　"/>
      <w:lvlJc w:val="left"/>
      <w:pPr>
        <w:tabs>
          <w:tab w:val="left" w:pos="0"/>
        </w:tabs>
        <w:ind w:left="0" w:firstLine="402"/>
      </w:pPr>
      <w:rPr>
        <w:rFonts w:hint="eastAsia"/>
      </w:rPr>
    </w:lvl>
    <w:lvl w:ilvl="1" w:tentative="0">
      <w:start w:val="1"/>
      <w:numFmt w:val="chineseCounting"/>
      <w:pStyle w:val="7"/>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
    <w:nsid w:val="55706338"/>
    <w:multiLevelType w:val="multilevel"/>
    <w:tmpl w:val="55706338"/>
    <w:lvl w:ilvl="0" w:tentative="0">
      <w:start w:val="1"/>
      <w:numFmt w:val="chineseCounting"/>
      <w:pStyle w:val="6"/>
      <w:suff w:val="nothing"/>
      <w:lvlText w:val="第%1章　"/>
      <w:lvlJc w:val="left"/>
      <w:pPr>
        <w:tabs>
          <w:tab w:val="left" w:pos="2859"/>
        </w:tabs>
        <w:ind w:left="2859"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2">
    <w:nsid w:val="7630AD83"/>
    <w:multiLevelType w:val="multilevel"/>
    <w:tmpl w:val="7630AD83"/>
    <w:lvl w:ilvl="0" w:tentative="0">
      <w:start w:val="1"/>
      <w:numFmt w:val="chineseCounting"/>
      <w:suff w:val="nothing"/>
      <w:lvlText w:val="第%1章 "/>
      <w:lvlJc w:val="left"/>
      <w:pPr>
        <w:tabs>
          <w:tab w:val="left" w:pos="0"/>
        </w:tabs>
        <w:ind w:left="0" w:firstLine="0"/>
      </w:pPr>
      <w:rPr>
        <w:rFonts w:hint="eastAsia" w:ascii="黑体" w:hAnsi="黑体" w:eastAsia="黑体" w:cs="宋体"/>
      </w:rPr>
    </w:lvl>
    <w:lvl w:ilvl="1" w:tentative="0">
      <w:start w:val="1"/>
      <w:numFmt w:val="chineseCounting"/>
      <w:suff w:val="nothing"/>
      <w:lvlText w:val="第%2节"/>
      <w:lvlJc w:val="left"/>
      <w:pPr>
        <w:tabs>
          <w:tab w:val="left" w:pos="0"/>
        </w:tabs>
        <w:ind w:left="0" w:firstLine="0"/>
      </w:pPr>
      <w:rPr>
        <w:rFonts w:hint="eastAsia" w:ascii="宋体" w:hAnsi="宋体" w:eastAsia="宋体" w:cs="宋体"/>
      </w:rPr>
    </w:lvl>
    <w:lvl w:ilvl="2" w:tentative="0">
      <w:start w:val="1"/>
      <w:numFmt w:val="decimal"/>
      <w:lvlText w:val="%3."/>
      <w:lvlJc w:val="left"/>
      <w:pPr>
        <w:ind w:left="840" w:hanging="440"/>
      </w:pPr>
      <w:rPr>
        <w:rFonts w:hint="eastAsia"/>
      </w:rPr>
    </w:lvl>
    <w:lvl w:ilvl="3" w:tentative="0">
      <w:start w:val="1"/>
      <w:numFmt w:val="chineseCounting"/>
      <w:pStyle w:val="9"/>
      <w:suff w:val="nothing"/>
      <w:lvlText w:val="（%4）"/>
      <w:lvlJc w:val="left"/>
      <w:pPr>
        <w:ind w:left="0" w:firstLine="402"/>
      </w:pPr>
      <w:rPr>
        <w:rFonts w:hint="eastAsia" w:ascii="宋体" w:hAnsi="宋体" w:eastAsia="宋体" w:cs="宋体"/>
      </w:rPr>
    </w:lvl>
    <w:lvl w:ilvl="4" w:tentative="0">
      <w:start w:val="1"/>
      <w:numFmt w:val="decimalEnclosedCircleChinese"/>
      <w:pStyle w:val="10"/>
      <w:suff w:val="nothing"/>
      <w:lvlText w:val="%5"/>
      <w:lvlJc w:val="left"/>
      <w:pPr>
        <w:ind w:left="0" w:firstLine="402"/>
      </w:pPr>
      <w:rPr>
        <w:rFonts w:hint="eastAsia"/>
      </w:rPr>
    </w:lvl>
    <w:lvl w:ilvl="5" w:tentative="0">
      <w:start w:val="1"/>
      <w:numFmt w:val="decimal"/>
      <w:pStyle w:val="11"/>
      <w:suff w:val="nothing"/>
      <w:lvlText w:val="%6）"/>
      <w:lvlJc w:val="left"/>
      <w:pPr>
        <w:ind w:left="0" w:firstLine="402"/>
      </w:pPr>
      <w:rPr>
        <w:rFonts w:hint="eastAsia"/>
      </w:rPr>
    </w:lvl>
    <w:lvl w:ilvl="6" w:tentative="0">
      <w:start w:val="1"/>
      <w:numFmt w:val="lowerLetter"/>
      <w:pStyle w:val="12"/>
      <w:suff w:val="nothing"/>
      <w:lvlText w:val="%7．"/>
      <w:lvlJc w:val="left"/>
      <w:pPr>
        <w:ind w:left="0" w:firstLine="402"/>
      </w:pPr>
      <w:rPr>
        <w:rFonts w:hint="eastAsia"/>
      </w:rPr>
    </w:lvl>
    <w:lvl w:ilvl="7" w:tentative="0">
      <w:start w:val="1"/>
      <w:numFmt w:val="lowerLetter"/>
      <w:pStyle w:val="13"/>
      <w:suff w:val="nothing"/>
      <w:lvlText w:val="%8）"/>
      <w:lvlJc w:val="left"/>
      <w:pPr>
        <w:ind w:left="0" w:firstLine="402"/>
      </w:pPr>
      <w:rPr>
        <w:rFonts w:hint="eastAsia"/>
      </w:rPr>
    </w:lvl>
    <w:lvl w:ilvl="8" w:tentative="0">
      <w:start w:val="1"/>
      <w:numFmt w:val="lowerRoman"/>
      <w:pStyle w:val="14"/>
      <w:suff w:val="nothing"/>
      <w:lvlText w:val="%9 "/>
      <w:lvlJc w:val="left"/>
      <w:pPr>
        <w:ind w:left="0" w:firstLine="402"/>
      </w:pPr>
      <w:rPr>
        <w:rFonts w:hint="eastAsia"/>
      </w:rPr>
    </w:lvl>
  </w:abstractNum>
  <w:num w:numId="1">
    <w:abstractNumId w:val="1"/>
  </w:num>
  <w:num w:numId="2">
    <w:abstractNumId w:val="0"/>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M0OTk5YWRiNGFmZjMyMDA2MDc4OWM0YjJmOThhMmQifQ=="/>
  </w:docVars>
  <w:rsids>
    <w:rsidRoot w:val="008A529B"/>
    <w:rsid w:val="00003830"/>
    <w:rsid w:val="00004EEA"/>
    <w:rsid w:val="00005F8F"/>
    <w:rsid w:val="00006006"/>
    <w:rsid w:val="00006239"/>
    <w:rsid w:val="00007594"/>
    <w:rsid w:val="00012C4A"/>
    <w:rsid w:val="000136AA"/>
    <w:rsid w:val="00014122"/>
    <w:rsid w:val="0001524F"/>
    <w:rsid w:val="000205C4"/>
    <w:rsid w:val="00023623"/>
    <w:rsid w:val="0003012A"/>
    <w:rsid w:val="00031676"/>
    <w:rsid w:val="00032A7C"/>
    <w:rsid w:val="00033482"/>
    <w:rsid w:val="00034536"/>
    <w:rsid w:val="00036572"/>
    <w:rsid w:val="00041939"/>
    <w:rsid w:val="00042747"/>
    <w:rsid w:val="000463F0"/>
    <w:rsid w:val="000476CE"/>
    <w:rsid w:val="00052DC1"/>
    <w:rsid w:val="000544ED"/>
    <w:rsid w:val="000549B1"/>
    <w:rsid w:val="00055BFD"/>
    <w:rsid w:val="00057032"/>
    <w:rsid w:val="00060D01"/>
    <w:rsid w:val="00060F69"/>
    <w:rsid w:val="0006193B"/>
    <w:rsid w:val="000622E0"/>
    <w:rsid w:val="0006559F"/>
    <w:rsid w:val="00065974"/>
    <w:rsid w:val="00067DCA"/>
    <w:rsid w:val="0007118D"/>
    <w:rsid w:val="0007146A"/>
    <w:rsid w:val="00072357"/>
    <w:rsid w:val="00073B8B"/>
    <w:rsid w:val="000742C0"/>
    <w:rsid w:val="000775B5"/>
    <w:rsid w:val="00077835"/>
    <w:rsid w:val="00081BA0"/>
    <w:rsid w:val="00081C31"/>
    <w:rsid w:val="000829BD"/>
    <w:rsid w:val="000834B8"/>
    <w:rsid w:val="00084042"/>
    <w:rsid w:val="000840FD"/>
    <w:rsid w:val="000854AA"/>
    <w:rsid w:val="00090697"/>
    <w:rsid w:val="0009192E"/>
    <w:rsid w:val="00092250"/>
    <w:rsid w:val="000941CD"/>
    <w:rsid w:val="0009631B"/>
    <w:rsid w:val="000A08A3"/>
    <w:rsid w:val="000B0D3A"/>
    <w:rsid w:val="000B18BA"/>
    <w:rsid w:val="000B1D59"/>
    <w:rsid w:val="000B1DB1"/>
    <w:rsid w:val="000B2133"/>
    <w:rsid w:val="000B2EB8"/>
    <w:rsid w:val="000B47F6"/>
    <w:rsid w:val="000B635F"/>
    <w:rsid w:val="000B674E"/>
    <w:rsid w:val="000B7A89"/>
    <w:rsid w:val="000C23D5"/>
    <w:rsid w:val="000C39B3"/>
    <w:rsid w:val="000C4313"/>
    <w:rsid w:val="000C457B"/>
    <w:rsid w:val="000C4A4D"/>
    <w:rsid w:val="000C4FF1"/>
    <w:rsid w:val="000C6811"/>
    <w:rsid w:val="000C699E"/>
    <w:rsid w:val="000C7539"/>
    <w:rsid w:val="000D1E67"/>
    <w:rsid w:val="000D36F9"/>
    <w:rsid w:val="000D58DE"/>
    <w:rsid w:val="000E2A5F"/>
    <w:rsid w:val="000E3609"/>
    <w:rsid w:val="000E78A7"/>
    <w:rsid w:val="000F2B5C"/>
    <w:rsid w:val="000F4B76"/>
    <w:rsid w:val="000F55D9"/>
    <w:rsid w:val="000F5BB3"/>
    <w:rsid w:val="000F5EC3"/>
    <w:rsid w:val="000F636B"/>
    <w:rsid w:val="000F649C"/>
    <w:rsid w:val="0010018D"/>
    <w:rsid w:val="001020F0"/>
    <w:rsid w:val="00102CE1"/>
    <w:rsid w:val="00112540"/>
    <w:rsid w:val="001137B3"/>
    <w:rsid w:val="00114B3D"/>
    <w:rsid w:val="00114FD1"/>
    <w:rsid w:val="00120EFE"/>
    <w:rsid w:val="00122EAF"/>
    <w:rsid w:val="00124726"/>
    <w:rsid w:val="0012483E"/>
    <w:rsid w:val="00127869"/>
    <w:rsid w:val="001310E3"/>
    <w:rsid w:val="00131ADD"/>
    <w:rsid w:val="00132CB3"/>
    <w:rsid w:val="00136AFA"/>
    <w:rsid w:val="00136F64"/>
    <w:rsid w:val="0013701B"/>
    <w:rsid w:val="00137A42"/>
    <w:rsid w:val="001402A5"/>
    <w:rsid w:val="00140C45"/>
    <w:rsid w:val="00141F1E"/>
    <w:rsid w:val="0014228C"/>
    <w:rsid w:val="00142D8F"/>
    <w:rsid w:val="00144F8E"/>
    <w:rsid w:val="001450A7"/>
    <w:rsid w:val="00146453"/>
    <w:rsid w:val="001467F6"/>
    <w:rsid w:val="00150B81"/>
    <w:rsid w:val="00150DE9"/>
    <w:rsid w:val="001511E2"/>
    <w:rsid w:val="001542DD"/>
    <w:rsid w:val="00161356"/>
    <w:rsid w:val="001614C3"/>
    <w:rsid w:val="00163A81"/>
    <w:rsid w:val="00164871"/>
    <w:rsid w:val="00166DD1"/>
    <w:rsid w:val="00170099"/>
    <w:rsid w:val="00170D04"/>
    <w:rsid w:val="00170E87"/>
    <w:rsid w:val="0017472E"/>
    <w:rsid w:val="00176B03"/>
    <w:rsid w:val="00177C7F"/>
    <w:rsid w:val="001839E8"/>
    <w:rsid w:val="00184282"/>
    <w:rsid w:val="001843E5"/>
    <w:rsid w:val="00185C1C"/>
    <w:rsid w:val="001863E9"/>
    <w:rsid w:val="00190490"/>
    <w:rsid w:val="00190F04"/>
    <w:rsid w:val="0019119D"/>
    <w:rsid w:val="00192D2E"/>
    <w:rsid w:val="00193D23"/>
    <w:rsid w:val="00196409"/>
    <w:rsid w:val="00196C4E"/>
    <w:rsid w:val="001A0F72"/>
    <w:rsid w:val="001A2462"/>
    <w:rsid w:val="001A6EC5"/>
    <w:rsid w:val="001B30FD"/>
    <w:rsid w:val="001B32D3"/>
    <w:rsid w:val="001B389C"/>
    <w:rsid w:val="001C2EE2"/>
    <w:rsid w:val="001C31C0"/>
    <w:rsid w:val="001C5605"/>
    <w:rsid w:val="001D0E46"/>
    <w:rsid w:val="001D18E0"/>
    <w:rsid w:val="001D1E9D"/>
    <w:rsid w:val="001D1FF7"/>
    <w:rsid w:val="001D2499"/>
    <w:rsid w:val="001D2663"/>
    <w:rsid w:val="001D2E30"/>
    <w:rsid w:val="001D4E4A"/>
    <w:rsid w:val="001D5BAC"/>
    <w:rsid w:val="001D6DCD"/>
    <w:rsid w:val="001E0C3F"/>
    <w:rsid w:val="001E1CE3"/>
    <w:rsid w:val="001F09FD"/>
    <w:rsid w:val="001F0CB2"/>
    <w:rsid w:val="001F728F"/>
    <w:rsid w:val="00202284"/>
    <w:rsid w:val="00202718"/>
    <w:rsid w:val="00206E09"/>
    <w:rsid w:val="00213B55"/>
    <w:rsid w:val="00214384"/>
    <w:rsid w:val="002154B0"/>
    <w:rsid w:val="002156DB"/>
    <w:rsid w:val="002177BB"/>
    <w:rsid w:val="00222783"/>
    <w:rsid w:val="00223537"/>
    <w:rsid w:val="00224F09"/>
    <w:rsid w:val="0022547F"/>
    <w:rsid w:val="0022700B"/>
    <w:rsid w:val="0022765B"/>
    <w:rsid w:val="00236594"/>
    <w:rsid w:val="002376C2"/>
    <w:rsid w:val="002403B7"/>
    <w:rsid w:val="00242216"/>
    <w:rsid w:val="002422E0"/>
    <w:rsid w:val="0024748C"/>
    <w:rsid w:val="00247C78"/>
    <w:rsid w:val="00250434"/>
    <w:rsid w:val="00250CE7"/>
    <w:rsid w:val="00252A48"/>
    <w:rsid w:val="00254B56"/>
    <w:rsid w:val="0025779A"/>
    <w:rsid w:val="00257ADD"/>
    <w:rsid w:val="0026032E"/>
    <w:rsid w:val="00260E2B"/>
    <w:rsid w:val="002622D6"/>
    <w:rsid w:val="00262BBE"/>
    <w:rsid w:val="00263541"/>
    <w:rsid w:val="002649EA"/>
    <w:rsid w:val="00266C39"/>
    <w:rsid w:val="00274413"/>
    <w:rsid w:val="002745B1"/>
    <w:rsid w:val="002749B3"/>
    <w:rsid w:val="00275BDA"/>
    <w:rsid w:val="00277F46"/>
    <w:rsid w:val="00281503"/>
    <w:rsid w:val="0028171E"/>
    <w:rsid w:val="00282301"/>
    <w:rsid w:val="0028231B"/>
    <w:rsid w:val="00282520"/>
    <w:rsid w:val="00284ECE"/>
    <w:rsid w:val="0028557D"/>
    <w:rsid w:val="00285E1C"/>
    <w:rsid w:val="00287A6C"/>
    <w:rsid w:val="0029032B"/>
    <w:rsid w:val="00290DB6"/>
    <w:rsid w:val="00291477"/>
    <w:rsid w:val="00291CFC"/>
    <w:rsid w:val="00292C49"/>
    <w:rsid w:val="002933CB"/>
    <w:rsid w:val="00295ECC"/>
    <w:rsid w:val="00296F04"/>
    <w:rsid w:val="002A0E1A"/>
    <w:rsid w:val="002A10AE"/>
    <w:rsid w:val="002A42AE"/>
    <w:rsid w:val="002A42F9"/>
    <w:rsid w:val="002A4849"/>
    <w:rsid w:val="002A68F8"/>
    <w:rsid w:val="002B43B5"/>
    <w:rsid w:val="002B7120"/>
    <w:rsid w:val="002C1F68"/>
    <w:rsid w:val="002C3A13"/>
    <w:rsid w:val="002C502B"/>
    <w:rsid w:val="002D1511"/>
    <w:rsid w:val="002D3612"/>
    <w:rsid w:val="002D3878"/>
    <w:rsid w:val="002D3EC6"/>
    <w:rsid w:val="002D40BE"/>
    <w:rsid w:val="002D673B"/>
    <w:rsid w:val="002D7027"/>
    <w:rsid w:val="002E61B3"/>
    <w:rsid w:val="002E6C6C"/>
    <w:rsid w:val="002E7205"/>
    <w:rsid w:val="002F1062"/>
    <w:rsid w:val="002F2995"/>
    <w:rsid w:val="002F2FB3"/>
    <w:rsid w:val="002F3CEA"/>
    <w:rsid w:val="002F6035"/>
    <w:rsid w:val="002F670C"/>
    <w:rsid w:val="003000B0"/>
    <w:rsid w:val="00301566"/>
    <w:rsid w:val="00301640"/>
    <w:rsid w:val="003018D5"/>
    <w:rsid w:val="003025D5"/>
    <w:rsid w:val="003033C6"/>
    <w:rsid w:val="00303692"/>
    <w:rsid w:val="003048C2"/>
    <w:rsid w:val="003058D1"/>
    <w:rsid w:val="00306DC7"/>
    <w:rsid w:val="00307162"/>
    <w:rsid w:val="00311E8B"/>
    <w:rsid w:val="0031352A"/>
    <w:rsid w:val="0031352E"/>
    <w:rsid w:val="0031366E"/>
    <w:rsid w:val="00315535"/>
    <w:rsid w:val="00315C12"/>
    <w:rsid w:val="00316960"/>
    <w:rsid w:val="00316CFB"/>
    <w:rsid w:val="00316E66"/>
    <w:rsid w:val="00317CEB"/>
    <w:rsid w:val="00321858"/>
    <w:rsid w:val="00321C73"/>
    <w:rsid w:val="0032297A"/>
    <w:rsid w:val="003236F0"/>
    <w:rsid w:val="00323985"/>
    <w:rsid w:val="00323DBB"/>
    <w:rsid w:val="00323ED2"/>
    <w:rsid w:val="00325113"/>
    <w:rsid w:val="00327F4F"/>
    <w:rsid w:val="00330F42"/>
    <w:rsid w:val="00332823"/>
    <w:rsid w:val="00333610"/>
    <w:rsid w:val="00335411"/>
    <w:rsid w:val="00335CA8"/>
    <w:rsid w:val="00342119"/>
    <w:rsid w:val="0034514C"/>
    <w:rsid w:val="003463F6"/>
    <w:rsid w:val="00346CA2"/>
    <w:rsid w:val="00347E1C"/>
    <w:rsid w:val="0035061C"/>
    <w:rsid w:val="00351131"/>
    <w:rsid w:val="00352416"/>
    <w:rsid w:val="00353291"/>
    <w:rsid w:val="0035336C"/>
    <w:rsid w:val="003537E9"/>
    <w:rsid w:val="003540E6"/>
    <w:rsid w:val="00354698"/>
    <w:rsid w:val="00356B09"/>
    <w:rsid w:val="00361D57"/>
    <w:rsid w:val="00364059"/>
    <w:rsid w:val="0036417E"/>
    <w:rsid w:val="003658A5"/>
    <w:rsid w:val="00365C2C"/>
    <w:rsid w:val="00366001"/>
    <w:rsid w:val="00366A05"/>
    <w:rsid w:val="00370742"/>
    <w:rsid w:val="00370DCF"/>
    <w:rsid w:val="00371044"/>
    <w:rsid w:val="00371737"/>
    <w:rsid w:val="00374943"/>
    <w:rsid w:val="00374EF5"/>
    <w:rsid w:val="00375BCF"/>
    <w:rsid w:val="00376FBD"/>
    <w:rsid w:val="00377924"/>
    <w:rsid w:val="00377B50"/>
    <w:rsid w:val="003829CE"/>
    <w:rsid w:val="00383207"/>
    <w:rsid w:val="003834D8"/>
    <w:rsid w:val="00384244"/>
    <w:rsid w:val="003865C9"/>
    <w:rsid w:val="003865DB"/>
    <w:rsid w:val="003868B0"/>
    <w:rsid w:val="00386C84"/>
    <w:rsid w:val="00391CAE"/>
    <w:rsid w:val="00391F14"/>
    <w:rsid w:val="00393902"/>
    <w:rsid w:val="003940F2"/>
    <w:rsid w:val="003950E1"/>
    <w:rsid w:val="00395E38"/>
    <w:rsid w:val="00397434"/>
    <w:rsid w:val="003A2F3C"/>
    <w:rsid w:val="003A4896"/>
    <w:rsid w:val="003B2D0F"/>
    <w:rsid w:val="003B71A1"/>
    <w:rsid w:val="003B7255"/>
    <w:rsid w:val="003B7E6A"/>
    <w:rsid w:val="003C1D67"/>
    <w:rsid w:val="003C1DB9"/>
    <w:rsid w:val="003C3DF4"/>
    <w:rsid w:val="003C4F65"/>
    <w:rsid w:val="003C731B"/>
    <w:rsid w:val="003D0415"/>
    <w:rsid w:val="003D06F7"/>
    <w:rsid w:val="003E003B"/>
    <w:rsid w:val="003E08A1"/>
    <w:rsid w:val="003E1B93"/>
    <w:rsid w:val="003E1F96"/>
    <w:rsid w:val="003E28FD"/>
    <w:rsid w:val="003E336E"/>
    <w:rsid w:val="003E3507"/>
    <w:rsid w:val="003E6D8A"/>
    <w:rsid w:val="003E7234"/>
    <w:rsid w:val="003E7842"/>
    <w:rsid w:val="003F1075"/>
    <w:rsid w:val="003F26A8"/>
    <w:rsid w:val="003F70CF"/>
    <w:rsid w:val="003F7955"/>
    <w:rsid w:val="003F7F9F"/>
    <w:rsid w:val="00403F24"/>
    <w:rsid w:val="004040F0"/>
    <w:rsid w:val="00405979"/>
    <w:rsid w:val="00407809"/>
    <w:rsid w:val="00410974"/>
    <w:rsid w:val="00411D3A"/>
    <w:rsid w:val="0041280C"/>
    <w:rsid w:val="004128A1"/>
    <w:rsid w:val="00415638"/>
    <w:rsid w:val="004162CC"/>
    <w:rsid w:val="00425056"/>
    <w:rsid w:val="004258DF"/>
    <w:rsid w:val="00427ABC"/>
    <w:rsid w:val="00430A76"/>
    <w:rsid w:val="00434297"/>
    <w:rsid w:val="00434868"/>
    <w:rsid w:val="00435892"/>
    <w:rsid w:val="00437043"/>
    <w:rsid w:val="00442407"/>
    <w:rsid w:val="004426AF"/>
    <w:rsid w:val="0044313D"/>
    <w:rsid w:val="00443F1A"/>
    <w:rsid w:val="00451316"/>
    <w:rsid w:val="004539B6"/>
    <w:rsid w:val="00454321"/>
    <w:rsid w:val="00457CBA"/>
    <w:rsid w:val="004614EA"/>
    <w:rsid w:val="00463CC9"/>
    <w:rsid w:val="00465970"/>
    <w:rsid w:val="00466898"/>
    <w:rsid w:val="00467C12"/>
    <w:rsid w:val="004813AE"/>
    <w:rsid w:val="00481A82"/>
    <w:rsid w:val="00483183"/>
    <w:rsid w:val="004842AA"/>
    <w:rsid w:val="004851D5"/>
    <w:rsid w:val="00486D61"/>
    <w:rsid w:val="00490B4A"/>
    <w:rsid w:val="0049550A"/>
    <w:rsid w:val="00495637"/>
    <w:rsid w:val="004A0F31"/>
    <w:rsid w:val="004A3A61"/>
    <w:rsid w:val="004A65C0"/>
    <w:rsid w:val="004A6721"/>
    <w:rsid w:val="004A747B"/>
    <w:rsid w:val="004A76A2"/>
    <w:rsid w:val="004B1148"/>
    <w:rsid w:val="004B4D38"/>
    <w:rsid w:val="004B6840"/>
    <w:rsid w:val="004B7D8B"/>
    <w:rsid w:val="004C00A3"/>
    <w:rsid w:val="004C0FD2"/>
    <w:rsid w:val="004C30AD"/>
    <w:rsid w:val="004C31C8"/>
    <w:rsid w:val="004C38DC"/>
    <w:rsid w:val="004C3A89"/>
    <w:rsid w:val="004C52E4"/>
    <w:rsid w:val="004D42C5"/>
    <w:rsid w:val="004D686D"/>
    <w:rsid w:val="004D6BB0"/>
    <w:rsid w:val="004D726E"/>
    <w:rsid w:val="004D7E65"/>
    <w:rsid w:val="004E0B30"/>
    <w:rsid w:val="004E12FA"/>
    <w:rsid w:val="004E1B7B"/>
    <w:rsid w:val="004E2242"/>
    <w:rsid w:val="004E789F"/>
    <w:rsid w:val="004F0EA1"/>
    <w:rsid w:val="004F29BC"/>
    <w:rsid w:val="004F2E26"/>
    <w:rsid w:val="004F3DE6"/>
    <w:rsid w:val="004F440D"/>
    <w:rsid w:val="004F45F7"/>
    <w:rsid w:val="004F6B68"/>
    <w:rsid w:val="004F6C62"/>
    <w:rsid w:val="004F7142"/>
    <w:rsid w:val="004F7798"/>
    <w:rsid w:val="005000BF"/>
    <w:rsid w:val="005011E8"/>
    <w:rsid w:val="00503731"/>
    <w:rsid w:val="005058B1"/>
    <w:rsid w:val="005073AD"/>
    <w:rsid w:val="00511D03"/>
    <w:rsid w:val="005126FB"/>
    <w:rsid w:val="00514E85"/>
    <w:rsid w:val="00515FF1"/>
    <w:rsid w:val="0051680E"/>
    <w:rsid w:val="00517C34"/>
    <w:rsid w:val="00520447"/>
    <w:rsid w:val="00520569"/>
    <w:rsid w:val="005210B5"/>
    <w:rsid w:val="005213B4"/>
    <w:rsid w:val="00522F96"/>
    <w:rsid w:val="005244F6"/>
    <w:rsid w:val="005257C9"/>
    <w:rsid w:val="0052760F"/>
    <w:rsid w:val="00527E49"/>
    <w:rsid w:val="0053289D"/>
    <w:rsid w:val="00532C4E"/>
    <w:rsid w:val="00534C80"/>
    <w:rsid w:val="005355D0"/>
    <w:rsid w:val="005360D1"/>
    <w:rsid w:val="0053654B"/>
    <w:rsid w:val="0054087A"/>
    <w:rsid w:val="005418DB"/>
    <w:rsid w:val="00542591"/>
    <w:rsid w:val="0054734C"/>
    <w:rsid w:val="0055023E"/>
    <w:rsid w:val="005512D1"/>
    <w:rsid w:val="00552E81"/>
    <w:rsid w:val="0055348E"/>
    <w:rsid w:val="00553DC6"/>
    <w:rsid w:val="00556572"/>
    <w:rsid w:val="0056008D"/>
    <w:rsid w:val="00560297"/>
    <w:rsid w:val="00561382"/>
    <w:rsid w:val="00563527"/>
    <w:rsid w:val="00564ADB"/>
    <w:rsid w:val="0056507D"/>
    <w:rsid w:val="00570094"/>
    <w:rsid w:val="00571815"/>
    <w:rsid w:val="005718EA"/>
    <w:rsid w:val="0057417E"/>
    <w:rsid w:val="005748DA"/>
    <w:rsid w:val="00574B82"/>
    <w:rsid w:val="005814A7"/>
    <w:rsid w:val="00581544"/>
    <w:rsid w:val="0058381E"/>
    <w:rsid w:val="0058531A"/>
    <w:rsid w:val="00585B5E"/>
    <w:rsid w:val="0058755F"/>
    <w:rsid w:val="00590433"/>
    <w:rsid w:val="005926CF"/>
    <w:rsid w:val="005935FA"/>
    <w:rsid w:val="0059435E"/>
    <w:rsid w:val="00594C94"/>
    <w:rsid w:val="005A0F6C"/>
    <w:rsid w:val="005A0FDA"/>
    <w:rsid w:val="005A1680"/>
    <w:rsid w:val="005A2A5D"/>
    <w:rsid w:val="005A366A"/>
    <w:rsid w:val="005A46DB"/>
    <w:rsid w:val="005A67ED"/>
    <w:rsid w:val="005A683C"/>
    <w:rsid w:val="005A7822"/>
    <w:rsid w:val="005A7C07"/>
    <w:rsid w:val="005B00FD"/>
    <w:rsid w:val="005B069F"/>
    <w:rsid w:val="005B1CA0"/>
    <w:rsid w:val="005B3B97"/>
    <w:rsid w:val="005B474C"/>
    <w:rsid w:val="005C05C3"/>
    <w:rsid w:val="005C0FB9"/>
    <w:rsid w:val="005C113F"/>
    <w:rsid w:val="005C29C8"/>
    <w:rsid w:val="005C4E73"/>
    <w:rsid w:val="005D1E51"/>
    <w:rsid w:val="005D6078"/>
    <w:rsid w:val="005D71E8"/>
    <w:rsid w:val="005E0114"/>
    <w:rsid w:val="005E115A"/>
    <w:rsid w:val="005E2289"/>
    <w:rsid w:val="005E2773"/>
    <w:rsid w:val="005E2855"/>
    <w:rsid w:val="005E3DF1"/>
    <w:rsid w:val="005E4CB9"/>
    <w:rsid w:val="005F024F"/>
    <w:rsid w:val="005F0C71"/>
    <w:rsid w:val="005F2016"/>
    <w:rsid w:val="005F3C22"/>
    <w:rsid w:val="005F5355"/>
    <w:rsid w:val="005F5E1A"/>
    <w:rsid w:val="005F6305"/>
    <w:rsid w:val="006003F3"/>
    <w:rsid w:val="0060150B"/>
    <w:rsid w:val="00601FE5"/>
    <w:rsid w:val="00602058"/>
    <w:rsid w:val="0060460D"/>
    <w:rsid w:val="00605688"/>
    <w:rsid w:val="00606157"/>
    <w:rsid w:val="00606820"/>
    <w:rsid w:val="0061133E"/>
    <w:rsid w:val="00611D21"/>
    <w:rsid w:val="00611D62"/>
    <w:rsid w:val="006133E0"/>
    <w:rsid w:val="00613966"/>
    <w:rsid w:val="00614729"/>
    <w:rsid w:val="00614D82"/>
    <w:rsid w:val="00614F0A"/>
    <w:rsid w:val="00617691"/>
    <w:rsid w:val="0061793E"/>
    <w:rsid w:val="00617BAA"/>
    <w:rsid w:val="00617E8A"/>
    <w:rsid w:val="00623E17"/>
    <w:rsid w:val="00624FD5"/>
    <w:rsid w:val="006255BC"/>
    <w:rsid w:val="006271B8"/>
    <w:rsid w:val="00631080"/>
    <w:rsid w:val="006325BB"/>
    <w:rsid w:val="006358D0"/>
    <w:rsid w:val="0064159D"/>
    <w:rsid w:val="00641C90"/>
    <w:rsid w:val="0064277B"/>
    <w:rsid w:val="00643E95"/>
    <w:rsid w:val="006447ED"/>
    <w:rsid w:val="00646493"/>
    <w:rsid w:val="00647445"/>
    <w:rsid w:val="00651740"/>
    <w:rsid w:val="006544C5"/>
    <w:rsid w:val="006556DA"/>
    <w:rsid w:val="006567F1"/>
    <w:rsid w:val="00661319"/>
    <w:rsid w:val="00662061"/>
    <w:rsid w:val="0066242C"/>
    <w:rsid w:val="00662524"/>
    <w:rsid w:val="00662FB7"/>
    <w:rsid w:val="00663C94"/>
    <w:rsid w:val="006669F8"/>
    <w:rsid w:val="00671414"/>
    <w:rsid w:val="006767CD"/>
    <w:rsid w:val="006865C0"/>
    <w:rsid w:val="006906B7"/>
    <w:rsid w:val="006908AE"/>
    <w:rsid w:val="00690949"/>
    <w:rsid w:val="00690A34"/>
    <w:rsid w:val="006915C3"/>
    <w:rsid w:val="006976AA"/>
    <w:rsid w:val="006978FC"/>
    <w:rsid w:val="006A0BE2"/>
    <w:rsid w:val="006A1EDB"/>
    <w:rsid w:val="006A2513"/>
    <w:rsid w:val="006A3E14"/>
    <w:rsid w:val="006A619A"/>
    <w:rsid w:val="006B03F5"/>
    <w:rsid w:val="006B4C27"/>
    <w:rsid w:val="006B598B"/>
    <w:rsid w:val="006C2D25"/>
    <w:rsid w:val="006C35BA"/>
    <w:rsid w:val="006C4CF4"/>
    <w:rsid w:val="006C690B"/>
    <w:rsid w:val="006D2169"/>
    <w:rsid w:val="006D240F"/>
    <w:rsid w:val="006D2CF5"/>
    <w:rsid w:val="006D5699"/>
    <w:rsid w:val="006D5B1D"/>
    <w:rsid w:val="006D6EBF"/>
    <w:rsid w:val="006D7407"/>
    <w:rsid w:val="006D79D0"/>
    <w:rsid w:val="006E475B"/>
    <w:rsid w:val="006E4DBD"/>
    <w:rsid w:val="006F0D71"/>
    <w:rsid w:val="006F219D"/>
    <w:rsid w:val="006F3B94"/>
    <w:rsid w:val="006F53AA"/>
    <w:rsid w:val="006F67A4"/>
    <w:rsid w:val="00700A5D"/>
    <w:rsid w:val="00703C4E"/>
    <w:rsid w:val="00704ADF"/>
    <w:rsid w:val="00704BBE"/>
    <w:rsid w:val="00705677"/>
    <w:rsid w:val="00706CA5"/>
    <w:rsid w:val="00707307"/>
    <w:rsid w:val="00711828"/>
    <w:rsid w:val="00715382"/>
    <w:rsid w:val="00715461"/>
    <w:rsid w:val="0072055A"/>
    <w:rsid w:val="007217F9"/>
    <w:rsid w:val="0072510D"/>
    <w:rsid w:val="00725896"/>
    <w:rsid w:val="00725991"/>
    <w:rsid w:val="00731E06"/>
    <w:rsid w:val="00733095"/>
    <w:rsid w:val="00733354"/>
    <w:rsid w:val="007344D5"/>
    <w:rsid w:val="00734CA6"/>
    <w:rsid w:val="007354BF"/>
    <w:rsid w:val="0074047B"/>
    <w:rsid w:val="007415FB"/>
    <w:rsid w:val="007438D6"/>
    <w:rsid w:val="00744709"/>
    <w:rsid w:val="00744C03"/>
    <w:rsid w:val="00754CB9"/>
    <w:rsid w:val="0075525D"/>
    <w:rsid w:val="007568A4"/>
    <w:rsid w:val="007634E6"/>
    <w:rsid w:val="00763AA1"/>
    <w:rsid w:val="00764987"/>
    <w:rsid w:val="007676B2"/>
    <w:rsid w:val="007712AD"/>
    <w:rsid w:val="00771D12"/>
    <w:rsid w:val="00772EDD"/>
    <w:rsid w:val="007736EB"/>
    <w:rsid w:val="0077495C"/>
    <w:rsid w:val="00780A25"/>
    <w:rsid w:val="007826CC"/>
    <w:rsid w:val="007855ED"/>
    <w:rsid w:val="00787B50"/>
    <w:rsid w:val="00787E27"/>
    <w:rsid w:val="00792C48"/>
    <w:rsid w:val="00795112"/>
    <w:rsid w:val="0079543F"/>
    <w:rsid w:val="007A15CB"/>
    <w:rsid w:val="007A1F64"/>
    <w:rsid w:val="007A2B10"/>
    <w:rsid w:val="007A39D2"/>
    <w:rsid w:val="007B07E8"/>
    <w:rsid w:val="007B0C3E"/>
    <w:rsid w:val="007B177C"/>
    <w:rsid w:val="007B1B9E"/>
    <w:rsid w:val="007B312B"/>
    <w:rsid w:val="007B3A89"/>
    <w:rsid w:val="007B3DA7"/>
    <w:rsid w:val="007B4F1B"/>
    <w:rsid w:val="007B703B"/>
    <w:rsid w:val="007B7CB3"/>
    <w:rsid w:val="007C090D"/>
    <w:rsid w:val="007C0999"/>
    <w:rsid w:val="007C21C8"/>
    <w:rsid w:val="007C3A22"/>
    <w:rsid w:val="007C6065"/>
    <w:rsid w:val="007D09A2"/>
    <w:rsid w:val="007D2861"/>
    <w:rsid w:val="007D2D27"/>
    <w:rsid w:val="007D3278"/>
    <w:rsid w:val="007D4FCA"/>
    <w:rsid w:val="007E030F"/>
    <w:rsid w:val="007E2277"/>
    <w:rsid w:val="007E620C"/>
    <w:rsid w:val="007E6A37"/>
    <w:rsid w:val="007E6D7D"/>
    <w:rsid w:val="007E73A6"/>
    <w:rsid w:val="007F029C"/>
    <w:rsid w:val="007F1187"/>
    <w:rsid w:val="007F161C"/>
    <w:rsid w:val="007F1EBD"/>
    <w:rsid w:val="007F5BFE"/>
    <w:rsid w:val="007F6E8C"/>
    <w:rsid w:val="007F75DE"/>
    <w:rsid w:val="00800623"/>
    <w:rsid w:val="00805B54"/>
    <w:rsid w:val="008060A5"/>
    <w:rsid w:val="00810C74"/>
    <w:rsid w:val="00810DCF"/>
    <w:rsid w:val="00810EB7"/>
    <w:rsid w:val="00813DE5"/>
    <w:rsid w:val="008172DC"/>
    <w:rsid w:val="00820852"/>
    <w:rsid w:val="008211BE"/>
    <w:rsid w:val="0082305C"/>
    <w:rsid w:val="0082361A"/>
    <w:rsid w:val="008265FA"/>
    <w:rsid w:val="00826829"/>
    <w:rsid w:val="008317A9"/>
    <w:rsid w:val="0083203C"/>
    <w:rsid w:val="00832314"/>
    <w:rsid w:val="008345B8"/>
    <w:rsid w:val="008408F1"/>
    <w:rsid w:val="008423AA"/>
    <w:rsid w:val="008441CE"/>
    <w:rsid w:val="00846529"/>
    <w:rsid w:val="00851AB7"/>
    <w:rsid w:val="008527D2"/>
    <w:rsid w:val="008537A8"/>
    <w:rsid w:val="00854EB7"/>
    <w:rsid w:val="00857122"/>
    <w:rsid w:val="00857E24"/>
    <w:rsid w:val="00861DEA"/>
    <w:rsid w:val="0086321B"/>
    <w:rsid w:val="0086638C"/>
    <w:rsid w:val="008706F6"/>
    <w:rsid w:val="0087196C"/>
    <w:rsid w:val="00872353"/>
    <w:rsid w:val="00872BA6"/>
    <w:rsid w:val="008761B9"/>
    <w:rsid w:val="00887CC7"/>
    <w:rsid w:val="008904E4"/>
    <w:rsid w:val="008914ED"/>
    <w:rsid w:val="00891530"/>
    <w:rsid w:val="008922A7"/>
    <w:rsid w:val="008922D2"/>
    <w:rsid w:val="00897DA7"/>
    <w:rsid w:val="008A0989"/>
    <w:rsid w:val="008A1BE7"/>
    <w:rsid w:val="008A2ED1"/>
    <w:rsid w:val="008A47B2"/>
    <w:rsid w:val="008A529B"/>
    <w:rsid w:val="008A52A1"/>
    <w:rsid w:val="008A5306"/>
    <w:rsid w:val="008A5CA6"/>
    <w:rsid w:val="008A77A8"/>
    <w:rsid w:val="008B0087"/>
    <w:rsid w:val="008B01A5"/>
    <w:rsid w:val="008B0919"/>
    <w:rsid w:val="008B2239"/>
    <w:rsid w:val="008B2E90"/>
    <w:rsid w:val="008B487F"/>
    <w:rsid w:val="008B5F5C"/>
    <w:rsid w:val="008B623A"/>
    <w:rsid w:val="008B73FB"/>
    <w:rsid w:val="008C049C"/>
    <w:rsid w:val="008C18BC"/>
    <w:rsid w:val="008C1D9A"/>
    <w:rsid w:val="008C4DD3"/>
    <w:rsid w:val="008C6993"/>
    <w:rsid w:val="008C6E4B"/>
    <w:rsid w:val="008D18FE"/>
    <w:rsid w:val="008D6AEF"/>
    <w:rsid w:val="008D6BB3"/>
    <w:rsid w:val="008D7AC3"/>
    <w:rsid w:val="008D7DA2"/>
    <w:rsid w:val="008E046A"/>
    <w:rsid w:val="008E092F"/>
    <w:rsid w:val="008E2950"/>
    <w:rsid w:val="008E7305"/>
    <w:rsid w:val="008E7992"/>
    <w:rsid w:val="008F02F2"/>
    <w:rsid w:val="008F16A9"/>
    <w:rsid w:val="008F1F50"/>
    <w:rsid w:val="008F25F6"/>
    <w:rsid w:val="008F438B"/>
    <w:rsid w:val="008F604E"/>
    <w:rsid w:val="00900259"/>
    <w:rsid w:val="009019A7"/>
    <w:rsid w:val="00904410"/>
    <w:rsid w:val="009049EA"/>
    <w:rsid w:val="00907027"/>
    <w:rsid w:val="00907BFF"/>
    <w:rsid w:val="00912D9E"/>
    <w:rsid w:val="00915A18"/>
    <w:rsid w:val="00923A11"/>
    <w:rsid w:val="009244BD"/>
    <w:rsid w:val="00924C4E"/>
    <w:rsid w:val="0092611D"/>
    <w:rsid w:val="009275E3"/>
    <w:rsid w:val="009320E9"/>
    <w:rsid w:val="00933622"/>
    <w:rsid w:val="00933D9F"/>
    <w:rsid w:val="00934AB3"/>
    <w:rsid w:val="009350B6"/>
    <w:rsid w:val="0093599A"/>
    <w:rsid w:val="00941651"/>
    <w:rsid w:val="00951856"/>
    <w:rsid w:val="00952837"/>
    <w:rsid w:val="00953084"/>
    <w:rsid w:val="009537A9"/>
    <w:rsid w:val="00954C7E"/>
    <w:rsid w:val="00956149"/>
    <w:rsid w:val="00957CAA"/>
    <w:rsid w:val="00963043"/>
    <w:rsid w:val="0096558D"/>
    <w:rsid w:val="00965645"/>
    <w:rsid w:val="0096584A"/>
    <w:rsid w:val="00965947"/>
    <w:rsid w:val="009661CE"/>
    <w:rsid w:val="00967F26"/>
    <w:rsid w:val="00970439"/>
    <w:rsid w:val="00970D47"/>
    <w:rsid w:val="00971AA8"/>
    <w:rsid w:val="009764A6"/>
    <w:rsid w:val="00977F3E"/>
    <w:rsid w:val="00980517"/>
    <w:rsid w:val="00980A66"/>
    <w:rsid w:val="00980BAB"/>
    <w:rsid w:val="00980D5B"/>
    <w:rsid w:val="0098572F"/>
    <w:rsid w:val="00985D55"/>
    <w:rsid w:val="0099037B"/>
    <w:rsid w:val="00990FAC"/>
    <w:rsid w:val="009921EB"/>
    <w:rsid w:val="00992EAD"/>
    <w:rsid w:val="00993812"/>
    <w:rsid w:val="00995FCC"/>
    <w:rsid w:val="009976C0"/>
    <w:rsid w:val="009A06AB"/>
    <w:rsid w:val="009A0E11"/>
    <w:rsid w:val="009A2ADE"/>
    <w:rsid w:val="009A35B7"/>
    <w:rsid w:val="009A3622"/>
    <w:rsid w:val="009A4189"/>
    <w:rsid w:val="009A5F47"/>
    <w:rsid w:val="009B22F5"/>
    <w:rsid w:val="009B31AB"/>
    <w:rsid w:val="009B6DA9"/>
    <w:rsid w:val="009B7083"/>
    <w:rsid w:val="009C16E9"/>
    <w:rsid w:val="009C1A92"/>
    <w:rsid w:val="009D22BE"/>
    <w:rsid w:val="009D26B1"/>
    <w:rsid w:val="009D6771"/>
    <w:rsid w:val="009D6A12"/>
    <w:rsid w:val="009D77D7"/>
    <w:rsid w:val="009E0D34"/>
    <w:rsid w:val="009E2694"/>
    <w:rsid w:val="009E2766"/>
    <w:rsid w:val="009E281E"/>
    <w:rsid w:val="009E34AA"/>
    <w:rsid w:val="009E5841"/>
    <w:rsid w:val="009F02F8"/>
    <w:rsid w:val="009F09D0"/>
    <w:rsid w:val="009F0A6F"/>
    <w:rsid w:val="009F2D3A"/>
    <w:rsid w:val="009F32AA"/>
    <w:rsid w:val="009F5E42"/>
    <w:rsid w:val="009F7448"/>
    <w:rsid w:val="00A006C6"/>
    <w:rsid w:val="00A01414"/>
    <w:rsid w:val="00A02488"/>
    <w:rsid w:val="00A04602"/>
    <w:rsid w:val="00A06375"/>
    <w:rsid w:val="00A10754"/>
    <w:rsid w:val="00A10A14"/>
    <w:rsid w:val="00A144E8"/>
    <w:rsid w:val="00A14D19"/>
    <w:rsid w:val="00A154AF"/>
    <w:rsid w:val="00A17D7D"/>
    <w:rsid w:val="00A20A02"/>
    <w:rsid w:val="00A20CE7"/>
    <w:rsid w:val="00A218B2"/>
    <w:rsid w:val="00A21F51"/>
    <w:rsid w:val="00A24169"/>
    <w:rsid w:val="00A2514D"/>
    <w:rsid w:val="00A25229"/>
    <w:rsid w:val="00A261AF"/>
    <w:rsid w:val="00A3103F"/>
    <w:rsid w:val="00A31DE8"/>
    <w:rsid w:val="00A329A3"/>
    <w:rsid w:val="00A33639"/>
    <w:rsid w:val="00A35BE5"/>
    <w:rsid w:val="00A36716"/>
    <w:rsid w:val="00A36D79"/>
    <w:rsid w:val="00A37AE2"/>
    <w:rsid w:val="00A419D8"/>
    <w:rsid w:val="00A45D9C"/>
    <w:rsid w:val="00A4615A"/>
    <w:rsid w:val="00A46835"/>
    <w:rsid w:val="00A46DD4"/>
    <w:rsid w:val="00A50FD4"/>
    <w:rsid w:val="00A53300"/>
    <w:rsid w:val="00A53FE0"/>
    <w:rsid w:val="00A640ED"/>
    <w:rsid w:val="00A659C3"/>
    <w:rsid w:val="00A67285"/>
    <w:rsid w:val="00A72E15"/>
    <w:rsid w:val="00A75B73"/>
    <w:rsid w:val="00A763DA"/>
    <w:rsid w:val="00A765A3"/>
    <w:rsid w:val="00A7748B"/>
    <w:rsid w:val="00A77BFF"/>
    <w:rsid w:val="00A816A3"/>
    <w:rsid w:val="00A86305"/>
    <w:rsid w:val="00A8687D"/>
    <w:rsid w:val="00A87F0E"/>
    <w:rsid w:val="00A905B9"/>
    <w:rsid w:val="00A91404"/>
    <w:rsid w:val="00A92056"/>
    <w:rsid w:val="00A92D01"/>
    <w:rsid w:val="00A953C3"/>
    <w:rsid w:val="00A95954"/>
    <w:rsid w:val="00A95F95"/>
    <w:rsid w:val="00A97B88"/>
    <w:rsid w:val="00AA0387"/>
    <w:rsid w:val="00AA149A"/>
    <w:rsid w:val="00AA2BEA"/>
    <w:rsid w:val="00AA5421"/>
    <w:rsid w:val="00AA63B4"/>
    <w:rsid w:val="00AA7D65"/>
    <w:rsid w:val="00AB036A"/>
    <w:rsid w:val="00AB10BE"/>
    <w:rsid w:val="00AB1D73"/>
    <w:rsid w:val="00AB2C73"/>
    <w:rsid w:val="00AB5679"/>
    <w:rsid w:val="00AB5850"/>
    <w:rsid w:val="00AB7DEA"/>
    <w:rsid w:val="00AC2745"/>
    <w:rsid w:val="00AC3DE8"/>
    <w:rsid w:val="00AC41C2"/>
    <w:rsid w:val="00AC4E86"/>
    <w:rsid w:val="00AC5A3C"/>
    <w:rsid w:val="00AC5ACA"/>
    <w:rsid w:val="00AD011C"/>
    <w:rsid w:val="00AD0E63"/>
    <w:rsid w:val="00AD11DE"/>
    <w:rsid w:val="00AD336F"/>
    <w:rsid w:val="00AD51FF"/>
    <w:rsid w:val="00AD55DD"/>
    <w:rsid w:val="00AD5FED"/>
    <w:rsid w:val="00AD6D86"/>
    <w:rsid w:val="00AE037B"/>
    <w:rsid w:val="00AE0D46"/>
    <w:rsid w:val="00AE1BDB"/>
    <w:rsid w:val="00AE2BC6"/>
    <w:rsid w:val="00AE4E31"/>
    <w:rsid w:val="00AE697E"/>
    <w:rsid w:val="00AE6E99"/>
    <w:rsid w:val="00AE72F6"/>
    <w:rsid w:val="00AF2B7E"/>
    <w:rsid w:val="00AF7894"/>
    <w:rsid w:val="00B01906"/>
    <w:rsid w:val="00B02267"/>
    <w:rsid w:val="00B02AD8"/>
    <w:rsid w:val="00B02C43"/>
    <w:rsid w:val="00B02C94"/>
    <w:rsid w:val="00B02E2C"/>
    <w:rsid w:val="00B047FB"/>
    <w:rsid w:val="00B04FD8"/>
    <w:rsid w:val="00B057DF"/>
    <w:rsid w:val="00B063BF"/>
    <w:rsid w:val="00B07D54"/>
    <w:rsid w:val="00B128C3"/>
    <w:rsid w:val="00B13A32"/>
    <w:rsid w:val="00B15220"/>
    <w:rsid w:val="00B15FE9"/>
    <w:rsid w:val="00B17CA3"/>
    <w:rsid w:val="00B20EEF"/>
    <w:rsid w:val="00B254D2"/>
    <w:rsid w:val="00B263DF"/>
    <w:rsid w:val="00B27191"/>
    <w:rsid w:val="00B309DD"/>
    <w:rsid w:val="00B30F83"/>
    <w:rsid w:val="00B30FB0"/>
    <w:rsid w:val="00B3470E"/>
    <w:rsid w:val="00B364FC"/>
    <w:rsid w:val="00B36A69"/>
    <w:rsid w:val="00B37387"/>
    <w:rsid w:val="00B41AB0"/>
    <w:rsid w:val="00B41E85"/>
    <w:rsid w:val="00B4353B"/>
    <w:rsid w:val="00B4356C"/>
    <w:rsid w:val="00B44CBD"/>
    <w:rsid w:val="00B50B3B"/>
    <w:rsid w:val="00B51871"/>
    <w:rsid w:val="00B53D95"/>
    <w:rsid w:val="00B54028"/>
    <w:rsid w:val="00B553E7"/>
    <w:rsid w:val="00B55DB3"/>
    <w:rsid w:val="00B63101"/>
    <w:rsid w:val="00B63B2D"/>
    <w:rsid w:val="00B704B9"/>
    <w:rsid w:val="00B70FAD"/>
    <w:rsid w:val="00B710CD"/>
    <w:rsid w:val="00B71809"/>
    <w:rsid w:val="00B755C8"/>
    <w:rsid w:val="00B76F04"/>
    <w:rsid w:val="00B81A5C"/>
    <w:rsid w:val="00B81B22"/>
    <w:rsid w:val="00B822D1"/>
    <w:rsid w:val="00B85CCD"/>
    <w:rsid w:val="00B875DD"/>
    <w:rsid w:val="00B922BF"/>
    <w:rsid w:val="00B93139"/>
    <w:rsid w:val="00B934A2"/>
    <w:rsid w:val="00B9482F"/>
    <w:rsid w:val="00BA031C"/>
    <w:rsid w:val="00BA059D"/>
    <w:rsid w:val="00BA2CDA"/>
    <w:rsid w:val="00BA2D01"/>
    <w:rsid w:val="00BA335C"/>
    <w:rsid w:val="00BA4C92"/>
    <w:rsid w:val="00BA519D"/>
    <w:rsid w:val="00BA5E5A"/>
    <w:rsid w:val="00BA66C9"/>
    <w:rsid w:val="00BA7CA7"/>
    <w:rsid w:val="00BB2D3F"/>
    <w:rsid w:val="00BB3F68"/>
    <w:rsid w:val="00BB579E"/>
    <w:rsid w:val="00BD421E"/>
    <w:rsid w:val="00BD605B"/>
    <w:rsid w:val="00BD72D8"/>
    <w:rsid w:val="00BD7EB1"/>
    <w:rsid w:val="00BE2551"/>
    <w:rsid w:val="00BE2657"/>
    <w:rsid w:val="00BE3748"/>
    <w:rsid w:val="00BE395B"/>
    <w:rsid w:val="00BE44B7"/>
    <w:rsid w:val="00BE5AA7"/>
    <w:rsid w:val="00BE6247"/>
    <w:rsid w:val="00BE722F"/>
    <w:rsid w:val="00BE755A"/>
    <w:rsid w:val="00BF0CA0"/>
    <w:rsid w:val="00BF0CB0"/>
    <w:rsid w:val="00BF2801"/>
    <w:rsid w:val="00BF36B8"/>
    <w:rsid w:val="00BF4725"/>
    <w:rsid w:val="00BF4F60"/>
    <w:rsid w:val="00BF5EC8"/>
    <w:rsid w:val="00C02243"/>
    <w:rsid w:val="00C034D8"/>
    <w:rsid w:val="00C04307"/>
    <w:rsid w:val="00C0457B"/>
    <w:rsid w:val="00C058CA"/>
    <w:rsid w:val="00C0623E"/>
    <w:rsid w:val="00C0761B"/>
    <w:rsid w:val="00C07EDC"/>
    <w:rsid w:val="00C17913"/>
    <w:rsid w:val="00C21349"/>
    <w:rsid w:val="00C23AB5"/>
    <w:rsid w:val="00C24572"/>
    <w:rsid w:val="00C254D9"/>
    <w:rsid w:val="00C27B43"/>
    <w:rsid w:val="00C30F96"/>
    <w:rsid w:val="00C32EF8"/>
    <w:rsid w:val="00C337A5"/>
    <w:rsid w:val="00C359AD"/>
    <w:rsid w:val="00C405D0"/>
    <w:rsid w:val="00C424E4"/>
    <w:rsid w:val="00C43121"/>
    <w:rsid w:val="00C44709"/>
    <w:rsid w:val="00C50B1E"/>
    <w:rsid w:val="00C51002"/>
    <w:rsid w:val="00C53831"/>
    <w:rsid w:val="00C54231"/>
    <w:rsid w:val="00C577A6"/>
    <w:rsid w:val="00C613FA"/>
    <w:rsid w:val="00C62138"/>
    <w:rsid w:val="00C626B3"/>
    <w:rsid w:val="00C633D9"/>
    <w:rsid w:val="00C7030E"/>
    <w:rsid w:val="00C70A39"/>
    <w:rsid w:val="00C70F84"/>
    <w:rsid w:val="00C7150B"/>
    <w:rsid w:val="00C72CCA"/>
    <w:rsid w:val="00C7363F"/>
    <w:rsid w:val="00C77A2E"/>
    <w:rsid w:val="00C8353E"/>
    <w:rsid w:val="00C84872"/>
    <w:rsid w:val="00C8504E"/>
    <w:rsid w:val="00C85522"/>
    <w:rsid w:val="00C87CA8"/>
    <w:rsid w:val="00C905EE"/>
    <w:rsid w:val="00C919BE"/>
    <w:rsid w:val="00C91CDC"/>
    <w:rsid w:val="00C97A53"/>
    <w:rsid w:val="00CA5C7B"/>
    <w:rsid w:val="00CB07B2"/>
    <w:rsid w:val="00CB314C"/>
    <w:rsid w:val="00CB4D65"/>
    <w:rsid w:val="00CB5CA0"/>
    <w:rsid w:val="00CB7C84"/>
    <w:rsid w:val="00CC05B1"/>
    <w:rsid w:val="00CC0BB5"/>
    <w:rsid w:val="00CC2F0A"/>
    <w:rsid w:val="00CC3F6D"/>
    <w:rsid w:val="00CC4672"/>
    <w:rsid w:val="00CC4DD8"/>
    <w:rsid w:val="00CC559D"/>
    <w:rsid w:val="00CC69E6"/>
    <w:rsid w:val="00CD0B0A"/>
    <w:rsid w:val="00CD2790"/>
    <w:rsid w:val="00CD2F2E"/>
    <w:rsid w:val="00CD5210"/>
    <w:rsid w:val="00CE14AA"/>
    <w:rsid w:val="00CE273D"/>
    <w:rsid w:val="00CE3444"/>
    <w:rsid w:val="00CE43EB"/>
    <w:rsid w:val="00CE6BAD"/>
    <w:rsid w:val="00CE79D5"/>
    <w:rsid w:val="00CE7EC9"/>
    <w:rsid w:val="00CF0287"/>
    <w:rsid w:val="00CF03EB"/>
    <w:rsid w:val="00CF0FFB"/>
    <w:rsid w:val="00CF3C29"/>
    <w:rsid w:val="00CF4B9F"/>
    <w:rsid w:val="00D011C9"/>
    <w:rsid w:val="00D02029"/>
    <w:rsid w:val="00D02166"/>
    <w:rsid w:val="00D02CA6"/>
    <w:rsid w:val="00D03323"/>
    <w:rsid w:val="00D03E5C"/>
    <w:rsid w:val="00D062BD"/>
    <w:rsid w:val="00D10E15"/>
    <w:rsid w:val="00D119CD"/>
    <w:rsid w:val="00D11B5B"/>
    <w:rsid w:val="00D17788"/>
    <w:rsid w:val="00D23162"/>
    <w:rsid w:val="00D2586F"/>
    <w:rsid w:val="00D264DD"/>
    <w:rsid w:val="00D32BE1"/>
    <w:rsid w:val="00D34F7B"/>
    <w:rsid w:val="00D400A3"/>
    <w:rsid w:val="00D40A23"/>
    <w:rsid w:val="00D41F07"/>
    <w:rsid w:val="00D42188"/>
    <w:rsid w:val="00D43A84"/>
    <w:rsid w:val="00D44514"/>
    <w:rsid w:val="00D45260"/>
    <w:rsid w:val="00D477ED"/>
    <w:rsid w:val="00D514A6"/>
    <w:rsid w:val="00D51B62"/>
    <w:rsid w:val="00D51BDE"/>
    <w:rsid w:val="00D51C3D"/>
    <w:rsid w:val="00D55D0A"/>
    <w:rsid w:val="00D56333"/>
    <w:rsid w:val="00D57DE3"/>
    <w:rsid w:val="00D6466A"/>
    <w:rsid w:val="00D661D2"/>
    <w:rsid w:val="00D70415"/>
    <w:rsid w:val="00D720AB"/>
    <w:rsid w:val="00D72B0D"/>
    <w:rsid w:val="00D739AA"/>
    <w:rsid w:val="00D75523"/>
    <w:rsid w:val="00D76EA1"/>
    <w:rsid w:val="00D806FE"/>
    <w:rsid w:val="00D80876"/>
    <w:rsid w:val="00D809ED"/>
    <w:rsid w:val="00D852C2"/>
    <w:rsid w:val="00D85AEB"/>
    <w:rsid w:val="00D85EED"/>
    <w:rsid w:val="00D9010A"/>
    <w:rsid w:val="00D913DC"/>
    <w:rsid w:val="00D916B1"/>
    <w:rsid w:val="00D91DFA"/>
    <w:rsid w:val="00D92F70"/>
    <w:rsid w:val="00D934BE"/>
    <w:rsid w:val="00D951B7"/>
    <w:rsid w:val="00D95348"/>
    <w:rsid w:val="00D95A04"/>
    <w:rsid w:val="00D9645E"/>
    <w:rsid w:val="00D96E3B"/>
    <w:rsid w:val="00D9797E"/>
    <w:rsid w:val="00DA16E9"/>
    <w:rsid w:val="00DA2067"/>
    <w:rsid w:val="00DA21C3"/>
    <w:rsid w:val="00DA5F3E"/>
    <w:rsid w:val="00DB063E"/>
    <w:rsid w:val="00DB40C9"/>
    <w:rsid w:val="00DB4C86"/>
    <w:rsid w:val="00DC4B67"/>
    <w:rsid w:val="00DC7812"/>
    <w:rsid w:val="00DD2729"/>
    <w:rsid w:val="00DD272B"/>
    <w:rsid w:val="00DD285A"/>
    <w:rsid w:val="00DD2A2F"/>
    <w:rsid w:val="00DD442A"/>
    <w:rsid w:val="00DD4AD0"/>
    <w:rsid w:val="00DD59F2"/>
    <w:rsid w:val="00DD5C20"/>
    <w:rsid w:val="00DD7C0F"/>
    <w:rsid w:val="00DE0499"/>
    <w:rsid w:val="00DE1718"/>
    <w:rsid w:val="00DE2ACD"/>
    <w:rsid w:val="00DE3E9D"/>
    <w:rsid w:val="00DE6C84"/>
    <w:rsid w:val="00DF0707"/>
    <w:rsid w:val="00DF0BDE"/>
    <w:rsid w:val="00DF353C"/>
    <w:rsid w:val="00DF58A1"/>
    <w:rsid w:val="00DF75A1"/>
    <w:rsid w:val="00E0000C"/>
    <w:rsid w:val="00E002A0"/>
    <w:rsid w:val="00E027D8"/>
    <w:rsid w:val="00E054E0"/>
    <w:rsid w:val="00E059F0"/>
    <w:rsid w:val="00E07B1B"/>
    <w:rsid w:val="00E1014F"/>
    <w:rsid w:val="00E146A4"/>
    <w:rsid w:val="00E14A8A"/>
    <w:rsid w:val="00E15C99"/>
    <w:rsid w:val="00E17267"/>
    <w:rsid w:val="00E2034C"/>
    <w:rsid w:val="00E2228C"/>
    <w:rsid w:val="00E22342"/>
    <w:rsid w:val="00E23B1A"/>
    <w:rsid w:val="00E24242"/>
    <w:rsid w:val="00E254B2"/>
    <w:rsid w:val="00E2714F"/>
    <w:rsid w:val="00E2773E"/>
    <w:rsid w:val="00E27AE8"/>
    <w:rsid w:val="00E304F9"/>
    <w:rsid w:val="00E3218C"/>
    <w:rsid w:val="00E326CD"/>
    <w:rsid w:val="00E33199"/>
    <w:rsid w:val="00E3335A"/>
    <w:rsid w:val="00E33DCA"/>
    <w:rsid w:val="00E4006C"/>
    <w:rsid w:val="00E41D38"/>
    <w:rsid w:val="00E41E51"/>
    <w:rsid w:val="00E41F1D"/>
    <w:rsid w:val="00E4262E"/>
    <w:rsid w:val="00E43665"/>
    <w:rsid w:val="00E46330"/>
    <w:rsid w:val="00E548F1"/>
    <w:rsid w:val="00E55578"/>
    <w:rsid w:val="00E6377B"/>
    <w:rsid w:val="00E637B7"/>
    <w:rsid w:val="00E65CC4"/>
    <w:rsid w:val="00E7167B"/>
    <w:rsid w:val="00E74062"/>
    <w:rsid w:val="00E76229"/>
    <w:rsid w:val="00E77E0F"/>
    <w:rsid w:val="00E81510"/>
    <w:rsid w:val="00E81A8F"/>
    <w:rsid w:val="00E82648"/>
    <w:rsid w:val="00E84DD0"/>
    <w:rsid w:val="00E851FC"/>
    <w:rsid w:val="00E85C37"/>
    <w:rsid w:val="00E85DD8"/>
    <w:rsid w:val="00E87543"/>
    <w:rsid w:val="00E90909"/>
    <w:rsid w:val="00E9099D"/>
    <w:rsid w:val="00E90A20"/>
    <w:rsid w:val="00E9131E"/>
    <w:rsid w:val="00E92D18"/>
    <w:rsid w:val="00E93CEC"/>
    <w:rsid w:val="00E946E2"/>
    <w:rsid w:val="00E95F38"/>
    <w:rsid w:val="00E973E0"/>
    <w:rsid w:val="00EA31A8"/>
    <w:rsid w:val="00EA51ED"/>
    <w:rsid w:val="00EA53CA"/>
    <w:rsid w:val="00EA6CC8"/>
    <w:rsid w:val="00EB0C2B"/>
    <w:rsid w:val="00EB4B94"/>
    <w:rsid w:val="00EB5E44"/>
    <w:rsid w:val="00EB5E4A"/>
    <w:rsid w:val="00EC2515"/>
    <w:rsid w:val="00EC2C76"/>
    <w:rsid w:val="00EC3741"/>
    <w:rsid w:val="00EC3BC5"/>
    <w:rsid w:val="00EC4FB8"/>
    <w:rsid w:val="00EC50E8"/>
    <w:rsid w:val="00EC632A"/>
    <w:rsid w:val="00EC6C8C"/>
    <w:rsid w:val="00ED04B6"/>
    <w:rsid w:val="00ED22F0"/>
    <w:rsid w:val="00ED24CD"/>
    <w:rsid w:val="00ED2FF8"/>
    <w:rsid w:val="00ED506A"/>
    <w:rsid w:val="00ED5AF1"/>
    <w:rsid w:val="00ED66D7"/>
    <w:rsid w:val="00ED6CF0"/>
    <w:rsid w:val="00EE1663"/>
    <w:rsid w:val="00EE1B58"/>
    <w:rsid w:val="00EE1E0A"/>
    <w:rsid w:val="00EE50A0"/>
    <w:rsid w:val="00EE79AB"/>
    <w:rsid w:val="00EF0C0F"/>
    <w:rsid w:val="00EF2625"/>
    <w:rsid w:val="00EF497D"/>
    <w:rsid w:val="00EF50B7"/>
    <w:rsid w:val="00EF5721"/>
    <w:rsid w:val="00EF7F4E"/>
    <w:rsid w:val="00F064DB"/>
    <w:rsid w:val="00F106C4"/>
    <w:rsid w:val="00F138A1"/>
    <w:rsid w:val="00F14276"/>
    <w:rsid w:val="00F154DF"/>
    <w:rsid w:val="00F15AAA"/>
    <w:rsid w:val="00F17E94"/>
    <w:rsid w:val="00F20928"/>
    <w:rsid w:val="00F21F50"/>
    <w:rsid w:val="00F228F7"/>
    <w:rsid w:val="00F24C12"/>
    <w:rsid w:val="00F311B7"/>
    <w:rsid w:val="00F32468"/>
    <w:rsid w:val="00F32AE3"/>
    <w:rsid w:val="00F3617D"/>
    <w:rsid w:val="00F37CBF"/>
    <w:rsid w:val="00F4049A"/>
    <w:rsid w:val="00F40DE3"/>
    <w:rsid w:val="00F47254"/>
    <w:rsid w:val="00F51734"/>
    <w:rsid w:val="00F51AB6"/>
    <w:rsid w:val="00F5368E"/>
    <w:rsid w:val="00F54669"/>
    <w:rsid w:val="00F56A0A"/>
    <w:rsid w:val="00F6027B"/>
    <w:rsid w:val="00F6286D"/>
    <w:rsid w:val="00F6296B"/>
    <w:rsid w:val="00F63352"/>
    <w:rsid w:val="00F66676"/>
    <w:rsid w:val="00F66AE2"/>
    <w:rsid w:val="00F672E5"/>
    <w:rsid w:val="00F7013A"/>
    <w:rsid w:val="00F70584"/>
    <w:rsid w:val="00F70E68"/>
    <w:rsid w:val="00F710C5"/>
    <w:rsid w:val="00F727FC"/>
    <w:rsid w:val="00F729BE"/>
    <w:rsid w:val="00F8106B"/>
    <w:rsid w:val="00F84139"/>
    <w:rsid w:val="00F87A2B"/>
    <w:rsid w:val="00F87E24"/>
    <w:rsid w:val="00F948E7"/>
    <w:rsid w:val="00F970F4"/>
    <w:rsid w:val="00FA0EC3"/>
    <w:rsid w:val="00FA1D58"/>
    <w:rsid w:val="00FA2435"/>
    <w:rsid w:val="00FA2DF4"/>
    <w:rsid w:val="00FA45C4"/>
    <w:rsid w:val="00FA4A66"/>
    <w:rsid w:val="00FA5358"/>
    <w:rsid w:val="00FA5CF4"/>
    <w:rsid w:val="00FA6DA0"/>
    <w:rsid w:val="00FB2868"/>
    <w:rsid w:val="00FB3306"/>
    <w:rsid w:val="00FB3822"/>
    <w:rsid w:val="00FB428F"/>
    <w:rsid w:val="00FB6019"/>
    <w:rsid w:val="00FC0DDE"/>
    <w:rsid w:val="00FC1948"/>
    <w:rsid w:val="00FC22AB"/>
    <w:rsid w:val="00FC288C"/>
    <w:rsid w:val="00FC6559"/>
    <w:rsid w:val="00FC6BA6"/>
    <w:rsid w:val="00FC7596"/>
    <w:rsid w:val="00FD2613"/>
    <w:rsid w:val="00FD4FAE"/>
    <w:rsid w:val="00FD5CD8"/>
    <w:rsid w:val="00FD720E"/>
    <w:rsid w:val="00FE23CC"/>
    <w:rsid w:val="00FE2B3E"/>
    <w:rsid w:val="00FE51C9"/>
    <w:rsid w:val="00FE6A1D"/>
    <w:rsid w:val="00FF3A90"/>
    <w:rsid w:val="00FF44E7"/>
    <w:rsid w:val="00FF4EE0"/>
    <w:rsid w:val="00FF62F9"/>
    <w:rsid w:val="00FF6587"/>
    <w:rsid w:val="01172A03"/>
    <w:rsid w:val="012F0E6C"/>
    <w:rsid w:val="0136063A"/>
    <w:rsid w:val="0139107D"/>
    <w:rsid w:val="014D3B43"/>
    <w:rsid w:val="014D7887"/>
    <w:rsid w:val="018554BF"/>
    <w:rsid w:val="01A139D3"/>
    <w:rsid w:val="01AA4FDC"/>
    <w:rsid w:val="01AD3142"/>
    <w:rsid w:val="01FC5215"/>
    <w:rsid w:val="02156D74"/>
    <w:rsid w:val="02207CB5"/>
    <w:rsid w:val="02543585"/>
    <w:rsid w:val="029515CE"/>
    <w:rsid w:val="0296097E"/>
    <w:rsid w:val="02C62674"/>
    <w:rsid w:val="02CF102D"/>
    <w:rsid w:val="02D07DB8"/>
    <w:rsid w:val="02D61935"/>
    <w:rsid w:val="02F13C0D"/>
    <w:rsid w:val="02F43AD0"/>
    <w:rsid w:val="02F56B57"/>
    <w:rsid w:val="03092020"/>
    <w:rsid w:val="031D766C"/>
    <w:rsid w:val="03380493"/>
    <w:rsid w:val="033942D2"/>
    <w:rsid w:val="033D3DBD"/>
    <w:rsid w:val="034E02B1"/>
    <w:rsid w:val="035166A0"/>
    <w:rsid w:val="035754CD"/>
    <w:rsid w:val="036D2515"/>
    <w:rsid w:val="0373277E"/>
    <w:rsid w:val="03786E7B"/>
    <w:rsid w:val="03AA3398"/>
    <w:rsid w:val="03B03685"/>
    <w:rsid w:val="03E93371"/>
    <w:rsid w:val="03F45BAB"/>
    <w:rsid w:val="03FB5394"/>
    <w:rsid w:val="042C5B59"/>
    <w:rsid w:val="046F5BD2"/>
    <w:rsid w:val="04910D1F"/>
    <w:rsid w:val="04A0155B"/>
    <w:rsid w:val="04A33A03"/>
    <w:rsid w:val="04AE1481"/>
    <w:rsid w:val="04B14F1D"/>
    <w:rsid w:val="04CD5279"/>
    <w:rsid w:val="04F95927"/>
    <w:rsid w:val="050E1AA0"/>
    <w:rsid w:val="0511101D"/>
    <w:rsid w:val="05800464"/>
    <w:rsid w:val="059032C3"/>
    <w:rsid w:val="05DC36B9"/>
    <w:rsid w:val="05E47E92"/>
    <w:rsid w:val="05E82BA0"/>
    <w:rsid w:val="06090530"/>
    <w:rsid w:val="06324B95"/>
    <w:rsid w:val="06327086"/>
    <w:rsid w:val="06423776"/>
    <w:rsid w:val="06A851A1"/>
    <w:rsid w:val="06AB426F"/>
    <w:rsid w:val="06D373CC"/>
    <w:rsid w:val="06E70244"/>
    <w:rsid w:val="06E811DB"/>
    <w:rsid w:val="06E92E40"/>
    <w:rsid w:val="06F148DA"/>
    <w:rsid w:val="071747CF"/>
    <w:rsid w:val="07473E78"/>
    <w:rsid w:val="074A294F"/>
    <w:rsid w:val="075A6876"/>
    <w:rsid w:val="077F395B"/>
    <w:rsid w:val="079D1186"/>
    <w:rsid w:val="07AC4FDA"/>
    <w:rsid w:val="07DB38B7"/>
    <w:rsid w:val="07EA3B4E"/>
    <w:rsid w:val="084762C4"/>
    <w:rsid w:val="086A078A"/>
    <w:rsid w:val="087D559E"/>
    <w:rsid w:val="08B27B94"/>
    <w:rsid w:val="08B639B0"/>
    <w:rsid w:val="09192AD1"/>
    <w:rsid w:val="095578A9"/>
    <w:rsid w:val="095F187B"/>
    <w:rsid w:val="096A1430"/>
    <w:rsid w:val="098008CA"/>
    <w:rsid w:val="09961D34"/>
    <w:rsid w:val="09A66C11"/>
    <w:rsid w:val="09CA1445"/>
    <w:rsid w:val="09D91948"/>
    <w:rsid w:val="09E21873"/>
    <w:rsid w:val="0A2B68B3"/>
    <w:rsid w:val="0A304297"/>
    <w:rsid w:val="0A567488"/>
    <w:rsid w:val="0A724371"/>
    <w:rsid w:val="0A910260"/>
    <w:rsid w:val="0A945DE2"/>
    <w:rsid w:val="0A960A6B"/>
    <w:rsid w:val="0AA84AD7"/>
    <w:rsid w:val="0AA9379D"/>
    <w:rsid w:val="0ABD08DF"/>
    <w:rsid w:val="0AD86CB1"/>
    <w:rsid w:val="0AD92315"/>
    <w:rsid w:val="0ADA1283"/>
    <w:rsid w:val="0B1E49B1"/>
    <w:rsid w:val="0B7C097A"/>
    <w:rsid w:val="0B7D55C8"/>
    <w:rsid w:val="0B8A25C1"/>
    <w:rsid w:val="0B8D3CD5"/>
    <w:rsid w:val="0BD77ED4"/>
    <w:rsid w:val="0BDC6D23"/>
    <w:rsid w:val="0BE00346"/>
    <w:rsid w:val="0BF604CB"/>
    <w:rsid w:val="0BFB0892"/>
    <w:rsid w:val="0C3D1C05"/>
    <w:rsid w:val="0C9C0E8F"/>
    <w:rsid w:val="0CE51C08"/>
    <w:rsid w:val="0CFF1E36"/>
    <w:rsid w:val="0D3E7685"/>
    <w:rsid w:val="0D5B2F4A"/>
    <w:rsid w:val="0DAA02FF"/>
    <w:rsid w:val="0DBB7938"/>
    <w:rsid w:val="0DC8252C"/>
    <w:rsid w:val="0DEB1EA1"/>
    <w:rsid w:val="0DF20A80"/>
    <w:rsid w:val="0DFD1C49"/>
    <w:rsid w:val="0E02768A"/>
    <w:rsid w:val="0E0B2556"/>
    <w:rsid w:val="0E342028"/>
    <w:rsid w:val="0E3A7FF6"/>
    <w:rsid w:val="0EF47A89"/>
    <w:rsid w:val="0F016971"/>
    <w:rsid w:val="0F386A6C"/>
    <w:rsid w:val="0F3A7E11"/>
    <w:rsid w:val="0F3F6EDB"/>
    <w:rsid w:val="0F5B11DC"/>
    <w:rsid w:val="0F6C3CD1"/>
    <w:rsid w:val="0F766CC6"/>
    <w:rsid w:val="0FA43353"/>
    <w:rsid w:val="0FB001CD"/>
    <w:rsid w:val="0FC64C29"/>
    <w:rsid w:val="0FE464F1"/>
    <w:rsid w:val="0FED4529"/>
    <w:rsid w:val="0FFE1D4D"/>
    <w:rsid w:val="1007633D"/>
    <w:rsid w:val="100C4B78"/>
    <w:rsid w:val="102853B6"/>
    <w:rsid w:val="102F0886"/>
    <w:rsid w:val="10335C61"/>
    <w:rsid w:val="103B0EB6"/>
    <w:rsid w:val="1057634F"/>
    <w:rsid w:val="107A762B"/>
    <w:rsid w:val="108B0FBD"/>
    <w:rsid w:val="10B86527"/>
    <w:rsid w:val="10C114FD"/>
    <w:rsid w:val="10F80DBE"/>
    <w:rsid w:val="10FF15F4"/>
    <w:rsid w:val="111C0F36"/>
    <w:rsid w:val="111E1EA6"/>
    <w:rsid w:val="113D288F"/>
    <w:rsid w:val="113F10B0"/>
    <w:rsid w:val="118916FB"/>
    <w:rsid w:val="118A4C31"/>
    <w:rsid w:val="118E6029"/>
    <w:rsid w:val="11B17F14"/>
    <w:rsid w:val="11CA6191"/>
    <w:rsid w:val="11CE65C7"/>
    <w:rsid w:val="11DD34CB"/>
    <w:rsid w:val="11F61C34"/>
    <w:rsid w:val="120119BF"/>
    <w:rsid w:val="121E6E3D"/>
    <w:rsid w:val="122A435A"/>
    <w:rsid w:val="124A6E0E"/>
    <w:rsid w:val="12593A57"/>
    <w:rsid w:val="126502CE"/>
    <w:rsid w:val="126B45D1"/>
    <w:rsid w:val="12971BF6"/>
    <w:rsid w:val="12BC7CBC"/>
    <w:rsid w:val="12C14EC5"/>
    <w:rsid w:val="12D16FEE"/>
    <w:rsid w:val="13044167"/>
    <w:rsid w:val="13097B87"/>
    <w:rsid w:val="1327087E"/>
    <w:rsid w:val="133245DD"/>
    <w:rsid w:val="138B7BAA"/>
    <w:rsid w:val="138D2979"/>
    <w:rsid w:val="13DE0B21"/>
    <w:rsid w:val="14020B55"/>
    <w:rsid w:val="142D299B"/>
    <w:rsid w:val="146A2120"/>
    <w:rsid w:val="146E778F"/>
    <w:rsid w:val="1497412F"/>
    <w:rsid w:val="14BA368D"/>
    <w:rsid w:val="14C00A7D"/>
    <w:rsid w:val="14C8518D"/>
    <w:rsid w:val="15196415"/>
    <w:rsid w:val="15210B5F"/>
    <w:rsid w:val="154F5636"/>
    <w:rsid w:val="157A68B3"/>
    <w:rsid w:val="15806D6E"/>
    <w:rsid w:val="15812594"/>
    <w:rsid w:val="15A24B3A"/>
    <w:rsid w:val="15C61E94"/>
    <w:rsid w:val="15DF7B3C"/>
    <w:rsid w:val="16096F36"/>
    <w:rsid w:val="162247EA"/>
    <w:rsid w:val="1630392E"/>
    <w:rsid w:val="163C393D"/>
    <w:rsid w:val="16467BBB"/>
    <w:rsid w:val="164F2147"/>
    <w:rsid w:val="16580380"/>
    <w:rsid w:val="165A38C0"/>
    <w:rsid w:val="166C3D35"/>
    <w:rsid w:val="16826D4D"/>
    <w:rsid w:val="16880487"/>
    <w:rsid w:val="168A0F26"/>
    <w:rsid w:val="169848B4"/>
    <w:rsid w:val="16A15631"/>
    <w:rsid w:val="16C775B7"/>
    <w:rsid w:val="16CD2C0E"/>
    <w:rsid w:val="16E54D9B"/>
    <w:rsid w:val="16F829AC"/>
    <w:rsid w:val="170857A6"/>
    <w:rsid w:val="173B6FF4"/>
    <w:rsid w:val="17E93546"/>
    <w:rsid w:val="17E97350"/>
    <w:rsid w:val="17EA0FCA"/>
    <w:rsid w:val="17F4515B"/>
    <w:rsid w:val="180865FB"/>
    <w:rsid w:val="180900ED"/>
    <w:rsid w:val="18292915"/>
    <w:rsid w:val="1837410B"/>
    <w:rsid w:val="18517181"/>
    <w:rsid w:val="18573AD1"/>
    <w:rsid w:val="18717F9F"/>
    <w:rsid w:val="18D06106"/>
    <w:rsid w:val="18E56A1B"/>
    <w:rsid w:val="18E67433"/>
    <w:rsid w:val="18E90A60"/>
    <w:rsid w:val="19033825"/>
    <w:rsid w:val="195222EE"/>
    <w:rsid w:val="195871A4"/>
    <w:rsid w:val="195F1BB5"/>
    <w:rsid w:val="197647B2"/>
    <w:rsid w:val="197A475C"/>
    <w:rsid w:val="19896F78"/>
    <w:rsid w:val="199F406E"/>
    <w:rsid w:val="19DC4FFB"/>
    <w:rsid w:val="19F13AEB"/>
    <w:rsid w:val="1A0538E9"/>
    <w:rsid w:val="1A217000"/>
    <w:rsid w:val="1A483ABD"/>
    <w:rsid w:val="1A52143B"/>
    <w:rsid w:val="1A7B0242"/>
    <w:rsid w:val="1A7D4EFE"/>
    <w:rsid w:val="1AAA0B7E"/>
    <w:rsid w:val="1AB04793"/>
    <w:rsid w:val="1AB32761"/>
    <w:rsid w:val="1AC27A7F"/>
    <w:rsid w:val="1AD559E8"/>
    <w:rsid w:val="1AFB17A1"/>
    <w:rsid w:val="1B1C0969"/>
    <w:rsid w:val="1B235571"/>
    <w:rsid w:val="1B2D2E3E"/>
    <w:rsid w:val="1B431756"/>
    <w:rsid w:val="1B674D54"/>
    <w:rsid w:val="1BAB5B48"/>
    <w:rsid w:val="1BAC6B97"/>
    <w:rsid w:val="1BC11BFA"/>
    <w:rsid w:val="1BC33A17"/>
    <w:rsid w:val="1BC406A5"/>
    <w:rsid w:val="1BC45076"/>
    <w:rsid w:val="1BC61715"/>
    <w:rsid w:val="1BCB77DD"/>
    <w:rsid w:val="1BFD773F"/>
    <w:rsid w:val="1C1B45BB"/>
    <w:rsid w:val="1C4619FB"/>
    <w:rsid w:val="1C5D4E14"/>
    <w:rsid w:val="1C832881"/>
    <w:rsid w:val="1C8F719B"/>
    <w:rsid w:val="1CA35B1E"/>
    <w:rsid w:val="1CE077D2"/>
    <w:rsid w:val="1D100BCD"/>
    <w:rsid w:val="1D1F2F14"/>
    <w:rsid w:val="1D2A0508"/>
    <w:rsid w:val="1D2D3CB2"/>
    <w:rsid w:val="1D2E4710"/>
    <w:rsid w:val="1D733B48"/>
    <w:rsid w:val="1D7E7579"/>
    <w:rsid w:val="1D81683F"/>
    <w:rsid w:val="1DA4235E"/>
    <w:rsid w:val="1E0C4F46"/>
    <w:rsid w:val="1E0E041D"/>
    <w:rsid w:val="1E1643EB"/>
    <w:rsid w:val="1E215D8E"/>
    <w:rsid w:val="1E226B9C"/>
    <w:rsid w:val="1E396257"/>
    <w:rsid w:val="1E5F2AED"/>
    <w:rsid w:val="1E6D7CAF"/>
    <w:rsid w:val="1E7A1AA4"/>
    <w:rsid w:val="1EDC25A0"/>
    <w:rsid w:val="1EE45A38"/>
    <w:rsid w:val="1EE50029"/>
    <w:rsid w:val="1EFB19ED"/>
    <w:rsid w:val="1EFE64A0"/>
    <w:rsid w:val="1F3233D2"/>
    <w:rsid w:val="1F362DB6"/>
    <w:rsid w:val="1F643740"/>
    <w:rsid w:val="1F886520"/>
    <w:rsid w:val="1FA6443A"/>
    <w:rsid w:val="1FC762F0"/>
    <w:rsid w:val="1FC97167"/>
    <w:rsid w:val="1FE07E74"/>
    <w:rsid w:val="1FE40369"/>
    <w:rsid w:val="1FF9736D"/>
    <w:rsid w:val="20153FE3"/>
    <w:rsid w:val="2044640F"/>
    <w:rsid w:val="20831AD2"/>
    <w:rsid w:val="20987E4A"/>
    <w:rsid w:val="20A43B9A"/>
    <w:rsid w:val="20B779E2"/>
    <w:rsid w:val="20C70A4A"/>
    <w:rsid w:val="210E78CB"/>
    <w:rsid w:val="2164204D"/>
    <w:rsid w:val="21BE050F"/>
    <w:rsid w:val="21FA55F4"/>
    <w:rsid w:val="22000155"/>
    <w:rsid w:val="222E7B02"/>
    <w:rsid w:val="22505778"/>
    <w:rsid w:val="226E7700"/>
    <w:rsid w:val="22C2332D"/>
    <w:rsid w:val="22C24A6D"/>
    <w:rsid w:val="22D344E0"/>
    <w:rsid w:val="22DB3516"/>
    <w:rsid w:val="22DD1197"/>
    <w:rsid w:val="22EB0999"/>
    <w:rsid w:val="231C50F5"/>
    <w:rsid w:val="231D38A1"/>
    <w:rsid w:val="237907F0"/>
    <w:rsid w:val="23BD687C"/>
    <w:rsid w:val="23C46B3B"/>
    <w:rsid w:val="23C57F30"/>
    <w:rsid w:val="23D700A4"/>
    <w:rsid w:val="23F00BD2"/>
    <w:rsid w:val="23FD59B5"/>
    <w:rsid w:val="23FE78F5"/>
    <w:rsid w:val="241A2232"/>
    <w:rsid w:val="241B68F6"/>
    <w:rsid w:val="24351282"/>
    <w:rsid w:val="24463C61"/>
    <w:rsid w:val="245D18AE"/>
    <w:rsid w:val="246B038A"/>
    <w:rsid w:val="249801CA"/>
    <w:rsid w:val="249C309C"/>
    <w:rsid w:val="24E02FEB"/>
    <w:rsid w:val="24FF76E6"/>
    <w:rsid w:val="251130A9"/>
    <w:rsid w:val="25210954"/>
    <w:rsid w:val="25223B94"/>
    <w:rsid w:val="253C35F9"/>
    <w:rsid w:val="253D1F06"/>
    <w:rsid w:val="255930CB"/>
    <w:rsid w:val="255F6A61"/>
    <w:rsid w:val="256C4839"/>
    <w:rsid w:val="25907880"/>
    <w:rsid w:val="25BE3B8E"/>
    <w:rsid w:val="25EB61A0"/>
    <w:rsid w:val="25F1264D"/>
    <w:rsid w:val="25FD4C78"/>
    <w:rsid w:val="262E23A3"/>
    <w:rsid w:val="263D1CFC"/>
    <w:rsid w:val="2647373C"/>
    <w:rsid w:val="265B3D59"/>
    <w:rsid w:val="266337B4"/>
    <w:rsid w:val="26713151"/>
    <w:rsid w:val="26803847"/>
    <w:rsid w:val="268A5FE8"/>
    <w:rsid w:val="26DD51DC"/>
    <w:rsid w:val="26FA0E77"/>
    <w:rsid w:val="270111E6"/>
    <w:rsid w:val="270F7043"/>
    <w:rsid w:val="27377E1D"/>
    <w:rsid w:val="274943EB"/>
    <w:rsid w:val="27547BE3"/>
    <w:rsid w:val="276D2CA0"/>
    <w:rsid w:val="276E7D33"/>
    <w:rsid w:val="279050AE"/>
    <w:rsid w:val="27AA7277"/>
    <w:rsid w:val="27BF27B9"/>
    <w:rsid w:val="27C26A0D"/>
    <w:rsid w:val="27E80C40"/>
    <w:rsid w:val="27ED6C10"/>
    <w:rsid w:val="282178BD"/>
    <w:rsid w:val="285D5114"/>
    <w:rsid w:val="285D6CDE"/>
    <w:rsid w:val="287C62B4"/>
    <w:rsid w:val="289D3404"/>
    <w:rsid w:val="289F605B"/>
    <w:rsid w:val="28A426B2"/>
    <w:rsid w:val="28C3509B"/>
    <w:rsid w:val="290043E5"/>
    <w:rsid w:val="29113A8D"/>
    <w:rsid w:val="2930214A"/>
    <w:rsid w:val="29323A24"/>
    <w:rsid w:val="294A63DC"/>
    <w:rsid w:val="29965DA5"/>
    <w:rsid w:val="299F441D"/>
    <w:rsid w:val="2A1C6AE3"/>
    <w:rsid w:val="2A220759"/>
    <w:rsid w:val="2A2944BC"/>
    <w:rsid w:val="2A2C67C1"/>
    <w:rsid w:val="2A3B1EDF"/>
    <w:rsid w:val="2A4A67E8"/>
    <w:rsid w:val="2A7E62D9"/>
    <w:rsid w:val="2ACF64FD"/>
    <w:rsid w:val="2B2576D7"/>
    <w:rsid w:val="2B4F1826"/>
    <w:rsid w:val="2B56201C"/>
    <w:rsid w:val="2B640670"/>
    <w:rsid w:val="2B7A392A"/>
    <w:rsid w:val="2B9038A2"/>
    <w:rsid w:val="2B966A97"/>
    <w:rsid w:val="2B991B04"/>
    <w:rsid w:val="2BAE03E5"/>
    <w:rsid w:val="2C375725"/>
    <w:rsid w:val="2C3A0930"/>
    <w:rsid w:val="2C3A1F27"/>
    <w:rsid w:val="2C5F31FE"/>
    <w:rsid w:val="2C7E45A8"/>
    <w:rsid w:val="2C801F12"/>
    <w:rsid w:val="2C8352BF"/>
    <w:rsid w:val="2C8E4B70"/>
    <w:rsid w:val="2CAA2616"/>
    <w:rsid w:val="2CAB3FB4"/>
    <w:rsid w:val="2CC74476"/>
    <w:rsid w:val="2D141100"/>
    <w:rsid w:val="2D272EF3"/>
    <w:rsid w:val="2D2D3A19"/>
    <w:rsid w:val="2D300512"/>
    <w:rsid w:val="2D4B498E"/>
    <w:rsid w:val="2D5E04B9"/>
    <w:rsid w:val="2D6C73C2"/>
    <w:rsid w:val="2D7C0F4D"/>
    <w:rsid w:val="2D875248"/>
    <w:rsid w:val="2DBF18CB"/>
    <w:rsid w:val="2DBF24AF"/>
    <w:rsid w:val="2DD501BD"/>
    <w:rsid w:val="2DE84DB1"/>
    <w:rsid w:val="2DFD5846"/>
    <w:rsid w:val="2E1438D3"/>
    <w:rsid w:val="2E5F7614"/>
    <w:rsid w:val="2E775F5F"/>
    <w:rsid w:val="2E7F16D5"/>
    <w:rsid w:val="2E893976"/>
    <w:rsid w:val="2ED94A9E"/>
    <w:rsid w:val="2EF04B1B"/>
    <w:rsid w:val="2F0114E5"/>
    <w:rsid w:val="2F36434E"/>
    <w:rsid w:val="2F502F1F"/>
    <w:rsid w:val="2F5732C4"/>
    <w:rsid w:val="2F7450B9"/>
    <w:rsid w:val="2F7A600C"/>
    <w:rsid w:val="2F7B5976"/>
    <w:rsid w:val="2F7D2553"/>
    <w:rsid w:val="2FBD4066"/>
    <w:rsid w:val="2FC349DA"/>
    <w:rsid w:val="2FD352C5"/>
    <w:rsid w:val="2FDC74CB"/>
    <w:rsid w:val="303B719D"/>
    <w:rsid w:val="30452E89"/>
    <w:rsid w:val="30484302"/>
    <w:rsid w:val="305B6878"/>
    <w:rsid w:val="30870989"/>
    <w:rsid w:val="30951F7F"/>
    <w:rsid w:val="30C3097F"/>
    <w:rsid w:val="30C47162"/>
    <w:rsid w:val="30C509CD"/>
    <w:rsid w:val="30C64F9A"/>
    <w:rsid w:val="30CC6EA0"/>
    <w:rsid w:val="30CD0C69"/>
    <w:rsid w:val="30E5120F"/>
    <w:rsid w:val="30E82217"/>
    <w:rsid w:val="314857E8"/>
    <w:rsid w:val="319E48F7"/>
    <w:rsid w:val="319E68EB"/>
    <w:rsid w:val="31AF3D3F"/>
    <w:rsid w:val="31BB5F8B"/>
    <w:rsid w:val="31C85E07"/>
    <w:rsid w:val="31FC5710"/>
    <w:rsid w:val="32382656"/>
    <w:rsid w:val="323D432F"/>
    <w:rsid w:val="32484961"/>
    <w:rsid w:val="3274251A"/>
    <w:rsid w:val="32A07DAC"/>
    <w:rsid w:val="32A67525"/>
    <w:rsid w:val="32EA5BA7"/>
    <w:rsid w:val="32F749F5"/>
    <w:rsid w:val="33305A23"/>
    <w:rsid w:val="333D1F12"/>
    <w:rsid w:val="3343544A"/>
    <w:rsid w:val="337A53FA"/>
    <w:rsid w:val="338A656E"/>
    <w:rsid w:val="33A75FBD"/>
    <w:rsid w:val="33CB0D1A"/>
    <w:rsid w:val="33E05425"/>
    <w:rsid w:val="33E331FA"/>
    <w:rsid w:val="33F507CF"/>
    <w:rsid w:val="33FD1629"/>
    <w:rsid w:val="340978C3"/>
    <w:rsid w:val="342330FB"/>
    <w:rsid w:val="34453574"/>
    <w:rsid w:val="347D3097"/>
    <w:rsid w:val="347E631A"/>
    <w:rsid w:val="34864FF2"/>
    <w:rsid w:val="348E4983"/>
    <w:rsid w:val="34A11965"/>
    <w:rsid w:val="34C431CB"/>
    <w:rsid w:val="34CD6FBE"/>
    <w:rsid w:val="34E54854"/>
    <w:rsid w:val="350B5077"/>
    <w:rsid w:val="3519182B"/>
    <w:rsid w:val="3520713E"/>
    <w:rsid w:val="352B65B9"/>
    <w:rsid w:val="35553C69"/>
    <w:rsid w:val="3568260C"/>
    <w:rsid w:val="356C45C3"/>
    <w:rsid w:val="35900D2B"/>
    <w:rsid w:val="35B34DE2"/>
    <w:rsid w:val="35BC70FA"/>
    <w:rsid w:val="35BC76FC"/>
    <w:rsid w:val="35C201EA"/>
    <w:rsid w:val="35C5019D"/>
    <w:rsid w:val="35DB0F20"/>
    <w:rsid w:val="35DC541F"/>
    <w:rsid w:val="35DC7201"/>
    <w:rsid w:val="35ED49B5"/>
    <w:rsid w:val="35F01082"/>
    <w:rsid w:val="35FA7EB5"/>
    <w:rsid w:val="35FD14EB"/>
    <w:rsid w:val="361C4B6C"/>
    <w:rsid w:val="36424253"/>
    <w:rsid w:val="36603BE3"/>
    <w:rsid w:val="36720BB5"/>
    <w:rsid w:val="36B71772"/>
    <w:rsid w:val="36D52064"/>
    <w:rsid w:val="36ED3D7F"/>
    <w:rsid w:val="36FB1D8D"/>
    <w:rsid w:val="3701615D"/>
    <w:rsid w:val="37095EAD"/>
    <w:rsid w:val="372F4410"/>
    <w:rsid w:val="373A6E70"/>
    <w:rsid w:val="376D3B2E"/>
    <w:rsid w:val="3781113C"/>
    <w:rsid w:val="37C00033"/>
    <w:rsid w:val="37FB2012"/>
    <w:rsid w:val="3803446D"/>
    <w:rsid w:val="380F4114"/>
    <w:rsid w:val="38407A27"/>
    <w:rsid w:val="38724C12"/>
    <w:rsid w:val="38AD4BEF"/>
    <w:rsid w:val="38BC4657"/>
    <w:rsid w:val="38BE04D4"/>
    <w:rsid w:val="38C246FA"/>
    <w:rsid w:val="38D2321E"/>
    <w:rsid w:val="38DE2ABC"/>
    <w:rsid w:val="38FE72BC"/>
    <w:rsid w:val="390C65EA"/>
    <w:rsid w:val="396B2AA0"/>
    <w:rsid w:val="39A11699"/>
    <w:rsid w:val="39B91182"/>
    <w:rsid w:val="3A033932"/>
    <w:rsid w:val="3A142F5B"/>
    <w:rsid w:val="3A267C0B"/>
    <w:rsid w:val="3A360537"/>
    <w:rsid w:val="3A732EDD"/>
    <w:rsid w:val="3A9868CB"/>
    <w:rsid w:val="3ABF1172"/>
    <w:rsid w:val="3AC919DB"/>
    <w:rsid w:val="3B1A7C04"/>
    <w:rsid w:val="3B2E2FE2"/>
    <w:rsid w:val="3B716BE4"/>
    <w:rsid w:val="3B84252B"/>
    <w:rsid w:val="3B905B53"/>
    <w:rsid w:val="3BA64AD4"/>
    <w:rsid w:val="3BB62B23"/>
    <w:rsid w:val="3BBC20DC"/>
    <w:rsid w:val="3C045504"/>
    <w:rsid w:val="3C1119BE"/>
    <w:rsid w:val="3C313F8D"/>
    <w:rsid w:val="3C3E1597"/>
    <w:rsid w:val="3C4D58FB"/>
    <w:rsid w:val="3C553E04"/>
    <w:rsid w:val="3C6E0746"/>
    <w:rsid w:val="3C72320A"/>
    <w:rsid w:val="3C787A30"/>
    <w:rsid w:val="3C83761D"/>
    <w:rsid w:val="3CC84E99"/>
    <w:rsid w:val="3CD4050D"/>
    <w:rsid w:val="3D0647BE"/>
    <w:rsid w:val="3D0F165D"/>
    <w:rsid w:val="3D1D2F53"/>
    <w:rsid w:val="3D206B22"/>
    <w:rsid w:val="3D3F486F"/>
    <w:rsid w:val="3D56682D"/>
    <w:rsid w:val="3D6E6023"/>
    <w:rsid w:val="3DAB1CA7"/>
    <w:rsid w:val="3DBD78C9"/>
    <w:rsid w:val="3DD759A5"/>
    <w:rsid w:val="3E244A81"/>
    <w:rsid w:val="3E4C6016"/>
    <w:rsid w:val="3E52418F"/>
    <w:rsid w:val="3E5A1CF9"/>
    <w:rsid w:val="3E8E100C"/>
    <w:rsid w:val="3EB23F09"/>
    <w:rsid w:val="3EC12406"/>
    <w:rsid w:val="3ECD1ADE"/>
    <w:rsid w:val="3ED9000F"/>
    <w:rsid w:val="3EE67F3A"/>
    <w:rsid w:val="3EEB64C0"/>
    <w:rsid w:val="3EF94CCF"/>
    <w:rsid w:val="3EFA1646"/>
    <w:rsid w:val="3EFC5EA2"/>
    <w:rsid w:val="3F095F91"/>
    <w:rsid w:val="3F1674F2"/>
    <w:rsid w:val="3F4F7B7E"/>
    <w:rsid w:val="3F5C23E9"/>
    <w:rsid w:val="3F7903B8"/>
    <w:rsid w:val="3F7D4AF5"/>
    <w:rsid w:val="3F94000D"/>
    <w:rsid w:val="3FA550A3"/>
    <w:rsid w:val="40040B28"/>
    <w:rsid w:val="400916FA"/>
    <w:rsid w:val="401D5D3B"/>
    <w:rsid w:val="40215EA9"/>
    <w:rsid w:val="402F62D6"/>
    <w:rsid w:val="40482E02"/>
    <w:rsid w:val="40490124"/>
    <w:rsid w:val="406B1E48"/>
    <w:rsid w:val="40785851"/>
    <w:rsid w:val="407C6EAD"/>
    <w:rsid w:val="408416BA"/>
    <w:rsid w:val="40906885"/>
    <w:rsid w:val="40A91B22"/>
    <w:rsid w:val="40E56E16"/>
    <w:rsid w:val="41163C0E"/>
    <w:rsid w:val="4134048C"/>
    <w:rsid w:val="419C6CE1"/>
    <w:rsid w:val="41B55751"/>
    <w:rsid w:val="41BA26EC"/>
    <w:rsid w:val="41BD6952"/>
    <w:rsid w:val="41C67E57"/>
    <w:rsid w:val="41EC08E1"/>
    <w:rsid w:val="421C050F"/>
    <w:rsid w:val="42312465"/>
    <w:rsid w:val="42426BD9"/>
    <w:rsid w:val="424E451C"/>
    <w:rsid w:val="42616C14"/>
    <w:rsid w:val="4298360E"/>
    <w:rsid w:val="42C52E22"/>
    <w:rsid w:val="43183588"/>
    <w:rsid w:val="432B3A09"/>
    <w:rsid w:val="432C0F39"/>
    <w:rsid w:val="43343F31"/>
    <w:rsid w:val="434A1850"/>
    <w:rsid w:val="437834BB"/>
    <w:rsid w:val="4398569A"/>
    <w:rsid w:val="439D3C1E"/>
    <w:rsid w:val="43A37A1B"/>
    <w:rsid w:val="43AF16A2"/>
    <w:rsid w:val="43EF0466"/>
    <w:rsid w:val="443019BB"/>
    <w:rsid w:val="44354C45"/>
    <w:rsid w:val="444716E2"/>
    <w:rsid w:val="445450FC"/>
    <w:rsid w:val="44663423"/>
    <w:rsid w:val="447457B6"/>
    <w:rsid w:val="447E61E2"/>
    <w:rsid w:val="448E43FA"/>
    <w:rsid w:val="448E7993"/>
    <w:rsid w:val="44973431"/>
    <w:rsid w:val="449C36FF"/>
    <w:rsid w:val="44B5020E"/>
    <w:rsid w:val="44C21341"/>
    <w:rsid w:val="44CD2FED"/>
    <w:rsid w:val="44D97EA6"/>
    <w:rsid w:val="44DF7870"/>
    <w:rsid w:val="450F7146"/>
    <w:rsid w:val="45120628"/>
    <w:rsid w:val="45205D40"/>
    <w:rsid w:val="4522627D"/>
    <w:rsid w:val="453C4AA2"/>
    <w:rsid w:val="454C52FD"/>
    <w:rsid w:val="45693CEF"/>
    <w:rsid w:val="4582274C"/>
    <w:rsid w:val="45824F8A"/>
    <w:rsid w:val="45896F85"/>
    <w:rsid w:val="458B6AE9"/>
    <w:rsid w:val="45955F95"/>
    <w:rsid w:val="45B42064"/>
    <w:rsid w:val="45BE4025"/>
    <w:rsid w:val="45E34536"/>
    <w:rsid w:val="45E55DC5"/>
    <w:rsid w:val="45ED5201"/>
    <w:rsid w:val="45FC0CDF"/>
    <w:rsid w:val="462B3DAD"/>
    <w:rsid w:val="464A3A20"/>
    <w:rsid w:val="465C0EC6"/>
    <w:rsid w:val="46703FBA"/>
    <w:rsid w:val="468A43CA"/>
    <w:rsid w:val="46DB2749"/>
    <w:rsid w:val="47032F4A"/>
    <w:rsid w:val="473064A6"/>
    <w:rsid w:val="47352384"/>
    <w:rsid w:val="473E0B01"/>
    <w:rsid w:val="474717D3"/>
    <w:rsid w:val="478F1E29"/>
    <w:rsid w:val="47D30E5C"/>
    <w:rsid w:val="47D314E0"/>
    <w:rsid w:val="47D5208D"/>
    <w:rsid w:val="47DB78B4"/>
    <w:rsid w:val="47E4498A"/>
    <w:rsid w:val="482837EF"/>
    <w:rsid w:val="482A5A71"/>
    <w:rsid w:val="484F663C"/>
    <w:rsid w:val="485848D9"/>
    <w:rsid w:val="48614F6D"/>
    <w:rsid w:val="48C404F1"/>
    <w:rsid w:val="48E92C88"/>
    <w:rsid w:val="48EA1309"/>
    <w:rsid w:val="49015288"/>
    <w:rsid w:val="49175F73"/>
    <w:rsid w:val="49184CEF"/>
    <w:rsid w:val="49246C41"/>
    <w:rsid w:val="492911CD"/>
    <w:rsid w:val="492E431F"/>
    <w:rsid w:val="494C4733"/>
    <w:rsid w:val="49526E37"/>
    <w:rsid w:val="495A2C7A"/>
    <w:rsid w:val="49D114B6"/>
    <w:rsid w:val="49DC0B59"/>
    <w:rsid w:val="49E70E39"/>
    <w:rsid w:val="49E920CD"/>
    <w:rsid w:val="4A0007BB"/>
    <w:rsid w:val="4A072761"/>
    <w:rsid w:val="4A0E6704"/>
    <w:rsid w:val="4A262085"/>
    <w:rsid w:val="4A3954F1"/>
    <w:rsid w:val="4A485DEB"/>
    <w:rsid w:val="4A4E44F4"/>
    <w:rsid w:val="4A630647"/>
    <w:rsid w:val="4A701559"/>
    <w:rsid w:val="4A7E6C1C"/>
    <w:rsid w:val="4ABC5370"/>
    <w:rsid w:val="4ACD2B0F"/>
    <w:rsid w:val="4AE427EF"/>
    <w:rsid w:val="4B126F6C"/>
    <w:rsid w:val="4B172A23"/>
    <w:rsid w:val="4B1D05F6"/>
    <w:rsid w:val="4B2F54C9"/>
    <w:rsid w:val="4B4D3FD6"/>
    <w:rsid w:val="4B7D2D29"/>
    <w:rsid w:val="4B8C3567"/>
    <w:rsid w:val="4B974992"/>
    <w:rsid w:val="4BBD4D04"/>
    <w:rsid w:val="4BC06248"/>
    <w:rsid w:val="4BDF5500"/>
    <w:rsid w:val="4C154413"/>
    <w:rsid w:val="4C42669E"/>
    <w:rsid w:val="4C47472E"/>
    <w:rsid w:val="4C4B6D42"/>
    <w:rsid w:val="4C666380"/>
    <w:rsid w:val="4C8D1E3B"/>
    <w:rsid w:val="4CA214D9"/>
    <w:rsid w:val="4CBF3AD4"/>
    <w:rsid w:val="4CC90269"/>
    <w:rsid w:val="4CFD6E78"/>
    <w:rsid w:val="4D2E7C52"/>
    <w:rsid w:val="4D436E4F"/>
    <w:rsid w:val="4D611164"/>
    <w:rsid w:val="4D7C711B"/>
    <w:rsid w:val="4D7D4CF3"/>
    <w:rsid w:val="4D9862D8"/>
    <w:rsid w:val="4D9A62B2"/>
    <w:rsid w:val="4DC03835"/>
    <w:rsid w:val="4DD31393"/>
    <w:rsid w:val="4DD65467"/>
    <w:rsid w:val="4E0939D0"/>
    <w:rsid w:val="4E2A65C0"/>
    <w:rsid w:val="4E4D2928"/>
    <w:rsid w:val="4E4D315D"/>
    <w:rsid w:val="4E64070B"/>
    <w:rsid w:val="4E7A6B8D"/>
    <w:rsid w:val="4EB93349"/>
    <w:rsid w:val="4ECE1ECA"/>
    <w:rsid w:val="4EEF3E5E"/>
    <w:rsid w:val="4EF33822"/>
    <w:rsid w:val="4EF74EB5"/>
    <w:rsid w:val="4F115812"/>
    <w:rsid w:val="4F2D5C58"/>
    <w:rsid w:val="4F4E45C1"/>
    <w:rsid w:val="4F643DD3"/>
    <w:rsid w:val="4F716699"/>
    <w:rsid w:val="4F791720"/>
    <w:rsid w:val="4F82613D"/>
    <w:rsid w:val="4F8C010F"/>
    <w:rsid w:val="4F930E6E"/>
    <w:rsid w:val="4F995603"/>
    <w:rsid w:val="4FB225A5"/>
    <w:rsid w:val="4FB4543B"/>
    <w:rsid w:val="4FDE19CA"/>
    <w:rsid w:val="50276BDE"/>
    <w:rsid w:val="502D5957"/>
    <w:rsid w:val="503A4EE0"/>
    <w:rsid w:val="50401B0F"/>
    <w:rsid w:val="50585071"/>
    <w:rsid w:val="505A703A"/>
    <w:rsid w:val="505F355C"/>
    <w:rsid w:val="50616B69"/>
    <w:rsid w:val="50F8708D"/>
    <w:rsid w:val="51181B78"/>
    <w:rsid w:val="513679C8"/>
    <w:rsid w:val="51423C22"/>
    <w:rsid w:val="516C1163"/>
    <w:rsid w:val="517058A9"/>
    <w:rsid w:val="51BD3DDA"/>
    <w:rsid w:val="521F2867"/>
    <w:rsid w:val="524C38F4"/>
    <w:rsid w:val="52537FD0"/>
    <w:rsid w:val="525E3E16"/>
    <w:rsid w:val="526C4D4C"/>
    <w:rsid w:val="52B014DF"/>
    <w:rsid w:val="52B256B5"/>
    <w:rsid w:val="52CF194D"/>
    <w:rsid w:val="52DE6A4C"/>
    <w:rsid w:val="52EE3913"/>
    <w:rsid w:val="52FE230D"/>
    <w:rsid w:val="530E6BED"/>
    <w:rsid w:val="532C6F1D"/>
    <w:rsid w:val="53401293"/>
    <w:rsid w:val="534560AD"/>
    <w:rsid w:val="53523CCD"/>
    <w:rsid w:val="53713957"/>
    <w:rsid w:val="53815663"/>
    <w:rsid w:val="53AD4444"/>
    <w:rsid w:val="53AF684A"/>
    <w:rsid w:val="53B237F3"/>
    <w:rsid w:val="53C73982"/>
    <w:rsid w:val="53E05AE0"/>
    <w:rsid w:val="53EA34C3"/>
    <w:rsid w:val="53EB0B4B"/>
    <w:rsid w:val="53EF1FF9"/>
    <w:rsid w:val="53FE5530"/>
    <w:rsid w:val="54142816"/>
    <w:rsid w:val="541822D5"/>
    <w:rsid w:val="541976DF"/>
    <w:rsid w:val="5427661A"/>
    <w:rsid w:val="54291A2C"/>
    <w:rsid w:val="5457087D"/>
    <w:rsid w:val="548B2BDA"/>
    <w:rsid w:val="54AB00DE"/>
    <w:rsid w:val="54BB7AE2"/>
    <w:rsid w:val="54C80123"/>
    <w:rsid w:val="54D05412"/>
    <w:rsid w:val="54D07D61"/>
    <w:rsid w:val="5518263F"/>
    <w:rsid w:val="552E5681"/>
    <w:rsid w:val="5562448A"/>
    <w:rsid w:val="55825DC8"/>
    <w:rsid w:val="55977AB5"/>
    <w:rsid w:val="55982F19"/>
    <w:rsid w:val="55B927F4"/>
    <w:rsid w:val="55C133CC"/>
    <w:rsid w:val="55D50D0D"/>
    <w:rsid w:val="56164FB4"/>
    <w:rsid w:val="56455D97"/>
    <w:rsid w:val="56494D30"/>
    <w:rsid w:val="56617ED0"/>
    <w:rsid w:val="566C2E65"/>
    <w:rsid w:val="56DD5AF7"/>
    <w:rsid w:val="57390216"/>
    <w:rsid w:val="574B199A"/>
    <w:rsid w:val="576F41A2"/>
    <w:rsid w:val="57893A6E"/>
    <w:rsid w:val="578B31A4"/>
    <w:rsid w:val="578B644F"/>
    <w:rsid w:val="57C8539C"/>
    <w:rsid w:val="57EA6FF6"/>
    <w:rsid w:val="57F546EF"/>
    <w:rsid w:val="57FF0FFD"/>
    <w:rsid w:val="58237114"/>
    <w:rsid w:val="588500CE"/>
    <w:rsid w:val="588A644D"/>
    <w:rsid w:val="589215C1"/>
    <w:rsid w:val="589767E5"/>
    <w:rsid w:val="58BD7088"/>
    <w:rsid w:val="58E95A71"/>
    <w:rsid w:val="59002576"/>
    <w:rsid w:val="59020018"/>
    <w:rsid w:val="59173833"/>
    <w:rsid w:val="591C73DD"/>
    <w:rsid w:val="593A050A"/>
    <w:rsid w:val="594C23E9"/>
    <w:rsid w:val="59510921"/>
    <w:rsid w:val="5970191B"/>
    <w:rsid w:val="597A4A53"/>
    <w:rsid w:val="59834CF1"/>
    <w:rsid w:val="598B4E15"/>
    <w:rsid w:val="599968C6"/>
    <w:rsid w:val="59A6748D"/>
    <w:rsid w:val="59E672A1"/>
    <w:rsid w:val="59F2305F"/>
    <w:rsid w:val="59FB6697"/>
    <w:rsid w:val="5A082BEA"/>
    <w:rsid w:val="5A1D5F50"/>
    <w:rsid w:val="5A2550BE"/>
    <w:rsid w:val="5A30637C"/>
    <w:rsid w:val="5A356D1E"/>
    <w:rsid w:val="5A431BE2"/>
    <w:rsid w:val="5A487BA8"/>
    <w:rsid w:val="5A600E1A"/>
    <w:rsid w:val="5A6358E6"/>
    <w:rsid w:val="5A690D4F"/>
    <w:rsid w:val="5A725CDF"/>
    <w:rsid w:val="5A7D2737"/>
    <w:rsid w:val="5B0B3D11"/>
    <w:rsid w:val="5B0F6FF4"/>
    <w:rsid w:val="5B35111D"/>
    <w:rsid w:val="5B520D42"/>
    <w:rsid w:val="5B774A43"/>
    <w:rsid w:val="5B9067AF"/>
    <w:rsid w:val="5BD65909"/>
    <w:rsid w:val="5BE405F4"/>
    <w:rsid w:val="5C07094D"/>
    <w:rsid w:val="5C0A1FA5"/>
    <w:rsid w:val="5C0E2031"/>
    <w:rsid w:val="5C156E2E"/>
    <w:rsid w:val="5C231536"/>
    <w:rsid w:val="5C343FD3"/>
    <w:rsid w:val="5C3F488B"/>
    <w:rsid w:val="5C423A26"/>
    <w:rsid w:val="5C803C22"/>
    <w:rsid w:val="5CAF2E9D"/>
    <w:rsid w:val="5CC40F6B"/>
    <w:rsid w:val="5CD209C4"/>
    <w:rsid w:val="5CE80FBC"/>
    <w:rsid w:val="5CEB44D7"/>
    <w:rsid w:val="5D102963"/>
    <w:rsid w:val="5D1C32BC"/>
    <w:rsid w:val="5D1F4852"/>
    <w:rsid w:val="5D243F1D"/>
    <w:rsid w:val="5D5F6439"/>
    <w:rsid w:val="5DBE76C0"/>
    <w:rsid w:val="5DDD45C1"/>
    <w:rsid w:val="5DF55DC8"/>
    <w:rsid w:val="5DFF05BB"/>
    <w:rsid w:val="5E290360"/>
    <w:rsid w:val="5E2B5E38"/>
    <w:rsid w:val="5E532E69"/>
    <w:rsid w:val="5E64583C"/>
    <w:rsid w:val="5E733A3C"/>
    <w:rsid w:val="5E8425FB"/>
    <w:rsid w:val="5E993BCD"/>
    <w:rsid w:val="5ED15CFA"/>
    <w:rsid w:val="5EFD3C96"/>
    <w:rsid w:val="5EFF3BB3"/>
    <w:rsid w:val="5F0F31F5"/>
    <w:rsid w:val="5F1A1ABF"/>
    <w:rsid w:val="5F261CD1"/>
    <w:rsid w:val="5F4B3F83"/>
    <w:rsid w:val="5F722458"/>
    <w:rsid w:val="5F754DCA"/>
    <w:rsid w:val="5F7D4ED4"/>
    <w:rsid w:val="5F8935CB"/>
    <w:rsid w:val="5F9F32C3"/>
    <w:rsid w:val="5FA95A4C"/>
    <w:rsid w:val="5FB04AF3"/>
    <w:rsid w:val="5FB174FD"/>
    <w:rsid w:val="5FC045D8"/>
    <w:rsid w:val="5FCC11F1"/>
    <w:rsid w:val="5FFC59C5"/>
    <w:rsid w:val="5FFF645A"/>
    <w:rsid w:val="604D4C6F"/>
    <w:rsid w:val="60571923"/>
    <w:rsid w:val="605E5267"/>
    <w:rsid w:val="60762D1D"/>
    <w:rsid w:val="60B40714"/>
    <w:rsid w:val="60BE3731"/>
    <w:rsid w:val="60C60055"/>
    <w:rsid w:val="60FA424C"/>
    <w:rsid w:val="610D03A8"/>
    <w:rsid w:val="611F1660"/>
    <w:rsid w:val="61233B92"/>
    <w:rsid w:val="612A1D2C"/>
    <w:rsid w:val="615C4A0C"/>
    <w:rsid w:val="617D6715"/>
    <w:rsid w:val="61833AB3"/>
    <w:rsid w:val="6189617B"/>
    <w:rsid w:val="61CF4A25"/>
    <w:rsid w:val="61EC3248"/>
    <w:rsid w:val="620D0B5A"/>
    <w:rsid w:val="62202BC2"/>
    <w:rsid w:val="62347E94"/>
    <w:rsid w:val="62485641"/>
    <w:rsid w:val="625C1430"/>
    <w:rsid w:val="626B1882"/>
    <w:rsid w:val="629E354B"/>
    <w:rsid w:val="62A47D59"/>
    <w:rsid w:val="62D660B0"/>
    <w:rsid w:val="62ED65E3"/>
    <w:rsid w:val="62FA7330"/>
    <w:rsid w:val="631E4A55"/>
    <w:rsid w:val="63361EF1"/>
    <w:rsid w:val="63425544"/>
    <w:rsid w:val="634645B0"/>
    <w:rsid w:val="63915033"/>
    <w:rsid w:val="6395610B"/>
    <w:rsid w:val="63B4065E"/>
    <w:rsid w:val="63C77812"/>
    <w:rsid w:val="63D21D1C"/>
    <w:rsid w:val="63F849DD"/>
    <w:rsid w:val="64031547"/>
    <w:rsid w:val="64042925"/>
    <w:rsid w:val="64107342"/>
    <w:rsid w:val="6444173D"/>
    <w:rsid w:val="644B5969"/>
    <w:rsid w:val="64631144"/>
    <w:rsid w:val="646808EA"/>
    <w:rsid w:val="647B16F5"/>
    <w:rsid w:val="649F015F"/>
    <w:rsid w:val="64B265EF"/>
    <w:rsid w:val="64E11B0D"/>
    <w:rsid w:val="64ED02AE"/>
    <w:rsid w:val="652F0DE7"/>
    <w:rsid w:val="65486750"/>
    <w:rsid w:val="65754FD2"/>
    <w:rsid w:val="65804608"/>
    <w:rsid w:val="65B66BB5"/>
    <w:rsid w:val="65CD64B5"/>
    <w:rsid w:val="65E050D0"/>
    <w:rsid w:val="65EF654B"/>
    <w:rsid w:val="6636380E"/>
    <w:rsid w:val="666241FE"/>
    <w:rsid w:val="667D2BB4"/>
    <w:rsid w:val="66B70BF5"/>
    <w:rsid w:val="672F2562"/>
    <w:rsid w:val="673B44C8"/>
    <w:rsid w:val="673C4958"/>
    <w:rsid w:val="677F41E6"/>
    <w:rsid w:val="67802D75"/>
    <w:rsid w:val="678C100D"/>
    <w:rsid w:val="679D1787"/>
    <w:rsid w:val="67CA5B08"/>
    <w:rsid w:val="681F0E87"/>
    <w:rsid w:val="682555B1"/>
    <w:rsid w:val="68364F4B"/>
    <w:rsid w:val="683A06FC"/>
    <w:rsid w:val="684462F5"/>
    <w:rsid w:val="68515C3B"/>
    <w:rsid w:val="68686AEA"/>
    <w:rsid w:val="68804587"/>
    <w:rsid w:val="68D75850"/>
    <w:rsid w:val="68DE5646"/>
    <w:rsid w:val="692C62BB"/>
    <w:rsid w:val="693277C3"/>
    <w:rsid w:val="6A234E89"/>
    <w:rsid w:val="6A401305"/>
    <w:rsid w:val="6A5108E7"/>
    <w:rsid w:val="6A677B6F"/>
    <w:rsid w:val="6A7F28CF"/>
    <w:rsid w:val="6AB72338"/>
    <w:rsid w:val="6ABC3240"/>
    <w:rsid w:val="6AD62301"/>
    <w:rsid w:val="6AEA29FE"/>
    <w:rsid w:val="6B0F6D16"/>
    <w:rsid w:val="6B285AE7"/>
    <w:rsid w:val="6B44370F"/>
    <w:rsid w:val="6B847AE4"/>
    <w:rsid w:val="6B9548A2"/>
    <w:rsid w:val="6BB30E51"/>
    <w:rsid w:val="6BB36A62"/>
    <w:rsid w:val="6BCE2917"/>
    <w:rsid w:val="6C0005E0"/>
    <w:rsid w:val="6C1D51AB"/>
    <w:rsid w:val="6C3771A0"/>
    <w:rsid w:val="6C4B51C8"/>
    <w:rsid w:val="6C707152"/>
    <w:rsid w:val="6C841553"/>
    <w:rsid w:val="6C8A2A31"/>
    <w:rsid w:val="6C8E3D1A"/>
    <w:rsid w:val="6CA81BAB"/>
    <w:rsid w:val="6CC664D5"/>
    <w:rsid w:val="6CCA5F78"/>
    <w:rsid w:val="6CFF3078"/>
    <w:rsid w:val="6D0042C7"/>
    <w:rsid w:val="6D1D0970"/>
    <w:rsid w:val="6D2C76B2"/>
    <w:rsid w:val="6D42270A"/>
    <w:rsid w:val="6D543E6B"/>
    <w:rsid w:val="6D7039A2"/>
    <w:rsid w:val="6DB17DB2"/>
    <w:rsid w:val="6DC53E25"/>
    <w:rsid w:val="6DCE2779"/>
    <w:rsid w:val="6DE9707C"/>
    <w:rsid w:val="6E0B09A5"/>
    <w:rsid w:val="6E30173B"/>
    <w:rsid w:val="6E351528"/>
    <w:rsid w:val="6E3E2084"/>
    <w:rsid w:val="6E59132C"/>
    <w:rsid w:val="6E6F2651"/>
    <w:rsid w:val="6E907F99"/>
    <w:rsid w:val="6E9216A3"/>
    <w:rsid w:val="6E99292B"/>
    <w:rsid w:val="6E9F6F86"/>
    <w:rsid w:val="6EAF252A"/>
    <w:rsid w:val="6EDA14ED"/>
    <w:rsid w:val="6EE113A4"/>
    <w:rsid w:val="6EEE0509"/>
    <w:rsid w:val="6EF97F74"/>
    <w:rsid w:val="6F002C02"/>
    <w:rsid w:val="6F103A37"/>
    <w:rsid w:val="6F10676C"/>
    <w:rsid w:val="6F1D31E1"/>
    <w:rsid w:val="6F4318BB"/>
    <w:rsid w:val="6F4737D0"/>
    <w:rsid w:val="6F6551A2"/>
    <w:rsid w:val="6F7F5681"/>
    <w:rsid w:val="6F897919"/>
    <w:rsid w:val="6F9A449D"/>
    <w:rsid w:val="6FC44BDB"/>
    <w:rsid w:val="6FCF6DE1"/>
    <w:rsid w:val="6FDB602C"/>
    <w:rsid w:val="7006122A"/>
    <w:rsid w:val="702F2742"/>
    <w:rsid w:val="704160ED"/>
    <w:rsid w:val="706D4709"/>
    <w:rsid w:val="707D0C8D"/>
    <w:rsid w:val="709107E4"/>
    <w:rsid w:val="709539C5"/>
    <w:rsid w:val="70A1406F"/>
    <w:rsid w:val="70A32284"/>
    <w:rsid w:val="70B74226"/>
    <w:rsid w:val="70C91E71"/>
    <w:rsid w:val="70CB4ED4"/>
    <w:rsid w:val="70D03D8D"/>
    <w:rsid w:val="70DC2B8E"/>
    <w:rsid w:val="71055BB6"/>
    <w:rsid w:val="71221285"/>
    <w:rsid w:val="71357785"/>
    <w:rsid w:val="7149400F"/>
    <w:rsid w:val="7168152A"/>
    <w:rsid w:val="71970440"/>
    <w:rsid w:val="71AB5E6C"/>
    <w:rsid w:val="71F56B77"/>
    <w:rsid w:val="71F66BED"/>
    <w:rsid w:val="71F96A05"/>
    <w:rsid w:val="72057AE5"/>
    <w:rsid w:val="72580A84"/>
    <w:rsid w:val="726C5212"/>
    <w:rsid w:val="72812CAE"/>
    <w:rsid w:val="72AD735C"/>
    <w:rsid w:val="72AF3512"/>
    <w:rsid w:val="72D0288A"/>
    <w:rsid w:val="72F85FEB"/>
    <w:rsid w:val="73085C46"/>
    <w:rsid w:val="731719B6"/>
    <w:rsid w:val="73176DC7"/>
    <w:rsid w:val="73337D8F"/>
    <w:rsid w:val="734A7D77"/>
    <w:rsid w:val="736D713A"/>
    <w:rsid w:val="73745978"/>
    <w:rsid w:val="737C3CE1"/>
    <w:rsid w:val="737D7CB9"/>
    <w:rsid w:val="73BB6A44"/>
    <w:rsid w:val="73C80041"/>
    <w:rsid w:val="73CA4AD2"/>
    <w:rsid w:val="73D0568F"/>
    <w:rsid w:val="73D52935"/>
    <w:rsid w:val="73EF4EDB"/>
    <w:rsid w:val="73FD76D2"/>
    <w:rsid w:val="74395342"/>
    <w:rsid w:val="74442DA2"/>
    <w:rsid w:val="74534BF8"/>
    <w:rsid w:val="74547EF0"/>
    <w:rsid w:val="746F15F6"/>
    <w:rsid w:val="747324A3"/>
    <w:rsid w:val="74796FBE"/>
    <w:rsid w:val="74875911"/>
    <w:rsid w:val="74894204"/>
    <w:rsid w:val="74C9150D"/>
    <w:rsid w:val="74CD6DE8"/>
    <w:rsid w:val="74DD44A0"/>
    <w:rsid w:val="74F8276D"/>
    <w:rsid w:val="751C3CCD"/>
    <w:rsid w:val="7549747A"/>
    <w:rsid w:val="755467A3"/>
    <w:rsid w:val="755E3C13"/>
    <w:rsid w:val="7577493F"/>
    <w:rsid w:val="75851C88"/>
    <w:rsid w:val="75955923"/>
    <w:rsid w:val="75BB0B6E"/>
    <w:rsid w:val="75C71D0B"/>
    <w:rsid w:val="75EC31E1"/>
    <w:rsid w:val="75FB059D"/>
    <w:rsid w:val="763103A3"/>
    <w:rsid w:val="76375D4D"/>
    <w:rsid w:val="764060A3"/>
    <w:rsid w:val="76946CEC"/>
    <w:rsid w:val="76A2513D"/>
    <w:rsid w:val="76DD424A"/>
    <w:rsid w:val="76EA57B6"/>
    <w:rsid w:val="77067B1B"/>
    <w:rsid w:val="7712495F"/>
    <w:rsid w:val="77284BCD"/>
    <w:rsid w:val="77292E36"/>
    <w:rsid w:val="772D18B4"/>
    <w:rsid w:val="77816073"/>
    <w:rsid w:val="77EA7D2B"/>
    <w:rsid w:val="77F25803"/>
    <w:rsid w:val="77FE6B23"/>
    <w:rsid w:val="7810464A"/>
    <w:rsid w:val="782A7D4C"/>
    <w:rsid w:val="78476316"/>
    <w:rsid w:val="78487182"/>
    <w:rsid w:val="785F6AEA"/>
    <w:rsid w:val="78A42B0D"/>
    <w:rsid w:val="78A771BA"/>
    <w:rsid w:val="78B46364"/>
    <w:rsid w:val="78C15E67"/>
    <w:rsid w:val="78D45AB3"/>
    <w:rsid w:val="78EC2022"/>
    <w:rsid w:val="79065C1B"/>
    <w:rsid w:val="790E6AA2"/>
    <w:rsid w:val="792E3A35"/>
    <w:rsid w:val="792F4AAF"/>
    <w:rsid w:val="796231E3"/>
    <w:rsid w:val="79920AA6"/>
    <w:rsid w:val="799C641E"/>
    <w:rsid w:val="79C82628"/>
    <w:rsid w:val="79F6735E"/>
    <w:rsid w:val="7A1B7442"/>
    <w:rsid w:val="7A4874F5"/>
    <w:rsid w:val="7A4A61F8"/>
    <w:rsid w:val="7A4D5F33"/>
    <w:rsid w:val="7A5B0612"/>
    <w:rsid w:val="7AEB28B0"/>
    <w:rsid w:val="7AEF309B"/>
    <w:rsid w:val="7B1C65B8"/>
    <w:rsid w:val="7B59491A"/>
    <w:rsid w:val="7B642FBD"/>
    <w:rsid w:val="7B764242"/>
    <w:rsid w:val="7B7E7A38"/>
    <w:rsid w:val="7B930795"/>
    <w:rsid w:val="7C274B87"/>
    <w:rsid w:val="7C3A3175"/>
    <w:rsid w:val="7C3D0E92"/>
    <w:rsid w:val="7C574768"/>
    <w:rsid w:val="7C653A33"/>
    <w:rsid w:val="7C6A2B77"/>
    <w:rsid w:val="7C893E5D"/>
    <w:rsid w:val="7C9B31CC"/>
    <w:rsid w:val="7CB10239"/>
    <w:rsid w:val="7CFC4393"/>
    <w:rsid w:val="7D127C45"/>
    <w:rsid w:val="7D1705F8"/>
    <w:rsid w:val="7D1D5C9D"/>
    <w:rsid w:val="7D2221D8"/>
    <w:rsid w:val="7D45494C"/>
    <w:rsid w:val="7D4F1BCF"/>
    <w:rsid w:val="7D5D42EC"/>
    <w:rsid w:val="7D7269A7"/>
    <w:rsid w:val="7D742DD1"/>
    <w:rsid w:val="7D85068E"/>
    <w:rsid w:val="7D8B5A32"/>
    <w:rsid w:val="7D8D2C87"/>
    <w:rsid w:val="7D98132B"/>
    <w:rsid w:val="7D9B2A74"/>
    <w:rsid w:val="7DC134C0"/>
    <w:rsid w:val="7DD84285"/>
    <w:rsid w:val="7E040C0B"/>
    <w:rsid w:val="7E1D0482"/>
    <w:rsid w:val="7E2430A0"/>
    <w:rsid w:val="7E7E5534"/>
    <w:rsid w:val="7E826D27"/>
    <w:rsid w:val="7E9818D4"/>
    <w:rsid w:val="7F111831"/>
    <w:rsid w:val="7F3C7A7A"/>
    <w:rsid w:val="7F4D16AD"/>
    <w:rsid w:val="7F530D5D"/>
    <w:rsid w:val="7F531E4A"/>
    <w:rsid w:val="7F55490E"/>
    <w:rsid w:val="7F8E722D"/>
    <w:rsid w:val="7FA06711"/>
    <w:rsid w:val="7FDC2474"/>
    <w:rsid w:val="F7753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560" w:firstLineChars="200"/>
      <w:jc w:val="both"/>
    </w:pPr>
    <w:rPr>
      <w:rFonts w:ascii="Times New Roman" w:hAnsi="Times New Roman" w:eastAsia="仿宋_GB2312" w:cs="Times New Roman"/>
      <w:kern w:val="2"/>
      <w:sz w:val="32"/>
      <w:szCs w:val="22"/>
      <w:lang w:val="en-US" w:eastAsia="zh-CN" w:bidi="ar-SA"/>
    </w:rPr>
  </w:style>
  <w:style w:type="paragraph" w:styleId="6">
    <w:name w:val="heading 1"/>
    <w:basedOn w:val="7"/>
    <w:next w:val="1"/>
    <w:link w:val="41"/>
    <w:qFormat/>
    <w:uiPriority w:val="9"/>
    <w:pPr>
      <w:numPr>
        <w:ilvl w:val="0"/>
        <w:numId w:val="1"/>
      </w:numPr>
      <w:tabs>
        <w:tab w:val="left" w:pos="0"/>
      </w:tabs>
      <w:spacing w:line="240" w:lineRule="auto"/>
      <w:ind w:left="0" w:firstLine="0"/>
      <w:outlineLvl w:val="0"/>
    </w:pPr>
    <w:rPr>
      <w:rFonts w:ascii="黑体" w:hAnsi="黑体" w:eastAsia="黑体"/>
    </w:rPr>
  </w:style>
  <w:style w:type="paragraph" w:styleId="7">
    <w:name w:val="heading 2"/>
    <w:basedOn w:val="1"/>
    <w:next w:val="1"/>
    <w:link w:val="40"/>
    <w:qFormat/>
    <w:uiPriority w:val="9"/>
    <w:pPr>
      <w:keepNext/>
      <w:numPr>
        <w:ilvl w:val="1"/>
        <w:numId w:val="2"/>
      </w:numPr>
      <w:tabs>
        <w:tab w:val="left" w:pos="0"/>
      </w:tabs>
      <w:spacing w:before="240"/>
      <w:ind w:firstLine="0" w:firstLineChars="0"/>
      <w:jc w:val="center"/>
      <w:outlineLvl w:val="1"/>
    </w:pPr>
    <w:rPr>
      <w:rFonts w:ascii="楷体" w:hAnsi="楷体" w:eastAsia="楷体"/>
      <w:kern w:val="0"/>
      <w:szCs w:val="32"/>
    </w:rPr>
  </w:style>
  <w:style w:type="paragraph" w:styleId="8">
    <w:name w:val="heading 3"/>
    <w:basedOn w:val="7"/>
    <w:next w:val="1"/>
    <w:link w:val="42"/>
    <w:qFormat/>
    <w:uiPriority w:val="9"/>
    <w:pPr>
      <w:numPr>
        <w:ilvl w:val="2"/>
        <w:numId w:val="0"/>
      </w:numPr>
      <w:tabs>
        <w:tab w:val="clear" w:pos="0"/>
      </w:tabs>
      <w:spacing w:before="0" w:line="620" w:lineRule="exact"/>
      <w:ind w:firstLine="640" w:firstLineChars="200"/>
      <w:jc w:val="left"/>
      <w:outlineLvl w:val="2"/>
    </w:pPr>
    <w:rPr>
      <w:rFonts w:ascii="仿宋_GB2312" w:hAnsi="仿宋_GB2312" w:eastAsia="仿宋_GB2312" w:cs="仿宋"/>
      <w:b/>
      <w:szCs w:val="30"/>
    </w:rPr>
  </w:style>
  <w:style w:type="paragraph" w:styleId="9">
    <w:name w:val="heading 4"/>
    <w:basedOn w:val="1"/>
    <w:next w:val="1"/>
    <w:link w:val="43"/>
    <w:qFormat/>
    <w:uiPriority w:val="9"/>
    <w:pPr>
      <w:keepNext/>
      <w:keepLines/>
      <w:numPr>
        <w:ilvl w:val="3"/>
        <w:numId w:val="3"/>
      </w:numPr>
      <w:spacing w:before="40" w:after="50" w:line="377" w:lineRule="auto"/>
      <w:ind w:firstLineChars="0"/>
      <w:outlineLvl w:val="3"/>
    </w:pPr>
    <w:rPr>
      <w:rFonts w:ascii="Calibri Light" w:hAnsi="Calibri Light" w:eastAsia="仿宋"/>
      <w:b/>
      <w:bCs/>
      <w:szCs w:val="28"/>
    </w:rPr>
  </w:style>
  <w:style w:type="paragraph" w:styleId="10">
    <w:name w:val="heading 5"/>
    <w:basedOn w:val="1"/>
    <w:next w:val="1"/>
    <w:qFormat/>
    <w:uiPriority w:val="9"/>
    <w:pPr>
      <w:keepNext/>
      <w:keepLines/>
      <w:numPr>
        <w:ilvl w:val="4"/>
        <w:numId w:val="3"/>
      </w:numPr>
      <w:spacing w:before="280" w:after="290" w:line="372" w:lineRule="auto"/>
      <w:ind w:firstLineChars="0"/>
      <w:outlineLvl w:val="4"/>
    </w:pPr>
    <w:rPr>
      <w:b/>
      <w:sz w:val="28"/>
    </w:rPr>
  </w:style>
  <w:style w:type="paragraph" w:styleId="11">
    <w:name w:val="heading 6"/>
    <w:basedOn w:val="1"/>
    <w:next w:val="1"/>
    <w:qFormat/>
    <w:uiPriority w:val="9"/>
    <w:pPr>
      <w:keepNext/>
      <w:keepLines/>
      <w:numPr>
        <w:ilvl w:val="5"/>
        <w:numId w:val="3"/>
      </w:numPr>
      <w:spacing w:before="240" w:after="64" w:line="317" w:lineRule="auto"/>
      <w:ind w:firstLineChars="0"/>
      <w:outlineLvl w:val="5"/>
    </w:pPr>
    <w:rPr>
      <w:rFonts w:ascii="DejaVu Sans" w:hAnsi="DejaVu Sans" w:eastAsia="方正黑体_GBK"/>
      <w:b/>
      <w:sz w:val="24"/>
    </w:rPr>
  </w:style>
  <w:style w:type="paragraph" w:styleId="12">
    <w:name w:val="heading 7"/>
    <w:basedOn w:val="1"/>
    <w:next w:val="1"/>
    <w:qFormat/>
    <w:uiPriority w:val="9"/>
    <w:pPr>
      <w:keepNext/>
      <w:keepLines/>
      <w:numPr>
        <w:ilvl w:val="6"/>
        <w:numId w:val="3"/>
      </w:numPr>
      <w:spacing w:before="240" w:after="64" w:line="317" w:lineRule="auto"/>
      <w:ind w:firstLineChars="0"/>
      <w:outlineLvl w:val="6"/>
    </w:pPr>
    <w:rPr>
      <w:b/>
      <w:sz w:val="24"/>
    </w:rPr>
  </w:style>
  <w:style w:type="paragraph" w:styleId="13">
    <w:name w:val="heading 8"/>
    <w:basedOn w:val="1"/>
    <w:next w:val="1"/>
    <w:qFormat/>
    <w:uiPriority w:val="9"/>
    <w:pPr>
      <w:keepNext/>
      <w:keepLines/>
      <w:numPr>
        <w:ilvl w:val="7"/>
        <w:numId w:val="3"/>
      </w:numPr>
      <w:spacing w:before="240" w:after="64" w:line="317" w:lineRule="auto"/>
      <w:ind w:firstLineChars="0"/>
      <w:outlineLvl w:val="7"/>
    </w:pPr>
    <w:rPr>
      <w:rFonts w:ascii="DejaVu Sans" w:hAnsi="DejaVu Sans" w:eastAsia="方正黑体_GBK"/>
      <w:sz w:val="24"/>
    </w:rPr>
  </w:style>
  <w:style w:type="paragraph" w:styleId="14">
    <w:name w:val="heading 9"/>
    <w:basedOn w:val="1"/>
    <w:next w:val="1"/>
    <w:qFormat/>
    <w:uiPriority w:val="9"/>
    <w:pPr>
      <w:keepNext/>
      <w:keepLines/>
      <w:numPr>
        <w:ilvl w:val="8"/>
        <w:numId w:val="3"/>
      </w:numPr>
      <w:spacing w:before="240" w:after="64" w:line="317" w:lineRule="auto"/>
      <w:ind w:firstLineChars="0"/>
      <w:outlineLvl w:val="8"/>
    </w:pPr>
    <w:rPr>
      <w:rFonts w:ascii="DejaVu Sans" w:hAnsi="DejaVu Sans" w:eastAsia="方正黑体_GBK"/>
      <w:sz w:val="21"/>
    </w:rPr>
  </w:style>
  <w:style w:type="character" w:default="1" w:styleId="31">
    <w:name w:val="Default Paragraph Font"/>
    <w:unhideWhenUsed/>
    <w:qFormat/>
    <w:uiPriority w:val="1"/>
  </w:style>
  <w:style w:type="table" w:default="1" w:styleId="29">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pPr>
  </w:style>
  <w:style w:type="paragraph" w:styleId="3">
    <w:name w:val="Body Text Indent"/>
    <w:basedOn w:val="1"/>
    <w:link w:val="39"/>
    <w:unhideWhenUsed/>
    <w:qFormat/>
    <w:uiPriority w:val="0"/>
    <w:pPr>
      <w:spacing w:after="120"/>
      <w:ind w:left="420" w:leftChars="200"/>
    </w:pPr>
    <w:rPr>
      <w:szCs w:val="32"/>
    </w:rPr>
  </w:style>
  <w:style w:type="paragraph" w:styleId="4">
    <w:name w:val="Body Text First Indent"/>
    <w:basedOn w:val="5"/>
    <w:next w:val="5"/>
    <w:qFormat/>
    <w:uiPriority w:val="0"/>
    <w:pPr>
      <w:ind w:firstLine="420" w:firstLineChars="100"/>
    </w:pPr>
  </w:style>
  <w:style w:type="paragraph" w:styleId="5">
    <w:name w:val="Body Text"/>
    <w:basedOn w:val="1"/>
    <w:link w:val="44"/>
    <w:unhideWhenUsed/>
    <w:qFormat/>
    <w:uiPriority w:val="99"/>
    <w:pPr>
      <w:spacing w:after="120"/>
    </w:pPr>
  </w:style>
  <w:style w:type="paragraph" w:styleId="15">
    <w:name w:val="caption"/>
    <w:basedOn w:val="1"/>
    <w:next w:val="1"/>
    <w:qFormat/>
    <w:uiPriority w:val="0"/>
    <w:pPr>
      <w:spacing w:line="240" w:lineRule="auto"/>
      <w:ind w:firstLine="0" w:firstLineChars="0"/>
      <w:jc w:val="center"/>
    </w:pPr>
    <w:rPr>
      <w:rFonts w:ascii="黑体" w:hAnsi="黑体" w:eastAsia="黑体" w:cs="黑体"/>
      <w:b/>
      <w:bCs/>
      <w:sz w:val="28"/>
      <w:szCs w:val="28"/>
    </w:rPr>
  </w:style>
  <w:style w:type="paragraph" w:styleId="16">
    <w:name w:val="Document Map"/>
    <w:basedOn w:val="1"/>
    <w:semiHidden/>
    <w:qFormat/>
    <w:uiPriority w:val="0"/>
    <w:pPr>
      <w:shd w:val="clear" w:color="auto" w:fill="000080"/>
    </w:pPr>
  </w:style>
  <w:style w:type="paragraph" w:styleId="17">
    <w:name w:val="annotation text"/>
    <w:basedOn w:val="1"/>
    <w:link w:val="72"/>
    <w:unhideWhenUsed/>
    <w:qFormat/>
    <w:uiPriority w:val="99"/>
    <w:pPr>
      <w:jc w:val="left"/>
    </w:pPr>
  </w:style>
  <w:style w:type="paragraph" w:styleId="18">
    <w:name w:val="toc 3"/>
    <w:basedOn w:val="1"/>
    <w:next w:val="1"/>
    <w:unhideWhenUsed/>
    <w:qFormat/>
    <w:uiPriority w:val="39"/>
    <w:pPr>
      <w:ind w:left="840" w:leftChars="400"/>
    </w:pPr>
    <w:rPr>
      <w:sz w:val="28"/>
    </w:rPr>
  </w:style>
  <w:style w:type="paragraph" w:styleId="19">
    <w:name w:val="Body Text Indent 2"/>
    <w:basedOn w:val="1"/>
    <w:qFormat/>
    <w:uiPriority w:val="0"/>
    <w:pPr>
      <w:spacing w:line="590" w:lineRule="exact"/>
      <w:ind w:firstLine="880"/>
    </w:pPr>
    <w:rPr>
      <w:rFonts w:ascii="Calibri" w:hAnsi="Calibri" w:eastAsia="方正仿宋_GBK"/>
    </w:rPr>
  </w:style>
  <w:style w:type="paragraph" w:styleId="20">
    <w:name w:val="endnote text"/>
    <w:basedOn w:val="1"/>
    <w:link w:val="45"/>
    <w:unhideWhenUsed/>
    <w:qFormat/>
    <w:uiPriority w:val="99"/>
    <w:pPr>
      <w:snapToGrid w:val="0"/>
      <w:jc w:val="left"/>
    </w:pPr>
  </w:style>
  <w:style w:type="paragraph" w:styleId="21">
    <w:name w:val="Balloon Text"/>
    <w:basedOn w:val="1"/>
    <w:link w:val="46"/>
    <w:unhideWhenUsed/>
    <w:qFormat/>
    <w:uiPriority w:val="99"/>
    <w:pPr>
      <w:spacing w:line="240" w:lineRule="auto"/>
      <w:ind w:firstLine="422"/>
    </w:pPr>
    <w:rPr>
      <w:rFonts w:ascii="仿宋" w:hAnsi="仿宋" w:eastAsia="仿宋" w:cs="仿宋"/>
      <w:b/>
      <w:bCs/>
      <w:sz w:val="24"/>
      <w:szCs w:val="21"/>
    </w:rPr>
  </w:style>
  <w:style w:type="paragraph" w:styleId="22">
    <w:name w:val="footer"/>
    <w:basedOn w:val="1"/>
    <w:link w:val="47"/>
    <w:unhideWhenUsed/>
    <w:qFormat/>
    <w:uiPriority w:val="99"/>
    <w:pPr>
      <w:tabs>
        <w:tab w:val="center" w:pos="4153"/>
        <w:tab w:val="right" w:pos="8306"/>
      </w:tabs>
      <w:snapToGrid w:val="0"/>
      <w:jc w:val="left"/>
    </w:pPr>
    <w:rPr>
      <w:kern w:val="0"/>
      <w:sz w:val="18"/>
      <w:szCs w:val="18"/>
    </w:rPr>
  </w:style>
  <w:style w:type="paragraph" w:styleId="23">
    <w:name w:val="header"/>
    <w:basedOn w:val="1"/>
    <w:link w:val="4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4">
    <w:name w:val="toc 1"/>
    <w:next w:val="25"/>
    <w:unhideWhenUsed/>
    <w:qFormat/>
    <w:uiPriority w:val="39"/>
    <w:rPr>
      <w:rFonts w:ascii="Times New Roman" w:hAnsi="Times New Roman" w:eastAsia="黑体" w:cs="Times New Roman"/>
      <w:kern w:val="2"/>
      <w:sz w:val="28"/>
      <w:szCs w:val="22"/>
      <w:lang w:val="en-US" w:eastAsia="zh-CN" w:bidi="ar-SA"/>
    </w:rPr>
  </w:style>
  <w:style w:type="paragraph" w:styleId="25">
    <w:name w:val="toc 2"/>
    <w:next w:val="18"/>
    <w:unhideWhenUsed/>
    <w:qFormat/>
    <w:uiPriority w:val="39"/>
    <w:pPr>
      <w:ind w:left="420" w:leftChars="200"/>
    </w:pPr>
    <w:rPr>
      <w:rFonts w:ascii="Times New Roman" w:hAnsi="Times New Roman" w:eastAsia="楷体" w:cs="Times New Roman"/>
      <w:kern w:val="2"/>
      <w:sz w:val="28"/>
      <w:szCs w:val="22"/>
      <w:lang w:val="en-US" w:eastAsia="zh-CN" w:bidi="ar-SA"/>
    </w:rPr>
  </w:style>
  <w:style w:type="paragraph" w:styleId="26">
    <w:name w:val="footnote text"/>
    <w:basedOn w:val="1"/>
    <w:link w:val="49"/>
    <w:unhideWhenUsed/>
    <w:qFormat/>
    <w:uiPriority w:val="99"/>
    <w:pPr>
      <w:snapToGrid w:val="0"/>
      <w:jc w:val="left"/>
    </w:pPr>
    <w:rPr>
      <w:sz w:val="18"/>
      <w:szCs w:val="18"/>
    </w:rPr>
  </w:style>
  <w:style w:type="paragraph" w:styleId="2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8">
    <w:name w:val="annotation subject"/>
    <w:basedOn w:val="17"/>
    <w:next w:val="17"/>
    <w:link w:val="73"/>
    <w:semiHidden/>
    <w:unhideWhenUsed/>
    <w:qFormat/>
    <w:uiPriority w:val="99"/>
    <w:rPr>
      <w:b/>
      <w:bCs/>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32">
    <w:name w:val="Strong"/>
    <w:qFormat/>
    <w:uiPriority w:val="22"/>
    <w:rPr>
      <w:b/>
      <w:bCs/>
    </w:rPr>
  </w:style>
  <w:style w:type="character" w:styleId="33">
    <w:name w:val="endnote reference"/>
    <w:unhideWhenUsed/>
    <w:qFormat/>
    <w:uiPriority w:val="99"/>
    <w:rPr>
      <w:vertAlign w:val="superscript"/>
    </w:rPr>
  </w:style>
  <w:style w:type="character" w:styleId="34">
    <w:name w:val="Emphasis"/>
    <w:qFormat/>
    <w:uiPriority w:val="20"/>
    <w:rPr>
      <w:i/>
      <w:iCs/>
    </w:rPr>
  </w:style>
  <w:style w:type="character" w:styleId="35">
    <w:name w:val="Hyperlink"/>
    <w:qFormat/>
    <w:uiPriority w:val="99"/>
    <w:rPr>
      <w:color w:val="0000FF"/>
      <w:u w:val="single"/>
    </w:rPr>
  </w:style>
  <w:style w:type="character" w:styleId="36">
    <w:name w:val="annotation reference"/>
    <w:unhideWhenUsed/>
    <w:qFormat/>
    <w:uiPriority w:val="99"/>
    <w:rPr>
      <w:sz w:val="21"/>
      <w:szCs w:val="21"/>
    </w:rPr>
  </w:style>
  <w:style w:type="character" w:styleId="37">
    <w:name w:val="footnote reference"/>
    <w:unhideWhenUsed/>
    <w:qFormat/>
    <w:uiPriority w:val="99"/>
    <w:rPr>
      <w:vertAlign w:val="superscript"/>
    </w:rPr>
  </w:style>
  <w:style w:type="paragraph" w:customStyle="1" w:styleId="38">
    <w:name w:val="Default"/>
    <w:qFormat/>
    <w:uiPriority w:val="0"/>
    <w:pPr>
      <w:widowControl w:val="0"/>
      <w:autoSpaceDE w:val="0"/>
      <w:autoSpaceDN w:val="0"/>
    </w:pPr>
    <w:rPr>
      <w:rFonts w:ascii="ó×.2" w:hAnsi="Times New Roman" w:eastAsia="ó×.2" w:cs="ó×.2"/>
      <w:color w:val="000000"/>
      <w:sz w:val="24"/>
      <w:szCs w:val="24"/>
      <w:lang w:val="en-US" w:eastAsia="zh-CN" w:bidi="ar-SA"/>
    </w:rPr>
  </w:style>
  <w:style w:type="character" w:customStyle="1" w:styleId="39">
    <w:name w:val="正文文本缩进 字符"/>
    <w:link w:val="3"/>
    <w:qFormat/>
    <w:uiPriority w:val="0"/>
    <w:rPr>
      <w:kern w:val="2"/>
      <w:sz w:val="32"/>
      <w:szCs w:val="32"/>
    </w:rPr>
  </w:style>
  <w:style w:type="character" w:customStyle="1" w:styleId="40">
    <w:name w:val="标题 2 字符1"/>
    <w:link w:val="7"/>
    <w:qFormat/>
    <w:uiPriority w:val="9"/>
    <w:rPr>
      <w:rFonts w:ascii="楷体" w:hAnsi="楷体" w:eastAsia="楷体"/>
      <w:sz w:val="32"/>
      <w:szCs w:val="32"/>
    </w:rPr>
  </w:style>
  <w:style w:type="character" w:customStyle="1" w:styleId="41">
    <w:name w:val="标题 1 字符"/>
    <w:link w:val="6"/>
    <w:qFormat/>
    <w:uiPriority w:val="9"/>
    <w:rPr>
      <w:rFonts w:ascii="黑体" w:hAnsi="黑体" w:eastAsia="黑体"/>
      <w:sz w:val="32"/>
      <w:szCs w:val="32"/>
    </w:rPr>
  </w:style>
  <w:style w:type="character" w:customStyle="1" w:styleId="42">
    <w:name w:val="标题 3 字符"/>
    <w:link w:val="8"/>
    <w:qFormat/>
    <w:uiPriority w:val="9"/>
    <w:rPr>
      <w:rFonts w:ascii="仿宋_GB2312" w:hAnsi="仿宋_GB2312" w:eastAsia="仿宋_GB2312" w:cs="仿宋"/>
      <w:b/>
      <w:sz w:val="32"/>
      <w:szCs w:val="30"/>
    </w:rPr>
  </w:style>
  <w:style w:type="character" w:customStyle="1" w:styleId="43">
    <w:name w:val="标题 4 字符"/>
    <w:link w:val="9"/>
    <w:qFormat/>
    <w:uiPriority w:val="9"/>
    <w:rPr>
      <w:rFonts w:ascii="Calibri Light" w:hAnsi="Calibri Light" w:eastAsia="仿宋"/>
      <w:b/>
      <w:bCs/>
      <w:kern w:val="2"/>
      <w:sz w:val="32"/>
      <w:szCs w:val="28"/>
    </w:rPr>
  </w:style>
  <w:style w:type="character" w:customStyle="1" w:styleId="44">
    <w:name w:val="正文文本 字符"/>
    <w:link w:val="5"/>
    <w:qFormat/>
    <w:uiPriority w:val="99"/>
    <w:rPr>
      <w:kern w:val="2"/>
      <w:sz w:val="21"/>
      <w:szCs w:val="22"/>
    </w:rPr>
  </w:style>
  <w:style w:type="character" w:customStyle="1" w:styleId="45">
    <w:name w:val="尾注文本 字符"/>
    <w:link w:val="20"/>
    <w:qFormat/>
    <w:uiPriority w:val="99"/>
    <w:rPr>
      <w:kern w:val="2"/>
      <w:sz w:val="21"/>
      <w:szCs w:val="22"/>
    </w:rPr>
  </w:style>
  <w:style w:type="character" w:customStyle="1" w:styleId="46">
    <w:name w:val="批注框文本 字符"/>
    <w:link w:val="21"/>
    <w:semiHidden/>
    <w:qFormat/>
    <w:uiPriority w:val="99"/>
    <w:rPr>
      <w:rFonts w:ascii="仿宋" w:hAnsi="仿宋" w:eastAsia="仿宋" w:cs="仿宋"/>
      <w:b/>
      <w:bCs/>
      <w:kern w:val="2"/>
      <w:sz w:val="24"/>
      <w:szCs w:val="21"/>
      <w:lang w:val="en-US" w:eastAsia="zh-CN" w:bidi="ar-SA"/>
    </w:rPr>
  </w:style>
  <w:style w:type="character" w:customStyle="1" w:styleId="47">
    <w:name w:val="页脚 字符"/>
    <w:link w:val="22"/>
    <w:qFormat/>
    <w:uiPriority w:val="99"/>
    <w:rPr>
      <w:sz w:val="18"/>
      <w:szCs w:val="18"/>
    </w:rPr>
  </w:style>
  <w:style w:type="character" w:customStyle="1" w:styleId="48">
    <w:name w:val="页眉 字符"/>
    <w:link w:val="23"/>
    <w:qFormat/>
    <w:uiPriority w:val="99"/>
    <w:rPr>
      <w:sz w:val="18"/>
      <w:szCs w:val="18"/>
    </w:rPr>
  </w:style>
  <w:style w:type="character" w:customStyle="1" w:styleId="49">
    <w:name w:val="脚注文本 字符1"/>
    <w:link w:val="26"/>
    <w:qFormat/>
    <w:uiPriority w:val="99"/>
    <w:rPr>
      <w:kern w:val="2"/>
      <w:sz w:val="18"/>
      <w:szCs w:val="18"/>
    </w:rPr>
  </w:style>
  <w:style w:type="character" w:customStyle="1" w:styleId="50">
    <w:name w:val="标题 2 字符"/>
    <w:qFormat/>
    <w:uiPriority w:val="9"/>
    <w:rPr>
      <w:rFonts w:ascii="等线 Light" w:hAnsi="等线 Light" w:eastAsia="等线 Light" w:cs="Times New Roman"/>
      <w:b/>
      <w:bCs/>
      <w:sz w:val="32"/>
      <w:szCs w:val="32"/>
    </w:rPr>
  </w:style>
  <w:style w:type="character" w:customStyle="1" w:styleId="51">
    <w:name w:val="fontstyle01"/>
    <w:qFormat/>
    <w:uiPriority w:val="0"/>
    <w:rPr>
      <w:rFonts w:hint="default" w:ascii="FZFSK--GBK1-0" w:hAnsi="FZFSK--GBK1-0"/>
      <w:color w:val="000000"/>
      <w:sz w:val="32"/>
      <w:szCs w:val="32"/>
    </w:rPr>
  </w:style>
  <w:style w:type="character" w:customStyle="1" w:styleId="52">
    <w:name w:val="正文文本缩进 字符1"/>
    <w:semiHidden/>
    <w:qFormat/>
    <w:uiPriority w:val="99"/>
    <w:rPr>
      <w:kern w:val="2"/>
      <w:sz w:val="21"/>
      <w:szCs w:val="22"/>
    </w:rPr>
  </w:style>
  <w:style w:type="character" w:customStyle="1" w:styleId="53">
    <w:name w:val="正文文本 Char"/>
    <w:semiHidden/>
    <w:qFormat/>
    <w:uiPriority w:val="99"/>
    <w:rPr>
      <w:kern w:val="2"/>
      <w:sz w:val="21"/>
      <w:szCs w:val="22"/>
    </w:rPr>
  </w:style>
  <w:style w:type="character" w:customStyle="1" w:styleId="54">
    <w:name w:val="尾注文本 Char"/>
    <w:qFormat/>
    <w:uiPriority w:val="99"/>
    <w:rPr>
      <w:rFonts w:ascii="Times New Roman" w:hAnsi="Times New Roman"/>
      <w:kern w:val="2"/>
      <w:sz w:val="21"/>
      <w:szCs w:val="22"/>
    </w:rPr>
  </w:style>
  <w:style w:type="character" w:customStyle="1" w:styleId="55">
    <w:name w:val="脚注文本 字符"/>
    <w:qFormat/>
    <w:uiPriority w:val="0"/>
    <w:rPr>
      <w:kern w:val="2"/>
      <w:sz w:val="18"/>
      <w:szCs w:val="18"/>
    </w:rPr>
  </w:style>
  <w:style w:type="character" w:customStyle="1" w:styleId="56">
    <w:name w:val="图表名 Char"/>
    <w:link w:val="57"/>
    <w:qFormat/>
    <w:uiPriority w:val="0"/>
    <w:rPr>
      <w:rFonts w:ascii="宋体" w:hAnsi="宋体" w:eastAsia="楷体"/>
      <w:b/>
      <w:kern w:val="2"/>
      <w:sz w:val="18"/>
      <w:szCs w:val="22"/>
    </w:rPr>
  </w:style>
  <w:style w:type="paragraph" w:customStyle="1" w:styleId="57">
    <w:name w:val="图表名"/>
    <w:basedOn w:val="1"/>
    <w:link w:val="56"/>
    <w:qFormat/>
    <w:uiPriority w:val="0"/>
    <w:pPr>
      <w:ind w:firstLine="200"/>
      <w:jc w:val="center"/>
    </w:pPr>
    <w:rPr>
      <w:rFonts w:ascii="宋体" w:hAnsi="宋体" w:eastAsia="楷体"/>
      <w:b/>
      <w:sz w:val="18"/>
    </w:rPr>
  </w:style>
  <w:style w:type="character" w:customStyle="1" w:styleId="58">
    <w:name w:val="表格文字 Char"/>
    <w:link w:val="59"/>
    <w:qFormat/>
    <w:uiPriority w:val="0"/>
    <w:rPr>
      <w:rFonts w:ascii="等线" w:hAnsi="等线" w:eastAsia="楷体"/>
      <w:kern w:val="2"/>
      <w:sz w:val="21"/>
      <w:szCs w:val="22"/>
    </w:rPr>
  </w:style>
  <w:style w:type="paragraph" w:customStyle="1" w:styleId="59">
    <w:name w:val="表格文字"/>
    <w:basedOn w:val="60"/>
    <w:link w:val="58"/>
    <w:qFormat/>
    <w:uiPriority w:val="0"/>
    <w:pPr>
      <w:spacing w:line="240" w:lineRule="exact"/>
    </w:pPr>
    <w:rPr>
      <w:rFonts w:eastAsia="楷体"/>
    </w:rPr>
  </w:style>
  <w:style w:type="paragraph" w:customStyle="1" w:styleId="60">
    <w:name w:val="表名图名"/>
    <w:basedOn w:val="1"/>
    <w:qFormat/>
    <w:uiPriority w:val="0"/>
    <w:pPr>
      <w:spacing w:line="280" w:lineRule="exact"/>
      <w:jc w:val="center"/>
    </w:pPr>
    <w:rPr>
      <w:rFonts w:ascii="等线" w:hAnsi="等线" w:eastAsia="仿宋"/>
    </w:rPr>
  </w:style>
  <w:style w:type="paragraph" w:customStyle="1" w:styleId="61">
    <w:name w:val="Table Paragraph"/>
    <w:basedOn w:val="1"/>
    <w:qFormat/>
    <w:uiPriority w:val="1"/>
    <w:pPr>
      <w:jc w:val="center"/>
    </w:pPr>
    <w:rPr>
      <w:rFonts w:ascii="楷体" w:hAnsi="楷体" w:eastAsia="楷体" w:cs="楷体"/>
    </w:rPr>
  </w:style>
  <w:style w:type="paragraph" w:customStyle="1" w:styleId="62">
    <w:name w:val="WPSOffice手动目录 2"/>
    <w:qFormat/>
    <w:uiPriority w:val="0"/>
    <w:pPr>
      <w:ind w:leftChars="200"/>
    </w:pPr>
    <w:rPr>
      <w:rFonts w:ascii="Times New Roman" w:hAnsi="Times New Roman" w:eastAsia="宋体" w:cs="Times New Roman"/>
      <w:lang w:val="en-US" w:eastAsia="zh-CN" w:bidi="ar-SA"/>
    </w:rPr>
  </w:style>
  <w:style w:type="paragraph" w:customStyle="1" w:styleId="63">
    <w:name w:val=" Char"/>
    <w:basedOn w:val="1"/>
    <w:qFormat/>
    <w:uiPriority w:val="0"/>
    <w:pPr>
      <w:widowControl/>
      <w:spacing w:after="160" w:line="240" w:lineRule="exact"/>
      <w:jc w:val="left"/>
    </w:pPr>
    <w:rPr>
      <w:rFonts w:ascii="Calibri" w:hAnsi="Calibri" w:eastAsia="宋体"/>
    </w:rPr>
  </w:style>
  <w:style w:type="paragraph" w:customStyle="1" w:styleId="64">
    <w:name w:val="B 正文"/>
    <w:basedOn w:val="1"/>
    <w:qFormat/>
    <w:uiPriority w:val="0"/>
    <w:pPr>
      <w:spacing w:line="520" w:lineRule="exact"/>
      <w:ind w:firstLine="482"/>
    </w:pPr>
    <w:rPr>
      <w:rFonts w:ascii="华文细黑" w:hAnsi="华文细黑" w:eastAsia="华文细黑"/>
      <w:sz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列出段落1"/>
    <w:basedOn w:val="1"/>
    <w:qFormat/>
    <w:uiPriority w:val="34"/>
    <w:pPr>
      <w:ind w:firstLine="420"/>
    </w:pPr>
  </w:style>
  <w:style w:type="paragraph" w:styleId="67">
    <w:name w:val="List Paragraph"/>
    <w:basedOn w:val="1"/>
    <w:qFormat/>
    <w:uiPriority w:val="34"/>
    <w:pPr>
      <w:ind w:firstLine="420"/>
    </w:pPr>
  </w:style>
  <w:style w:type="paragraph" w:customStyle="1" w:styleId="68">
    <w:name w:val="正文1"/>
    <w:qFormat/>
    <w:uiPriority w:val="0"/>
    <w:pPr>
      <w:jc w:val="both"/>
    </w:pPr>
    <w:rPr>
      <w:rFonts w:ascii="Calibri" w:hAnsi="Calibri" w:eastAsia="宋体" w:cs="Calibri"/>
      <w:kern w:val="2"/>
      <w:sz w:val="21"/>
      <w:szCs w:val="21"/>
      <w:lang w:val="en-US" w:eastAsia="zh-CN" w:bidi="ar-SA"/>
    </w:rPr>
  </w:style>
  <w:style w:type="paragraph" w:customStyle="1" w:styleId="69">
    <w:name w:val="p0"/>
    <w:basedOn w:val="1"/>
    <w:qFormat/>
    <w:uiPriority w:val="0"/>
    <w:pPr>
      <w:widowControl/>
    </w:pPr>
    <w:rPr>
      <w:rFonts w:eastAsia="宋体"/>
      <w:kern w:val="0"/>
      <w:szCs w:val="21"/>
    </w:rPr>
  </w:style>
  <w:style w:type="paragraph" w:customStyle="1" w:styleId="70">
    <w:name w:val="Revision"/>
    <w:unhideWhenUsed/>
    <w:qFormat/>
    <w:uiPriority w:val="99"/>
    <w:rPr>
      <w:rFonts w:ascii="Times New Roman" w:hAnsi="Times New Roman" w:eastAsia="Songti SC" w:cs="Times New Roman"/>
      <w:kern w:val="2"/>
      <w:sz w:val="32"/>
      <w:szCs w:val="22"/>
      <w:lang w:val="en-US" w:eastAsia="zh-CN" w:bidi="ar-SA"/>
    </w:rPr>
  </w:style>
  <w:style w:type="paragraph" w:customStyle="1" w:styleId="71">
    <w:name w:val="正文样式2"/>
    <w:basedOn w:val="1"/>
    <w:qFormat/>
    <w:uiPriority w:val="0"/>
    <w:pPr>
      <w:spacing w:line="600" w:lineRule="exact"/>
      <w:ind w:firstLine="640"/>
    </w:pPr>
    <w:rPr>
      <w:rFonts w:eastAsia="方正仿宋_GBK"/>
      <w:szCs w:val="36"/>
    </w:rPr>
  </w:style>
  <w:style w:type="character" w:customStyle="1" w:styleId="72">
    <w:name w:val="批注文字 字符"/>
    <w:link w:val="17"/>
    <w:qFormat/>
    <w:uiPriority w:val="99"/>
    <w:rPr>
      <w:rFonts w:eastAsia="仿宋_GB2312"/>
      <w:kern w:val="2"/>
      <w:sz w:val="32"/>
      <w:szCs w:val="22"/>
    </w:rPr>
  </w:style>
  <w:style w:type="character" w:customStyle="1" w:styleId="73">
    <w:name w:val="批注主题 字符"/>
    <w:link w:val="28"/>
    <w:semiHidden/>
    <w:qFormat/>
    <w:uiPriority w:val="99"/>
    <w:rPr>
      <w:rFonts w:eastAsia="仿宋_GB2312"/>
      <w:b/>
      <w:bCs/>
      <w:kern w:val="2"/>
      <w:sz w:val="3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7807d8-13f9-4db5-9975-b5eebfaf1d6c}">
  <ds:schemaRefs/>
</ds:datastoreItem>
</file>

<file path=docProps/app.xml><?xml version="1.0" encoding="utf-8"?>
<Properties xmlns="http://schemas.openxmlformats.org/officeDocument/2006/extended-properties" xmlns:vt="http://schemas.openxmlformats.org/officeDocument/2006/docPropsVTypes">
  <Template>Normal</Template>
  <Pages>44</Pages>
  <Words>5109</Words>
  <Characters>5266</Characters>
  <Lines>1026</Lines>
  <Paragraphs>682</Paragraphs>
  <TotalTime>1</TotalTime>
  <ScaleCrop>false</ScaleCrop>
  <LinksUpToDate>false</LinksUpToDate>
  <CharactersWithSpaces>5324</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2025-01-22T12:25:00Z</dcterms:created>
  <dc:creator>zby</dc:creator>
  <cp:lastModifiedBy>lenovo</cp:lastModifiedBy>
  <cp:lastPrinted>2026-08-26T18:08:00Z</cp:lastPrinted>
  <dcterms:modified xsi:type="dcterms:W3CDTF">2026-08-26T10:53:26Z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EDD950FFB823494F976CF67AA34D4BC0_13</vt:lpwstr>
  </property>
  <property fmtid="{D5CDD505-2E9C-101B-9397-08002B2CF9AE}" pid="4" name="KSOTemplateDocerSaveRecord">
    <vt:lpwstr>eyJoZGlkIjoiODliYWVjMDRhNDk2ZDhkYjY1YTBmODZmZDdhNzg1OWQiLCJ1c2VySWQiOiIzMTY5OTk2NTgifQ==</vt:lpwstr>
  </property>
</Properties>
</file>