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012D2">
      <w:pPr>
        <w:overflowPunct w:val="0"/>
        <w:spacing w:line="560" w:lineRule="exact"/>
        <w:jc w:val="center"/>
        <w:rPr>
          <w:rFonts w:hint="eastAsia" w:ascii="方正小标宋_GBK" w:hAnsi="方正小标宋_GBK" w:eastAsia="方正小标宋_GBK"/>
          <w:sz w:val="44"/>
          <w:szCs w:val="44"/>
          <w:highlight w:val="none"/>
        </w:rPr>
      </w:pPr>
      <w:r>
        <w:rPr>
          <w:rFonts w:hint="eastAsia" w:ascii="方正小标宋_GBK" w:hAnsi="方正小标宋_GBK" w:eastAsia="方正小标宋_GBK"/>
          <w:sz w:val="44"/>
          <w:szCs w:val="44"/>
          <w:highlight w:val="none"/>
          <w:lang w:val="en-US" w:eastAsia="zh-CN"/>
        </w:rPr>
        <w:t>喀什地区</w:t>
      </w:r>
      <w:r>
        <w:rPr>
          <w:rFonts w:ascii="方正小标宋_GBK" w:hAnsi="方正小标宋_GBK" w:eastAsia="方正小标宋_GBK"/>
          <w:sz w:val="44"/>
          <w:szCs w:val="44"/>
          <w:highlight w:val="none"/>
        </w:rPr>
        <w:t>国有农用地公开交易流程</w:t>
      </w:r>
      <w:r>
        <w:rPr>
          <w:rFonts w:hint="eastAsia" w:ascii="方正小标宋_GBK" w:hAnsi="方正小标宋_GBK" w:eastAsia="方正小标宋_GBK"/>
          <w:sz w:val="44"/>
          <w:szCs w:val="44"/>
          <w:highlight w:val="none"/>
        </w:rPr>
        <w:t>（试行）</w:t>
      </w:r>
    </w:p>
    <w:p w14:paraId="57BB9E1B">
      <w:pPr>
        <w:overflowPunct w:val="0"/>
        <w:spacing w:line="560" w:lineRule="exact"/>
        <w:jc w:val="center"/>
        <w:rPr>
          <w:rFonts w:hint="eastAsia" w:ascii="方正小标宋_GBK" w:hAnsi="方正小标宋_GBK" w:eastAsia="方正小标宋_GBK"/>
          <w:sz w:val="44"/>
          <w:szCs w:val="44"/>
          <w:highlight w:val="none"/>
        </w:rPr>
      </w:pPr>
      <w:r>
        <w:rPr>
          <w:rFonts w:hint="eastAsia" w:ascii="方正小标宋_GBK" w:hAnsi="方正小标宋_GBK" w:eastAsia="方正小标宋_GBK"/>
          <w:sz w:val="44"/>
          <w:szCs w:val="44"/>
          <w:highlight w:val="none"/>
        </w:rPr>
        <w:t>（</w:t>
      </w:r>
      <w:r>
        <w:rPr>
          <w:rFonts w:hint="eastAsia" w:ascii="方正小标宋_GBK" w:hAnsi="方正小标宋_GBK" w:eastAsia="方正小标宋_GBK"/>
          <w:sz w:val="44"/>
          <w:szCs w:val="44"/>
          <w:highlight w:val="none"/>
          <w:lang w:val="en-US" w:eastAsia="zh-CN"/>
        </w:rPr>
        <w:t>公开</w:t>
      </w:r>
      <w:r>
        <w:rPr>
          <w:rFonts w:hint="eastAsia" w:ascii="方正小标宋_GBK" w:hAnsi="方正小标宋_GBK" w:eastAsia="方正小标宋_GBK"/>
          <w:sz w:val="44"/>
          <w:szCs w:val="44"/>
          <w:highlight w:val="none"/>
        </w:rPr>
        <w:t>征求意见稿）</w:t>
      </w:r>
    </w:p>
    <w:p w14:paraId="437FFA5B">
      <w:pPr>
        <w:overflowPunct w:val="0"/>
        <w:spacing w:line="560" w:lineRule="exact"/>
        <w:rPr>
          <w:rFonts w:eastAsia="方正仿宋_GBK"/>
          <w:highlight w:val="none"/>
        </w:rPr>
      </w:pPr>
    </w:p>
    <w:p w14:paraId="1313BA03">
      <w:pPr>
        <w:overflowPunct w:val="0"/>
        <w:spacing w:line="560" w:lineRule="exact"/>
        <w:ind w:firstLine="632" w:firstLineChars="200"/>
        <w:rPr>
          <w:rFonts w:eastAsia="方正仿宋_GBK"/>
          <w:highlight w:val="none"/>
        </w:rPr>
      </w:pPr>
      <w:r>
        <w:rPr>
          <w:rFonts w:eastAsia="方正仿宋_GBK"/>
          <w:highlight w:val="none"/>
        </w:rPr>
        <w:t>为规范国有农用地</w:t>
      </w:r>
      <w:r>
        <w:rPr>
          <w:rFonts w:hint="eastAsia" w:eastAsia="方正仿宋_GBK"/>
          <w:highlight w:val="none"/>
          <w:lang w:val="en-US" w:eastAsia="zh-CN"/>
        </w:rPr>
        <w:t>承</w:t>
      </w:r>
      <w:r>
        <w:rPr>
          <w:rFonts w:eastAsia="方正仿宋_GBK"/>
          <w:highlight w:val="none"/>
        </w:rPr>
        <w:t>发包、经营权流转等经营活动，依据</w:t>
      </w:r>
      <w:r>
        <w:rPr>
          <w:rFonts w:hint="eastAsia" w:eastAsia="方正仿宋_GBK"/>
          <w:highlight w:val="none"/>
          <w:lang w:eastAsia="zh-CN"/>
        </w:rPr>
        <w:t>《</w:t>
      </w:r>
      <w:r>
        <w:rPr>
          <w:rFonts w:hint="eastAsia" w:eastAsia="方正仿宋_GBK"/>
          <w:highlight w:val="none"/>
          <w:lang w:val="en-US" w:eastAsia="zh-CN"/>
        </w:rPr>
        <w:t>中华人民共和国民法典</w:t>
      </w:r>
      <w:r>
        <w:rPr>
          <w:rFonts w:hint="eastAsia" w:eastAsia="方正仿宋_GBK"/>
          <w:highlight w:val="none"/>
          <w:lang w:eastAsia="zh-CN"/>
        </w:rPr>
        <w:t>》</w:t>
      </w:r>
      <w:r>
        <w:rPr>
          <w:rFonts w:eastAsia="方正仿宋_GBK"/>
          <w:highlight w:val="none"/>
        </w:rPr>
        <w:t>《新疆维吾尔自治区人民政府办公厅关于加强和规范国有农用地管理的指导意见》（新政办发〔2025〕44号）、《新疆维吾尔自治区农村产权流转交易管理办法（试行）》（新农政改规〔2024〕1号）等法律法规和政策文件，坚持</w:t>
      </w:r>
      <w:r>
        <w:rPr>
          <w:rFonts w:hint="eastAsia" w:eastAsia="方正仿宋_GBK"/>
          <w:highlight w:val="none"/>
          <w:lang w:eastAsia="zh-CN"/>
        </w:rPr>
        <w:t>“</w:t>
      </w:r>
      <w:r>
        <w:rPr>
          <w:rFonts w:eastAsia="方正仿宋_GBK"/>
          <w:highlight w:val="none"/>
        </w:rPr>
        <w:t>统一管理、权责清晰、规范高效、公开透明</w:t>
      </w:r>
      <w:r>
        <w:rPr>
          <w:rFonts w:hint="eastAsia" w:eastAsia="方正仿宋_GBK"/>
          <w:highlight w:val="none"/>
          <w:lang w:eastAsia="zh-CN"/>
        </w:rPr>
        <w:t>”</w:t>
      </w:r>
      <w:r>
        <w:rPr>
          <w:rFonts w:eastAsia="方正仿宋_GBK"/>
          <w:highlight w:val="none"/>
        </w:rPr>
        <w:t>原则，</w:t>
      </w:r>
      <w:r>
        <w:rPr>
          <w:rFonts w:hint="eastAsia" w:eastAsia="方正仿宋_GBK"/>
          <w:highlight w:val="none"/>
          <w:lang w:val="en-US" w:eastAsia="zh-CN"/>
        </w:rPr>
        <w:t>喀什地区</w:t>
      </w:r>
      <w:r>
        <w:rPr>
          <w:rFonts w:eastAsia="方正仿宋_GBK"/>
          <w:highlight w:val="none"/>
        </w:rPr>
        <w:t>国有农用地公开交易应严格遵循以下全流程制度。</w:t>
      </w:r>
    </w:p>
    <w:p w14:paraId="3561CD12">
      <w:pPr>
        <w:overflowPunct w:val="0"/>
        <w:spacing w:line="560" w:lineRule="exact"/>
        <w:ind w:firstLine="632" w:firstLineChars="200"/>
        <w:rPr>
          <w:rFonts w:eastAsia="方正仿宋_GBK"/>
          <w:highlight w:val="none"/>
        </w:rPr>
      </w:pPr>
      <w:r>
        <w:rPr>
          <w:rFonts w:eastAsia="方正仿宋_GBK"/>
          <w:highlight w:val="none"/>
        </w:rPr>
        <w:t>发包主体（经县市人民政府</w:t>
      </w:r>
      <w:r>
        <w:rPr>
          <w:rFonts w:hint="eastAsia" w:eastAsia="方正仿宋_GBK"/>
          <w:highlight w:val="none"/>
        </w:rPr>
        <w:t>明确</w:t>
      </w:r>
      <w:r>
        <w:rPr>
          <w:rFonts w:eastAsia="方正仿宋_GBK"/>
          <w:highlight w:val="none"/>
        </w:rPr>
        <w:t>的自然资源部门</w:t>
      </w:r>
      <w:r>
        <w:rPr>
          <w:rFonts w:hint="eastAsia" w:eastAsia="方正仿宋_GBK"/>
          <w:highlight w:val="none"/>
        </w:rPr>
        <w:t>或</w:t>
      </w:r>
      <w:r>
        <w:rPr>
          <w:rFonts w:eastAsia="方正仿宋_GBK"/>
          <w:highlight w:val="none"/>
        </w:rPr>
        <w:t>林草部门）应根据已批准的发包计划，对计划内地块逐宗开展公开交易相关工作。具体流程如下：</w:t>
      </w:r>
    </w:p>
    <w:p w14:paraId="4DB242AC">
      <w:pPr>
        <w:overflowPunct w:val="0"/>
        <w:spacing w:line="560" w:lineRule="exact"/>
        <w:ind w:firstLine="632" w:firstLineChars="200"/>
        <w:rPr>
          <w:rFonts w:eastAsia="方正黑体_GBK"/>
          <w:highlight w:val="none"/>
        </w:rPr>
      </w:pPr>
      <w:r>
        <w:rPr>
          <w:rFonts w:eastAsia="方正黑体_GBK"/>
          <w:highlight w:val="none"/>
        </w:rPr>
        <w:t>一、原承包人合同履行情况联合认定</w:t>
      </w:r>
    </w:p>
    <w:p w14:paraId="0CF5FAD0">
      <w:pPr>
        <w:overflowPunct w:val="0"/>
        <w:spacing w:line="560" w:lineRule="exact"/>
        <w:ind w:firstLine="632" w:firstLineChars="200"/>
        <w:rPr>
          <w:rFonts w:eastAsia="方正仿宋_GBK"/>
          <w:highlight w:val="none"/>
        </w:rPr>
      </w:pPr>
      <w:r>
        <w:rPr>
          <w:rFonts w:eastAsia="方正仿宋_GBK"/>
          <w:highlight w:val="none"/>
        </w:rPr>
        <w:t>发包主体会同自然资源、林草、水利等部门及乡（镇）人民政府、村民委员会，对原承包合同履行情况进行联合认定。</w:t>
      </w:r>
    </w:p>
    <w:p w14:paraId="48952C46">
      <w:pPr>
        <w:overflowPunct w:val="0"/>
        <w:spacing w:line="560" w:lineRule="exact"/>
        <w:ind w:firstLine="632" w:firstLineChars="200"/>
        <w:rPr>
          <w:rFonts w:eastAsia="方正仿宋_GBK"/>
          <w:highlight w:val="none"/>
        </w:rPr>
      </w:pPr>
      <w:r>
        <w:rPr>
          <w:rFonts w:eastAsia="方正仿宋_GBK"/>
          <w:highlight w:val="none"/>
        </w:rPr>
        <w:t>自然资源部门负责审核合同签订程序是否合规、合同主体是否适格、承包面积是否准确</w:t>
      </w:r>
      <w:r>
        <w:rPr>
          <w:rFonts w:hint="eastAsia" w:eastAsia="方正仿宋_GBK"/>
          <w:highlight w:val="none"/>
          <w:lang w:eastAsia="zh-CN"/>
        </w:rPr>
        <w:t>、</w:t>
      </w:r>
      <w:r>
        <w:rPr>
          <w:rFonts w:eastAsia="方正仿宋_GBK"/>
          <w:highlight w:val="none"/>
        </w:rPr>
        <w:t>是否闲置荒芜、</w:t>
      </w:r>
      <w:r>
        <w:rPr>
          <w:rFonts w:hint="eastAsia" w:eastAsia="方正仿宋_GBK"/>
          <w:highlight w:val="none"/>
          <w:lang w:val="en-US" w:eastAsia="zh-CN"/>
        </w:rPr>
        <w:t>是否</w:t>
      </w:r>
      <w:r>
        <w:rPr>
          <w:rFonts w:eastAsia="方正仿宋_GBK"/>
          <w:highlight w:val="none"/>
        </w:rPr>
        <w:t>履行耕地保护义务</w:t>
      </w:r>
      <w:r>
        <w:rPr>
          <w:rFonts w:hint="eastAsia" w:eastAsia="方正仿宋_GBK"/>
          <w:highlight w:val="none"/>
          <w:lang w:val="en-US" w:eastAsia="zh-CN"/>
        </w:rPr>
        <w:t>等</w:t>
      </w:r>
      <w:r>
        <w:rPr>
          <w:rFonts w:eastAsia="方正仿宋_GBK"/>
          <w:highlight w:val="none"/>
        </w:rPr>
        <w:t>情况；林草部门负责审核涉及林地、草地的承包合同履行情况及生态保护要求执行情况；水利部门负责审核用水许可执行情况、水费缴纳情况、灌溉设施维护情况；乡镇人民政府负责提供承包期内日常监管记录；村民委员会负责出具实际经营情况意见。各部门应在收到审核材料后10个工作日内出具书面审核意见。</w:t>
      </w:r>
    </w:p>
    <w:p w14:paraId="59BBAAE5">
      <w:pPr>
        <w:overflowPunct w:val="0"/>
        <w:spacing w:line="560" w:lineRule="exact"/>
        <w:ind w:firstLine="632" w:firstLineChars="200"/>
        <w:rPr>
          <w:rFonts w:eastAsia="方正仿宋_GBK"/>
          <w:highlight w:val="none"/>
        </w:rPr>
      </w:pPr>
      <w:r>
        <w:rPr>
          <w:rFonts w:eastAsia="方正仿宋_GBK"/>
          <w:highlight w:val="none"/>
        </w:rPr>
        <w:t>发包主体汇总各部门及乡镇、村意见后，形成综合认定结论，明确原承包人是否能够履行合同义务、是否存在违约记录、是否享有优先承包权。认定结果在地块所在乡镇、村进行公示，公示期不少于5个工作日。公示无异议后，正式出具《原承包人合同履行情况认定书》。</w:t>
      </w:r>
    </w:p>
    <w:p w14:paraId="0A434FA2">
      <w:pPr>
        <w:overflowPunct w:val="0"/>
        <w:spacing w:line="560" w:lineRule="exact"/>
        <w:ind w:firstLine="632" w:firstLineChars="200"/>
        <w:rPr>
          <w:rFonts w:eastAsia="方正黑体_GBK"/>
          <w:highlight w:val="none"/>
        </w:rPr>
      </w:pPr>
      <w:r>
        <w:rPr>
          <w:rFonts w:eastAsia="方正黑体_GBK"/>
          <w:highlight w:val="none"/>
        </w:rPr>
        <w:t>二、原承包人告知</w:t>
      </w:r>
    </w:p>
    <w:p w14:paraId="247A3094">
      <w:pPr>
        <w:overflowPunct w:val="0"/>
        <w:spacing w:line="560" w:lineRule="exact"/>
        <w:ind w:firstLine="632" w:firstLineChars="200"/>
        <w:rPr>
          <w:rFonts w:eastAsia="方正仿宋_GBK"/>
          <w:highlight w:val="none"/>
        </w:rPr>
      </w:pPr>
      <w:r>
        <w:rPr>
          <w:rFonts w:eastAsia="方正仿宋_GBK"/>
          <w:highlight w:val="none"/>
        </w:rPr>
        <w:t>发包主体应向原承包人发出书面《国有农用地公开交易优先承包权告知书》，书面告知以下内容：</w:t>
      </w:r>
    </w:p>
    <w:p w14:paraId="51F6F61C">
      <w:pPr>
        <w:overflowPunct w:val="0"/>
        <w:spacing w:line="560" w:lineRule="exact"/>
        <w:ind w:firstLine="632" w:firstLineChars="200"/>
        <w:rPr>
          <w:rFonts w:eastAsia="方正仿宋_GBK"/>
          <w:highlight w:val="none"/>
        </w:rPr>
      </w:pPr>
      <w:r>
        <w:rPr>
          <w:rFonts w:eastAsia="方正仿宋_GBK"/>
          <w:highlight w:val="none"/>
        </w:rPr>
        <w:t>1.拟交易地块的基本信息、拟交易时间、交易平台及流程；</w:t>
      </w:r>
    </w:p>
    <w:p w14:paraId="0A4C7F72">
      <w:pPr>
        <w:overflowPunct w:val="0"/>
        <w:spacing w:line="560" w:lineRule="exact"/>
        <w:ind w:firstLine="632" w:firstLineChars="200"/>
        <w:rPr>
          <w:rFonts w:eastAsia="方正仿宋_GBK"/>
          <w:highlight w:val="none"/>
        </w:rPr>
      </w:pPr>
      <w:r>
        <w:rPr>
          <w:rFonts w:eastAsia="方正仿宋_GBK"/>
          <w:highlight w:val="none"/>
        </w:rPr>
        <w:t>2.原承包人享有的优先承包权及行使条件、行使方式；</w:t>
      </w:r>
    </w:p>
    <w:p w14:paraId="33C1E1C7">
      <w:pPr>
        <w:overflowPunct w:val="0"/>
        <w:spacing w:line="560" w:lineRule="exact"/>
        <w:ind w:firstLine="632" w:firstLineChars="200"/>
        <w:rPr>
          <w:rFonts w:eastAsia="方正仿宋_GBK"/>
          <w:highlight w:val="none"/>
        </w:rPr>
      </w:pPr>
      <w:r>
        <w:rPr>
          <w:rFonts w:eastAsia="方正仿宋_GBK"/>
          <w:highlight w:val="none"/>
        </w:rPr>
        <w:t>3.要求原承包人在收到告知书后规定期限内书面回复是否参与竞买或放弃优先承包权；</w:t>
      </w:r>
    </w:p>
    <w:p w14:paraId="2FFF4CF6">
      <w:pPr>
        <w:overflowPunct w:val="0"/>
        <w:spacing w:line="560" w:lineRule="exact"/>
        <w:ind w:firstLine="632" w:firstLineChars="200"/>
        <w:rPr>
          <w:rFonts w:eastAsia="方正仿宋_GBK"/>
          <w:highlight w:val="none"/>
        </w:rPr>
      </w:pPr>
      <w:r>
        <w:rPr>
          <w:rFonts w:eastAsia="方正仿宋_GBK"/>
          <w:highlight w:val="none"/>
        </w:rPr>
        <w:t>4.</w:t>
      </w:r>
      <w:r>
        <w:rPr>
          <w:rFonts w:hint="eastAsia" w:eastAsia="方正仿宋_GBK"/>
          <w:highlight w:val="none"/>
          <w:lang w:val="en-US" w:eastAsia="zh-CN"/>
        </w:rPr>
        <w:t>要求</w:t>
      </w:r>
      <w:r>
        <w:rPr>
          <w:rFonts w:eastAsia="方正仿宋_GBK"/>
          <w:highlight w:val="none"/>
        </w:rPr>
        <w:t>原承包人应及时提交有效投入证明材料，明确申报时限、申报范围及具体要求，并说明逾期未提交或提交材料不完整导致无法认定的后果由原承包人自行承担；</w:t>
      </w:r>
    </w:p>
    <w:p w14:paraId="70383FA6">
      <w:pPr>
        <w:overflowPunct w:val="0"/>
        <w:spacing w:line="560" w:lineRule="exact"/>
        <w:ind w:firstLine="632" w:firstLineChars="200"/>
        <w:rPr>
          <w:rFonts w:eastAsia="方正仿宋_GBK"/>
          <w:highlight w:val="none"/>
        </w:rPr>
      </w:pPr>
      <w:r>
        <w:rPr>
          <w:rFonts w:eastAsia="方正仿宋_GBK"/>
          <w:highlight w:val="none"/>
        </w:rPr>
        <w:t>5.明确告知原承包人未能成功竞买时有效投入的处置方式和补偿程序；</w:t>
      </w:r>
    </w:p>
    <w:p w14:paraId="1F595D7F">
      <w:pPr>
        <w:overflowPunct w:val="0"/>
        <w:spacing w:line="560" w:lineRule="exact"/>
        <w:ind w:firstLine="632" w:firstLineChars="200"/>
        <w:rPr>
          <w:rFonts w:eastAsia="方正仿宋_GBK"/>
          <w:highlight w:val="none"/>
        </w:rPr>
      </w:pPr>
      <w:r>
        <w:rPr>
          <w:rFonts w:hint="default" w:ascii="Times New Roman" w:hAnsi="Times New Roman" w:eastAsia="方正仿宋_GBK" w:cs="Times New Roman"/>
          <w:sz w:val="32"/>
          <w:szCs w:val="32"/>
          <w:highlight w:val="none"/>
          <w:lang w:val="en-US" w:eastAsia="zh-CN"/>
        </w:rPr>
        <w:t>6.告知原承包人有效投入将由评估机构进行评估，评估报告形成后将征求原承包人意见；</w:t>
      </w:r>
    </w:p>
    <w:p w14:paraId="38EEABAE">
      <w:pPr>
        <w:overflowPunct w:val="0"/>
        <w:spacing w:line="560" w:lineRule="exact"/>
        <w:ind w:firstLine="632" w:firstLineChars="200"/>
        <w:rPr>
          <w:rFonts w:eastAsia="方正仿宋_GBK"/>
          <w:highlight w:val="none"/>
        </w:rPr>
      </w:pPr>
      <w:r>
        <w:rPr>
          <w:rFonts w:hint="eastAsia" w:eastAsia="方正仿宋_GBK"/>
          <w:highlight w:val="none"/>
          <w:lang w:val="en-US" w:eastAsia="zh-CN"/>
        </w:rPr>
        <w:t>7</w:t>
      </w:r>
      <w:r>
        <w:rPr>
          <w:rFonts w:eastAsia="方正仿宋_GBK"/>
          <w:highlight w:val="none"/>
        </w:rPr>
        <w:t>.逾期未书面回复的，视为放弃优先承包权。</w:t>
      </w:r>
    </w:p>
    <w:p w14:paraId="3C2C5E96">
      <w:pPr>
        <w:overflowPunct w:val="0"/>
        <w:spacing w:line="560" w:lineRule="exact"/>
        <w:ind w:firstLine="632" w:firstLineChars="200"/>
        <w:rPr>
          <w:rFonts w:eastAsia="方正仿宋_GBK"/>
          <w:highlight w:val="none"/>
        </w:rPr>
      </w:pPr>
      <w:r>
        <w:rPr>
          <w:rFonts w:eastAsia="方正仿宋_GBK"/>
          <w:highlight w:val="none"/>
        </w:rPr>
        <w:t>告知书采用书面形式送达原承包人，并留存送达回执。</w:t>
      </w:r>
    </w:p>
    <w:p w14:paraId="54AC02B1">
      <w:pPr>
        <w:overflowPunct w:val="0"/>
        <w:spacing w:line="560" w:lineRule="exact"/>
        <w:ind w:firstLine="632" w:firstLineChars="200"/>
        <w:rPr>
          <w:rFonts w:eastAsia="方正黑体_GBK"/>
          <w:highlight w:val="none"/>
        </w:rPr>
      </w:pPr>
      <w:r>
        <w:rPr>
          <w:rFonts w:eastAsia="方正黑体_GBK"/>
          <w:highlight w:val="none"/>
        </w:rPr>
        <w:t>三、原承包人有效投入申报与认定</w:t>
      </w:r>
    </w:p>
    <w:p w14:paraId="492751BB">
      <w:pPr>
        <w:overflowPunct w:val="0"/>
        <w:spacing w:line="560" w:lineRule="exact"/>
        <w:ind w:firstLine="632" w:firstLineChars="200"/>
        <w:rPr>
          <w:rFonts w:eastAsia="方正仿宋_GBK"/>
          <w:highlight w:val="none"/>
        </w:rPr>
      </w:pPr>
      <w:r>
        <w:rPr>
          <w:rFonts w:eastAsia="方正仿宋_GBK"/>
          <w:highlight w:val="none"/>
        </w:rPr>
        <w:t>原承包人在收到告知书后，应按告知书要求的时限向发包主体提交有效投入书面申报材料，包括投入项目、投入时间、资金凭证、影像资料等。依据《</w:t>
      </w:r>
      <w:r>
        <w:rPr>
          <w:rFonts w:hint="eastAsia" w:eastAsia="方正仿宋_GBK"/>
          <w:highlight w:val="none"/>
        </w:rPr>
        <w:t>中华人民共和国民法典</w:t>
      </w:r>
      <w:r>
        <w:rPr>
          <w:rFonts w:eastAsia="方正仿宋_GBK"/>
          <w:highlight w:val="none"/>
        </w:rPr>
        <w:t>》</w:t>
      </w:r>
      <w:r>
        <w:rPr>
          <w:rFonts w:hint="eastAsia" w:eastAsia="方正仿宋_GBK"/>
          <w:highlight w:val="none"/>
        </w:rPr>
        <w:t>第三百三十八条</w:t>
      </w:r>
      <w:r>
        <w:rPr>
          <w:rFonts w:eastAsia="方正仿宋_GBK"/>
          <w:highlight w:val="none"/>
        </w:rPr>
        <w:t>，承包方对其在承包地上投入而提高土地生产能力的，有权获得相应的补偿。</w:t>
      </w:r>
    </w:p>
    <w:p w14:paraId="6F05A265">
      <w:pPr>
        <w:overflowPunct w:val="0"/>
        <w:spacing w:line="560" w:lineRule="exact"/>
        <w:ind w:firstLine="632" w:firstLineChars="200"/>
        <w:rPr>
          <w:rFonts w:eastAsia="方正仿宋_GBK"/>
          <w:highlight w:val="none"/>
        </w:rPr>
      </w:pPr>
      <w:r>
        <w:rPr>
          <w:rFonts w:eastAsia="方正仿宋_GBK"/>
          <w:highlight w:val="none"/>
        </w:rPr>
        <w:t>发包主体在收到申报材料后10个工作日内完成审核认定，对属于改良土壤、建设灌排设施、修建田间道路、种植多年生经济作物等提高土地生产能力的投入予以认定，并出具书面认定意见。原承包人对其投入的合法性、真实性负责，虚报投入骗取补偿的，依法追究相关责任。</w:t>
      </w:r>
    </w:p>
    <w:p w14:paraId="4F691DC1">
      <w:pPr>
        <w:overflowPunct w:val="0"/>
        <w:spacing w:line="560" w:lineRule="exact"/>
        <w:ind w:firstLine="632" w:firstLineChars="200"/>
        <w:rPr>
          <w:rFonts w:eastAsia="方正仿宋_GBK"/>
          <w:highlight w:val="none"/>
        </w:rPr>
      </w:pPr>
      <w:r>
        <w:rPr>
          <w:rFonts w:hint="eastAsia" w:eastAsia="方正仿宋_GBK"/>
          <w:highlight w:val="none"/>
        </w:rPr>
        <w:t>原承包人对其投入的真实性、合法性负责，虚报投入骗取补偿的，依法追究相关责任。</w:t>
      </w:r>
      <w:r>
        <w:rPr>
          <w:rFonts w:eastAsia="方正仿宋_GBK"/>
          <w:highlight w:val="none"/>
        </w:rPr>
        <w:t>《国有农用地公开交易优先承包权告知书》送达后新增的投入，不予认定。原承包人在告知书要求的期限内未提交或提交材料不完整的，视为放弃投入补偿权利，由此产生的后果由原承包人自行承担。原承包人对投入认定结果有异议的，可向发包主体申请复核一次。</w:t>
      </w:r>
    </w:p>
    <w:p w14:paraId="14FA5337">
      <w:pPr>
        <w:overflowPunct w:val="0"/>
        <w:spacing w:line="560" w:lineRule="exact"/>
        <w:ind w:firstLine="632" w:firstLineChars="200"/>
        <w:rPr>
          <w:rFonts w:hint="default" w:eastAsia="方正黑体_GBK"/>
          <w:highlight w:val="none"/>
          <w:lang w:val="en-US" w:eastAsia="zh-CN"/>
        </w:rPr>
      </w:pPr>
      <w:r>
        <w:rPr>
          <w:rFonts w:hint="eastAsia" w:eastAsia="方正黑体_GBK"/>
          <w:highlight w:val="none"/>
          <w:lang w:val="en-US" w:eastAsia="zh-CN"/>
        </w:rPr>
        <w:t>四</w:t>
      </w:r>
      <w:r>
        <w:rPr>
          <w:rFonts w:hint="default" w:eastAsia="方正黑体_GBK"/>
          <w:highlight w:val="none"/>
          <w:lang w:val="en-US" w:eastAsia="zh-CN"/>
        </w:rPr>
        <w:t>、</w:t>
      </w:r>
      <w:r>
        <w:rPr>
          <w:rFonts w:eastAsia="方正黑体_GBK"/>
          <w:highlight w:val="none"/>
        </w:rPr>
        <w:t>原承包人</w:t>
      </w:r>
      <w:r>
        <w:rPr>
          <w:rFonts w:hint="default" w:eastAsia="方正黑体_GBK"/>
          <w:highlight w:val="none"/>
          <w:lang w:val="en-US" w:eastAsia="zh-CN"/>
        </w:rPr>
        <w:t>有效投入评估</w:t>
      </w:r>
    </w:p>
    <w:p w14:paraId="75E0E271">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发包主体</w:t>
      </w:r>
      <w:r>
        <w:rPr>
          <w:rFonts w:hint="default" w:ascii="Times New Roman" w:hAnsi="Times New Roman" w:eastAsia="方正仿宋_GBK" w:cs="Times New Roman"/>
          <w:sz w:val="32"/>
          <w:szCs w:val="32"/>
          <w:highlight w:val="none"/>
          <w:lang w:val="en-US" w:eastAsia="zh-CN"/>
        </w:rPr>
        <w:t>收到原承包人提交的有效投入印证资料后，从</w:t>
      </w:r>
      <w:r>
        <w:rPr>
          <w:rFonts w:hint="eastAsia" w:eastAsia="方正仿宋_GBK" w:cs="Times New Roman"/>
          <w:sz w:val="32"/>
          <w:szCs w:val="32"/>
          <w:highlight w:val="none"/>
          <w:lang w:val="en-US" w:eastAsia="zh-CN"/>
        </w:rPr>
        <w:t>喀什地区</w:t>
      </w:r>
      <w:r>
        <w:rPr>
          <w:rFonts w:hint="default" w:ascii="Times New Roman" w:hAnsi="Times New Roman" w:eastAsia="方正仿宋_GBK" w:cs="Times New Roman"/>
          <w:sz w:val="32"/>
          <w:szCs w:val="32"/>
          <w:highlight w:val="none"/>
          <w:lang w:val="en-US" w:eastAsia="zh-CN"/>
        </w:rPr>
        <w:t>国有农用地评估机构名录中随机抽选具备对应资质的机构</w:t>
      </w:r>
      <w:r>
        <w:rPr>
          <w:rFonts w:hint="eastAsia"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对原承包人的有效投入进行评估。</w:t>
      </w:r>
      <w:r>
        <w:rPr>
          <w:rFonts w:hint="eastAsia" w:eastAsia="方正仿宋_GBK" w:cs="Times New Roman"/>
          <w:sz w:val="32"/>
          <w:szCs w:val="32"/>
          <w:highlight w:val="none"/>
          <w:lang w:val="en-US" w:eastAsia="zh-CN"/>
        </w:rPr>
        <w:t>评估费用由发包主体承担。</w:t>
      </w:r>
    </w:p>
    <w:p w14:paraId="39843EC0">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评估机构对原承包人投入的各项内容进行审核评估，出具《有效投入评估报告》，明确评估价值。</w:t>
      </w:r>
    </w:p>
    <w:p w14:paraId="418DFC1A">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评估报告形成后，</w:t>
      </w:r>
      <w:r>
        <w:rPr>
          <w:rFonts w:hint="eastAsia" w:eastAsia="方正仿宋_GBK" w:cs="Times New Roman"/>
          <w:sz w:val="32"/>
          <w:szCs w:val="32"/>
          <w:highlight w:val="none"/>
          <w:lang w:val="en-US" w:eastAsia="zh-CN"/>
        </w:rPr>
        <w:t>发包主体</w:t>
      </w:r>
      <w:r>
        <w:rPr>
          <w:rFonts w:hint="default" w:ascii="Times New Roman" w:hAnsi="Times New Roman" w:eastAsia="方正仿宋_GBK" w:cs="Times New Roman"/>
          <w:sz w:val="32"/>
          <w:szCs w:val="32"/>
          <w:highlight w:val="none"/>
          <w:lang w:val="en-US" w:eastAsia="zh-CN"/>
        </w:rPr>
        <w:t>将评估结果向原承包人公示，征求原承包人意见。原承包人对评估结果有异议的，可在收到评估报告后</w:t>
      </w:r>
      <w:r>
        <w:rPr>
          <w:rFonts w:hint="eastAsia" w:eastAsia="方正仿宋_GBK" w:cs="Times New Roman"/>
          <w:sz w:val="32"/>
          <w:szCs w:val="32"/>
          <w:highlight w:val="none"/>
          <w:lang w:val="en-US" w:eastAsia="zh-CN"/>
        </w:rPr>
        <w:t>5个工作日</w:t>
      </w:r>
      <w:r>
        <w:rPr>
          <w:rFonts w:hint="default" w:ascii="Times New Roman" w:hAnsi="Times New Roman" w:eastAsia="方正仿宋_GBK" w:cs="Times New Roman"/>
          <w:sz w:val="32"/>
          <w:szCs w:val="32"/>
          <w:highlight w:val="none"/>
          <w:lang w:val="en-US" w:eastAsia="zh-CN"/>
        </w:rPr>
        <w:t>内向</w:t>
      </w:r>
      <w:r>
        <w:rPr>
          <w:rFonts w:hint="eastAsia" w:eastAsia="方正仿宋_GBK" w:cs="Times New Roman"/>
          <w:sz w:val="32"/>
          <w:szCs w:val="32"/>
          <w:highlight w:val="none"/>
          <w:lang w:val="en-US" w:eastAsia="zh-CN"/>
        </w:rPr>
        <w:t>发包主体</w:t>
      </w:r>
      <w:r>
        <w:rPr>
          <w:rFonts w:hint="default" w:ascii="Times New Roman" w:hAnsi="Times New Roman" w:eastAsia="方正仿宋_GBK" w:cs="Times New Roman"/>
          <w:sz w:val="32"/>
          <w:szCs w:val="32"/>
          <w:highlight w:val="none"/>
          <w:lang w:val="en-US" w:eastAsia="zh-CN"/>
        </w:rPr>
        <w:t>申请复核一次。</w:t>
      </w:r>
      <w:r>
        <w:rPr>
          <w:rFonts w:hint="eastAsia" w:eastAsia="方正仿宋_GBK" w:cs="Times New Roman"/>
          <w:sz w:val="32"/>
          <w:szCs w:val="32"/>
          <w:highlight w:val="none"/>
          <w:lang w:val="en-US" w:eastAsia="zh-CN"/>
        </w:rPr>
        <w:t>发包主体</w:t>
      </w:r>
      <w:r>
        <w:rPr>
          <w:rFonts w:hint="default" w:ascii="Times New Roman" w:hAnsi="Times New Roman" w:eastAsia="方正仿宋_GBK" w:cs="Times New Roman"/>
          <w:sz w:val="32"/>
          <w:szCs w:val="32"/>
          <w:highlight w:val="none"/>
          <w:lang w:val="en-US" w:eastAsia="zh-CN"/>
        </w:rPr>
        <w:t>应组织评估机构对异议内容进行复核，并出具复核结果。</w:t>
      </w:r>
    </w:p>
    <w:p w14:paraId="49C0C6D4">
      <w:pPr>
        <w:overflowPunct w:val="0"/>
        <w:spacing w:line="560" w:lineRule="exact"/>
        <w:ind w:firstLine="632" w:firstLineChars="200"/>
        <w:rPr>
          <w:rFonts w:hint="default" w:eastAsia="方正黑体_GBK"/>
          <w:highlight w:val="none"/>
          <w:lang w:val="en-US" w:eastAsia="zh-CN"/>
        </w:rPr>
      </w:pPr>
      <w:r>
        <w:rPr>
          <w:rFonts w:hint="eastAsia" w:eastAsia="方正黑体_GBK"/>
          <w:highlight w:val="none"/>
          <w:lang w:val="en-US" w:eastAsia="zh-CN"/>
        </w:rPr>
        <w:t>五</w:t>
      </w:r>
      <w:r>
        <w:rPr>
          <w:rFonts w:hint="default" w:eastAsia="方正黑体_GBK"/>
          <w:highlight w:val="none"/>
          <w:lang w:val="en-US" w:eastAsia="zh-CN"/>
        </w:rPr>
        <w:t>、补偿协议的起草与确认</w:t>
      </w:r>
    </w:p>
    <w:p w14:paraId="31E69FEA">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评估报告公示无异议或复核完成后，</w:t>
      </w:r>
      <w:r>
        <w:rPr>
          <w:rFonts w:hint="eastAsia" w:eastAsia="方正仿宋_GBK" w:cs="Times New Roman"/>
          <w:sz w:val="32"/>
          <w:szCs w:val="32"/>
          <w:highlight w:val="none"/>
          <w:lang w:val="en-US" w:eastAsia="zh-CN"/>
        </w:rPr>
        <w:t>发包主体</w:t>
      </w:r>
      <w:r>
        <w:rPr>
          <w:rFonts w:hint="default" w:ascii="Times New Roman" w:hAnsi="Times New Roman" w:eastAsia="方正仿宋_GBK" w:cs="Times New Roman"/>
          <w:sz w:val="32"/>
          <w:szCs w:val="32"/>
          <w:highlight w:val="none"/>
          <w:lang w:val="en-US" w:eastAsia="zh-CN"/>
        </w:rPr>
        <w:t>根据评估结果起草《原承包人有效投入补偿协议（草案）》，明确补偿金额、分期方式、支付期限等核心条款，并将协议草案送达原承包人征求意见。</w:t>
      </w:r>
    </w:p>
    <w:p w14:paraId="28CE8C64">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原承包人应在收到协议草案后</w:t>
      </w:r>
      <w:r>
        <w:rPr>
          <w:rFonts w:hint="eastAsia" w:eastAsia="方正仿宋_GBK" w:cs="Times New Roman"/>
          <w:sz w:val="32"/>
          <w:szCs w:val="32"/>
          <w:highlight w:val="none"/>
          <w:lang w:val="en-US" w:eastAsia="zh-CN"/>
        </w:rPr>
        <w:t>5个工作日</w:t>
      </w:r>
      <w:r>
        <w:rPr>
          <w:rFonts w:hint="default" w:ascii="Times New Roman" w:hAnsi="Times New Roman" w:eastAsia="方正仿宋_GBK" w:cs="Times New Roman"/>
          <w:sz w:val="32"/>
          <w:szCs w:val="32"/>
          <w:highlight w:val="none"/>
          <w:lang w:val="en-US" w:eastAsia="zh-CN"/>
        </w:rPr>
        <w:t>内书面反馈确认意见或修改建议。补偿协议将作为交易公告的附件一并公示。原承包人确认补偿协议文本后，发包主体方可进入</w:t>
      </w:r>
      <w:r>
        <w:rPr>
          <w:rFonts w:hint="eastAsia" w:eastAsia="方正仿宋_GBK" w:cs="Times New Roman"/>
          <w:sz w:val="32"/>
          <w:szCs w:val="32"/>
          <w:highlight w:val="none"/>
          <w:lang w:val="en-US" w:eastAsia="zh-CN"/>
        </w:rPr>
        <w:t>发包方案编制审查、报请人民政府审批和获批后实施</w:t>
      </w:r>
      <w:r>
        <w:rPr>
          <w:rFonts w:hint="default" w:ascii="Times New Roman" w:hAnsi="Times New Roman" w:eastAsia="方正仿宋_GBK" w:cs="Times New Roman"/>
          <w:sz w:val="32"/>
          <w:szCs w:val="32"/>
          <w:highlight w:val="none"/>
          <w:lang w:val="en-US" w:eastAsia="zh-CN"/>
        </w:rPr>
        <w:t>环节。</w:t>
      </w:r>
    </w:p>
    <w:p w14:paraId="5591F95E">
      <w:pPr>
        <w:overflowPunct w:val="0"/>
        <w:spacing w:line="560" w:lineRule="exact"/>
        <w:ind w:firstLine="632" w:firstLineChars="200"/>
        <w:rPr>
          <w:rFonts w:eastAsia="方正黑体_GBK"/>
          <w:highlight w:val="none"/>
        </w:rPr>
      </w:pPr>
      <w:r>
        <w:rPr>
          <w:rFonts w:hint="eastAsia" w:eastAsia="方正黑体_GBK"/>
          <w:highlight w:val="none"/>
          <w:lang w:val="en-US" w:eastAsia="zh-CN"/>
        </w:rPr>
        <w:t>六</w:t>
      </w:r>
      <w:r>
        <w:rPr>
          <w:rFonts w:eastAsia="方正黑体_GBK"/>
          <w:highlight w:val="none"/>
        </w:rPr>
        <w:t>、联合审核与方案报批</w:t>
      </w:r>
    </w:p>
    <w:p w14:paraId="2E62D588">
      <w:pPr>
        <w:overflowPunct w:val="0"/>
        <w:spacing w:line="560" w:lineRule="exact"/>
        <w:ind w:firstLine="632" w:firstLineChars="200"/>
        <w:rPr>
          <w:rFonts w:eastAsia="方正仿宋_GBK"/>
          <w:highlight w:val="none"/>
        </w:rPr>
      </w:pPr>
      <w:r>
        <w:rPr>
          <w:rFonts w:hint="eastAsia" w:eastAsia="方正仿宋_GBK" w:cs="Times New Roman"/>
          <w:sz w:val="32"/>
          <w:szCs w:val="32"/>
          <w:highlight w:val="none"/>
          <w:lang w:val="en-US" w:eastAsia="zh-CN"/>
        </w:rPr>
        <w:t>发包主体</w:t>
      </w:r>
      <w:r>
        <w:rPr>
          <w:rFonts w:hint="eastAsia" w:eastAsia="方正仿宋_GBK"/>
          <w:highlight w:val="none"/>
          <w:lang w:val="en-US" w:eastAsia="zh-CN"/>
        </w:rPr>
        <w:t>应及时编制交易方案并报相关</w:t>
      </w:r>
      <w:bookmarkStart w:id="0" w:name="_GoBack"/>
      <w:bookmarkEnd w:id="0"/>
      <w:r>
        <w:rPr>
          <w:rFonts w:eastAsia="方正仿宋_GBK"/>
          <w:highlight w:val="none"/>
        </w:rPr>
        <w:t>部门进行联合审核。各部门应在规定时限内出具书面审核意见。联合审核通过后，由发包主体将交易方案报县市人民政府审批。</w:t>
      </w:r>
    </w:p>
    <w:p w14:paraId="325D7337">
      <w:pPr>
        <w:overflowPunct w:val="0"/>
        <w:spacing w:line="560" w:lineRule="exact"/>
        <w:ind w:firstLine="632" w:firstLineChars="200"/>
        <w:rPr>
          <w:rFonts w:eastAsia="方正仿宋_GBK"/>
          <w:highlight w:val="none"/>
        </w:rPr>
      </w:pPr>
      <w:r>
        <w:rPr>
          <w:rFonts w:eastAsia="方正仿宋_GBK"/>
          <w:highlight w:val="none"/>
        </w:rPr>
        <w:t>交易方案应载明：拟交易地块基本情况、前期工作完成情况、原承包人优先承包权及行使方式、原承包人有效投入处理方案、拟交易方式及底价、</w:t>
      </w:r>
      <w:r>
        <w:rPr>
          <w:rFonts w:hint="eastAsia" w:eastAsia="方正仿宋_GBK"/>
          <w:highlight w:val="none"/>
          <w:lang w:val="en-US" w:eastAsia="zh-CN"/>
        </w:rPr>
        <w:t>承包价格调整周期及机制、</w:t>
      </w:r>
      <w:r>
        <w:rPr>
          <w:rFonts w:eastAsia="方正仿宋_GBK"/>
          <w:highlight w:val="none"/>
        </w:rPr>
        <w:t>竞买人资格条件等内容。未经县市人民政府批准，任何乡镇、部门、单位及个人不得擅自发包、转包、处置国有农用地。</w:t>
      </w:r>
    </w:p>
    <w:p w14:paraId="7E4EA1F6">
      <w:pPr>
        <w:overflowPunct w:val="0"/>
        <w:spacing w:line="560" w:lineRule="exact"/>
        <w:ind w:firstLine="632" w:firstLineChars="200"/>
        <w:rPr>
          <w:rFonts w:hint="default" w:eastAsia="方正仿宋_GBK"/>
          <w:highlight w:val="none"/>
          <w:lang w:val="en-US" w:eastAsia="zh-CN"/>
        </w:rPr>
      </w:pPr>
      <w:r>
        <w:rPr>
          <w:rFonts w:hint="eastAsia" w:eastAsia="方正仿宋_GBK"/>
          <w:highlight w:val="none"/>
          <w:lang w:val="en-US" w:eastAsia="zh-CN"/>
        </w:rPr>
        <w:t>合理确定承包期限：坚持规划引领，结合国土空间规划和农业产业发展规划，科学确定国有农用地承包期限。符合规划的国有农用地，承包期限原则上不低于5年；上限应与现行国土空间规划期限相衔接，不宜超过2035年，不得超过法律法规规定的最高承包期限。已纳入城镇开发边界或近期规划调整范围内的地块，可根据实际情况合理确定短期承包期限，并在发包方案中予以说明，切实保障承包方经营预期，鼓励长期投入。承包合同期限应与农作物生产周期有效衔接，避免因合同到期时间与农作物收获时间冲突引发矛盾纠纷。</w:t>
      </w:r>
    </w:p>
    <w:p w14:paraId="0216EFE2">
      <w:pPr>
        <w:overflowPunct w:val="0"/>
        <w:spacing w:line="560" w:lineRule="exact"/>
        <w:ind w:firstLine="632" w:firstLineChars="200"/>
        <w:rPr>
          <w:rFonts w:eastAsia="方正黑体_GBK"/>
          <w:highlight w:val="none"/>
        </w:rPr>
      </w:pPr>
      <w:r>
        <w:rPr>
          <w:rFonts w:hint="eastAsia" w:eastAsia="方正黑体_GBK"/>
          <w:highlight w:val="none"/>
          <w:lang w:val="en-US" w:eastAsia="zh-CN"/>
        </w:rPr>
        <w:t>七</w:t>
      </w:r>
      <w:r>
        <w:rPr>
          <w:rFonts w:eastAsia="方正黑体_GBK"/>
          <w:highlight w:val="none"/>
        </w:rPr>
        <w:t>、信息发布</w:t>
      </w:r>
    </w:p>
    <w:p w14:paraId="716175B6">
      <w:pPr>
        <w:overflowPunct w:val="0"/>
        <w:spacing w:line="560" w:lineRule="exact"/>
        <w:ind w:firstLine="632" w:firstLineChars="200"/>
        <w:rPr>
          <w:rFonts w:hint="eastAsia" w:eastAsia="方正仿宋_GBK"/>
          <w:highlight w:val="none"/>
          <w:lang w:eastAsia="zh-CN"/>
        </w:rPr>
      </w:pPr>
      <w:r>
        <w:rPr>
          <w:rFonts w:hint="eastAsia" w:eastAsia="方正仿宋_GBK"/>
          <w:highlight w:val="none"/>
        </w:rPr>
        <w:t>经审批同意公开交易的国有农用地，应当统一进入喀什地区农村综合产权交易平台</w:t>
      </w:r>
      <w:r>
        <w:rPr>
          <w:rFonts w:hint="eastAsia" w:eastAsia="方正仿宋_GBK"/>
          <w:highlight w:val="none"/>
          <w:lang w:eastAsia="zh-CN"/>
        </w:rPr>
        <w:t>（</w:t>
      </w:r>
      <w:r>
        <w:rPr>
          <w:rFonts w:hint="eastAsia" w:eastAsia="方正仿宋_GBK"/>
          <w:highlight w:val="none"/>
          <w:lang w:val="en-US" w:eastAsia="zh-CN"/>
        </w:rPr>
        <w:t>以下简称“交易平台”</w:t>
      </w:r>
      <w:r>
        <w:rPr>
          <w:rFonts w:hint="eastAsia" w:eastAsia="方正仿宋_GBK"/>
          <w:highlight w:val="none"/>
          <w:lang w:eastAsia="zh-CN"/>
        </w:rPr>
        <w:t>）</w:t>
      </w:r>
      <w:r>
        <w:rPr>
          <w:rFonts w:hint="eastAsia" w:eastAsia="方正仿宋_GBK"/>
          <w:highlight w:val="none"/>
        </w:rPr>
        <w:t>开展公开交易，由</w:t>
      </w:r>
      <w:r>
        <w:rPr>
          <w:rFonts w:hint="eastAsia" w:eastAsia="方正仿宋_GBK"/>
          <w:highlight w:val="none"/>
          <w:lang w:val="en-US" w:eastAsia="zh-CN"/>
        </w:rPr>
        <w:t>交易平台</w:t>
      </w:r>
      <w:r>
        <w:rPr>
          <w:rFonts w:hint="eastAsia" w:eastAsia="方正仿宋_GBK"/>
          <w:highlight w:val="none"/>
        </w:rPr>
        <w:t>统一发布面向全社会的交易公告</w:t>
      </w:r>
      <w:r>
        <w:rPr>
          <w:rFonts w:eastAsia="方正仿宋_GBK"/>
          <w:highlight w:val="none"/>
        </w:rPr>
        <w:t>。公告内容应包括地块位置、面积、土地等级、发包底价、承包期限、交易方式、报名条件、报名时限、竞价规则</w:t>
      </w:r>
      <w:r>
        <w:rPr>
          <w:rFonts w:hint="eastAsia" w:eastAsia="方正仿宋_GBK"/>
          <w:highlight w:val="none"/>
          <w:lang w:eastAsia="zh-CN"/>
        </w:rPr>
        <w:t>、原受让人优先承包权的具体行权规则</w:t>
      </w:r>
      <w:r>
        <w:rPr>
          <w:rFonts w:eastAsia="方正仿宋_GBK"/>
          <w:highlight w:val="none"/>
        </w:rPr>
        <w:t>等核心信息</w:t>
      </w:r>
      <w:r>
        <w:rPr>
          <w:rFonts w:hint="eastAsia" w:eastAsia="方正仿宋_GBK"/>
          <w:highlight w:val="none"/>
          <w:lang w:eastAsia="zh-CN"/>
        </w:rPr>
        <w:t>。</w:t>
      </w:r>
    </w:p>
    <w:p w14:paraId="3A36BCBD">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交易公告除常规内容外，还应在显著位置载明以下内容：</w:t>
      </w:r>
    </w:p>
    <w:p w14:paraId="70C8F671">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1.本宗地存在原承包人有效投入，竞得人须按照补偿协议约定的金额、分期方式和支付期限，向原承包人支付补偿款项；</w:t>
      </w:r>
    </w:p>
    <w:p w14:paraId="0D5542AA">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2.补偿协议文本随交易公告一并公示，潜在竞买人可在报名前自行查阅；</w:t>
      </w:r>
    </w:p>
    <w:p w14:paraId="7E22DCFA">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3.竞买人报名参与竞买即视为已知悉并接受补偿协议的全部条款，不得在竞得后以任何理由拒绝签署或要求变更补偿协议。</w:t>
      </w:r>
    </w:p>
    <w:p w14:paraId="490DE7AC">
      <w:pPr>
        <w:overflowPunct w:val="0"/>
        <w:spacing w:line="560" w:lineRule="exact"/>
        <w:ind w:firstLine="632" w:firstLineChars="200"/>
        <w:rPr>
          <w:rFonts w:eastAsia="方正仿宋_GBK"/>
          <w:highlight w:val="none"/>
        </w:rPr>
      </w:pPr>
      <w:r>
        <w:rPr>
          <w:rFonts w:eastAsia="方正仿宋_GBK"/>
          <w:highlight w:val="none"/>
        </w:rPr>
        <w:t>交易公告公示期应不少于</w:t>
      </w:r>
      <w:r>
        <w:rPr>
          <w:rFonts w:hint="eastAsia" w:eastAsia="方正仿宋_GBK"/>
          <w:highlight w:val="none"/>
          <w:lang w:val="en-US" w:eastAsia="zh-CN"/>
        </w:rPr>
        <w:t>7个自然日</w:t>
      </w:r>
      <w:r>
        <w:rPr>
          <w:rFonts w:eastAsia="方正仿宋_GBK"/>
          <w:highlight w:val="none"/>
        </w:rPr>
        <w:t>。</w:t>
      </w:r>
    </w:p>
    <w:p w14:paraId="2B42CD3E">
      <w:pPr>
        <w:overflowPunct w:val="0"/>
        <w:spacing w:line="560" w:lineRule="exact"/>
        <w:ind w:firstLine="632" w:firstLineChars="200"/>
        <w:rPr>
          <w:rFonts w:eastAsia="方正黑体_GBK"/>
          <w:highlight w:val="none"/>
        </w:rPr>
      </w:pPr>
      <w:r>
        <w:rPr>
          <w:rFonts w:hint="eastAsia" w:eastAsia="方正黑体_GBK"/>
          <w:highlight w:val="none"/>
          <w:lang w:val="en-US" w:eastAsia="zh-CN"/>
        </w:rPr>
        <w:t>八</w:t>
      </w:r>
      <w:r>
        <w:rPr>
          <w:rFonts w:eastAsia="方正黑体_GBK"/>
          <w:highlight w:val="none"/>
        </w:rPr>
        <w:t>、公开竞价</w:t>
      </w:r>
    </w:p>
    <w:p w14:paraId="690AD99B">
      <w:pPr>
        <w:overflowPunct w:val="0"/>
        <w:spacing w:line="560" w:lineRule="exact"/>
        <w:ind w:firstLine="632" w:firstLineChars="200"/>
        <w:rPr>
          <w:rFonts w:eastAsia="方正仿宋_GBK"/>
          <w:highlight w:val="none"/>
        </w:rPr>
      </w:pPr>
      <w:r>
        <w:rPr>
          <w:rFonts w:eastAsia="方正仿宋_GBK"/>
          <w:highlight w:val="none"/>
        </w:rPr>
        <w:t>意向承包方在公告期内向交易平台报名，按公告要求缴纳交易保证金。交易平台对报名者进行资格审核。</w:t>
      </w:r>
    </w:p>
    <w:p w14:paraId="40C97872">
      <w:pPr>
        <w:overflowPunct w:val="0"/>
        <w:spacing w:line="560" w:lineRule="exact"/>
        <w:ind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竞买人报名时须书面承诺：已认真阅读并完全理解补偿协议全部条款，如竞得本宗地，将严格按照补偿协议约定的金额、分期方式和支付期限履行补偿义务，不因任何理由拒绝签署或要求变更协议内容。</w:t>
      </w:r>
    </w:p>
    <w:p w14:paraId="7344B8C1">
      <w:pPr>
        <w:overflowPunct w:val="0"/>
        <w:spacing w:line="560" w:lineRule="exact"/>
        <w:ind w:firstLine="632" w:firstLineChars="200"/>
        <w:rPr>
          <w:rFonts w:eastAsia="方正仿宋_GBK"/>
          <w:highlight w:val="none"/>
        </w:rPr>
      </w:pPr>
      <w:r>
        <w:rPr>
          <w:rFonts w:eastAsia="方正仿宋_GBK"/>
          <w:highlight w:val="none"/>
        </w:rPr>
        <w:t>原承包人应在交易公告规定的报名期限内完成报名，逾期未报名视为自动放弃优先承包权。</w:t>
      </w:r>
    </w:p>
    <w:p w14:paraId="171DA11C">
      <w:pPr>
        <w:overflowPunct w:val="0"/>
        <w:spacing w:line="560" w:lineRule="exact"/>
        <w:ind w:firstLine="632" w:firstLineChars="200"/>
        <w:rPr>
          <w:rFonts w:eastAsia="方正仿宋_GBK"/>
          <w:highlight w:val="none"/>
        </w:rPr>
      </w:pPr>
      <w:r>
        <w:rPr>
          <w:rFonts w:eastAsia="方正仿宋_GBK"/>
          <w:highlight w:val="none"/>
        </w:rPr>
        <w:t>原承包人优先承包权按以下方式保障：公开竞价过程中，当有其他竞买人出价时，原承包人可行使优先权以该价格获得承包权；当原承包人自身出价与其他竞买人相同时，原承包人优先。原承包人放弃优先承包权或未在规定期限内行使优先权的，视为放弃，由出价最高的竞买人获得承包权。</w:t>
      </w:r>
    </w:p>
    <w:p w14:paraId="5039BF4B">
      <w:pPr>
        <w:overflowPunct w:val="0"/>
        <w:spacing w:line="560" w:lineRule="exact"/>
        <w:ind w:firstLine="632" w:firstLineChars="200"/>
        <w:rPr>
          <w:rFonts w:eastAsia="方正仿宋_GBK"/>
          <w:highlight w:val="none"/>
        </w:rPr>
      </w:pPr>
      <w:r>
        <w:rPr>
          <w:rFonts w:hint="eastAsia" w:eastAsia="方正仿宋_GBK"/>
          <w:highlight w:val="none"/>
        </w:rPr>
        <w:t>原受让人优先承包权的具体行权规则、操作流程由</w:t>
      </w:r>
      <w:r>
        <w:rPr>
          <w:rFonts w:hint="eastAsia" w:eastAsia="方正仿宋_GBK"/>
          <w:highlight w:val="none"/>
          <w:lang w:val="en-US" w:eastAsia="zh-CN"/>
        </w:rPr>
        <w:t>交易平台</w:t>
      </w:r>
      <w:r>
        <w:rPr>
          <w:rFonts w:hint="eastAsia" w:eastAsia="方正仿宋_GBK"/>
          <w:highlight w:val="none"/>
        </w:rPr>
        <w:t>统一制定并向社会公示，全地区各级交易站点统一执行</w:t>
      </w:r>
      <w:r>
        <w:rPr>
          <w:rFonts w:eastAsia="方正仿宋_GBK"/>
          <w:highlight w:val="none"/>
        </w:rPr>
        <w:t>。</w:t>
      </w:r>
    </w:p>
    <w:p w14:paraId="33F7CDE7">
      <w:pPr>
        <w:overflowPunct w:val="0"/>
        <w:spacing w:line="560" w:lineRule="exact"/>
        <w:ind w:firstLine="632" w:firstLineChars="200"/>
        <w:rPr>
          <w:rFonts w:eastAsia="方正仿宋_GBK"/>
          <w:highlight w:val="none"/>
        </w:rPr>
      </w:pPr>
      <w:r>
        <w:rPr>
          <w:rFonts w:hint="eastAsia" w:eastAsia="方正仿宋_GBK"/>
          <w:highlight w:val="none"/>
          <w:lang w:val="en-US" w:eastAsia="zh-CN"/>
        </w:rPr>
        <w:t>公开</w:t>
      </w:r>
      <w:r>
        <w:rPr>
          <w:rFonts w:eastAsia="方正仿宋_GBK"/>
          <w:highlight w:val="none"/>
        </w:rPr>
        <w:t>竞价方式可采用网络竞价、招标、拍卖等方式。竞价过程全程留痕、可追溯，确保公开、公平、公正。</w:t>
      </w:r>
    </w:p>
    <w:p w14:paraId="3820C97D">
      <w:pPr>
        <w:overflowPunct w:val="0"/>
        <w:spacing w:line="560" w:lineRule="exact"/>
        <w:ind w:firstLine="632" w:firstLineChars="200"/>
        <w:rPr>
          <w:rFonts w:eastAsia="方正黑体_GBK"/>
          <w:highlight w:val="none"/>
        </w:rPr>
      </w:pPr>
      <w:r>
        <w:rPr>
          <w:rFonts w:hint="eastAsia" w:eastAsia="方正黑体_GBK"/>
          <w:highlight w:val="none"/>
          <w:lang w:val="en-US" w:eastAsia="zh-CN"/>
        </w:rPr>
        <w:t>九</w:t>
      </w:r>
      <w:r>
        <w:rPr>
          <w:rFonts w:eastAsia="方正黑体_GBK"/>
          <w:highlight w:val="none"/>
        </w:rPr>
        <w:t>、结果公示</w:t>
      </w:r>
    </w:p>
    <w:p w14:paraId="6129CDEE">
      <w:pPr>
        <w:overflowPunct w:val="0"/>
        <w:spacing w:line="560" w:lineRule="exact"/>
        <w:ind w:firstLine="632" w:firstLineChars="200"/>
        <w:rPr>
          <w:rFonts w:eastAsia="方正仿宋_GBK"/>
          <w:highlight w:val="none"/>
        </w:rPr>
      </w:pPr>
      <w:r>
        <w:rPr>
          <w:rFonts w:eastAsia="方正仿宋_GBK"/>
          <w:highlight w:val="none"/>
        </w:rPr>
        <w:t>竞价结束后，由交易平台将竞价结果进行公示。公示内容应包括竞得方信息、成交价格、成交面积等。公示期应不少于5个工作日。公示无异议后，由交易平台出具成交确认书。</w:t>
      </w:r>
    </w:p>
    <w:p w14:paraId="4CF6310B">
      <w:pPr>
        <w:overflowPunct w:val="0"/>
        <w:spacing w:line="560" w:lineRule="exact"/>
        <w:ind w:firstLine="632" w:firstLineChars="200"/>
        <w:rPr>
          <w:rFonts w:hint="default" w:eastAsia="方正黑体_GBK"/>
          <w:highlight w:val="none"/>
          <w:lang w:val="en-US" w:eastAsia="zh-CN"/>
        </w:rPr>
      </w:pPr>
      <w:r>
        <w:rPr>
          <w:rFonts w:hint="eastAsia" w:eastAsia="方正黑体_GBK"/>
          <w:highlight w:val="none"/>
          <w:lang w:val="en-US" w:eastAsia="zh-CN"/>
        </w:rPr>
        <w:t>十</w:t>
      </w:r>
      <w:r>
        <w:rPr>
          <w:rFonts w:eastAsia="方正黑体_GBK"/>
          <w:highlight w:val="none"/>
        </w:rPr>
        <w:t>、原承包人有效投入补偿</w:t>
      </w:r>
      <w:r>
        <w:rPr>
          <w:rFonts w:hint="eastAsia" w:eastAsia="方正黑体_GBK"/>
          <w:highlight w:val="none"/>
          <w:lang w:val="en-US" w:eastAsia="zh-CN"/>
        </w:rPr>
        <w:t>协议签订</w:t>
      </w:r>
    </w:p>
    <w:p w14:paraId="6FCC48F5">
      <w:pPr>
        <w:overflowPunct w:val="0"/>
        <w:spacing w:line="560" w:lineRule="exact"/>
        <w:ind w:firstLine="632" w:firstLineChars="200"/>
        <w:rPr>
          <w:rFonts w:eastAsia="方正仿宋_GBK"/>
          <w:highlight w:val="none"/>
        </w:rPr>
      </w:pPr>
      <w:r>
        <w:rPr>
          <w:rFonts w:hint="default" w:ascii="Times New Roman" w:hAnsi="Times New Roman" w:eastAsia="方正仿宋_GBK" w:cs="Times New Roman"/>
          <w:sz w:val="32"/>
          <w:szCs w:val="32"/>
          <w:highlight w:val="none"/>
          <w:lang w:val="en-US" w:eastAsia="zh-CN"/>
        </w:rPr>
        <w:t>公示无异议后，</w:t>
      </w:r>
      <w:r>
        <w:rPr>
          <w:rFonts w:eastAsia="方正仿宋_GBK"/>
          <w:highlight w:val="none"/>
        </w:rPr>
        <w:t>原承包人行使优先承包权继续承包的，投入不予补偿，投入形成的附着物及生产设施随承包经营权一并转移，在新合同中载明权属归承包方所有。</w:t>
      </w:r>
    </w:p>
    <w:p w14:paraId="0B7C5BEC">
      <w:pPr>
        <w:overflowPunct w:val="0"/>
        <w:spacing w:line="560" w:lineRule="exact"/>
        <w:ind w:firstLine="632" w:firstLineChars="200"/>
        <w:rPr>
          <w:rFonts w:hint="eastAsia" w:eastAsia="方正仿宋_GBK"/>
          <w:highlight w:val="none"/>
        </w:rPr>
      </w:pPr>
      <w:r>
        <w:rPr>
          <w:rFonts w:hint="eastAsia" w:eastAsia="方正仿宋_GBK"/>
          <w:highlight w:val="none"/>
        </w:rPr>
        <w:t>公示无异议后，竞得人应在交易平台出具成交确认书之日起</w:t>
      </w:r>
      <w:r>
        <w:rPr>
          <w:rFonts w:hint="eastAsia" w:eastAsia="方正仿宋_GBK"/>
          <w:highlight w:val="none"/>
          <w:lang w:val="en-US" w:eastAsia="zh-CN"/>
        </w:rPr>
        <w:t>7个自然日</w:t>
      </w:r>
      <w:r>
        <w:rPr>
          <w:rFonts w:hint="eastAsia" w:eastAsia="方正仿宋_GBK"/>
          <w:highlight w:val="none"/>
        </w:rPr>
        <w:t>内，与原承包人签订补偿协议。补偿协议须经</w:t>
      </w:r>
      <w:r>
        <w:rPr>
          <w:rFonts w:hint="eastAsia" w:eastAsia="方正仿宋_GBK"/>
          <w:highlight w:val="none"/>
          <w:lang w:val="en-US" w:eastAsia="zh-CN"/>
        </w:rPr>
        <w:t>发包主体</w:t>
      </w:r>
      <w:r>
        <w:rPr>
          <w:rFonts w:hint="eastAsia" w:eastAsia="方正仿宋_GBK"/>
          <w:highlight w:val="none"/>
        </w:rPr>
        <w:t>鉴证。</w:t>
      </w:r>
    </w:p>
    <w:p w14:paraId="32DA0A19">
      <w:pPr>
        <w:overflowPunct w:val="0"/>
        <w:spacing w:line="560" w:lineRule="exact"/>
        <w:ind w:firstLine="632" w:firstLineChars="200"/>
        <w:rPr>
          <w:rFonts w:hint="eastAsia" w:eastAsia="方正仿宋_GBK"/>
          <w:highlight w:val="none"/>
        </w:rPr>
      </w:pPr>
      <w:r>
        <w:rPr>
          <w:rFonts w:hint="eastAsia" w:eastAsia="方正仿宋_GBK"/>
          <w:highlight w:val="none"/>
        </w:rPr>
        <w:t>竞得人无正当理由拒绝签订补偿协议、或在签订后未按协议约定期限支付首期补偿款的，发包主体有权取消其竞得资格，交易保证金不予退还，并依法追究其违约责任。发包主体可按照竞价结果顺次确定新的竞得人，或重新组织交易。</w:t>
      </w:r>
    </w:p>
    <w:p w14:paraId="1F63CC24">
      <w:pPr>
        <w:overflowPunct w:val="0"/>
        <w:spacing w:line="560" w:lineRule="exact"/>
        <w:ind w:firstLine="632" w:firstLineChars="200"/>
        <w:rPr>
          <w:rFonts w:eastAsia="方正仿宋_GBK"/>
          <w:highlight w:val="none"/>
        </w:rPr>
      </w:pPr>
      <w:r>
        <w:rPr>
          <w:rFonts w:hint="eastAsia" w:eastAsia="方正仿宋_GBK"/>
          <w:highlight w:val="none"/>
        </w:rPr>
        <w:t>原承包人无正当理由拒绝签订补偿协议的，视为自动放弃补偿权利，发包主体可据此办理后续发包手续。</w:t>
      </w:r>
    </w:p>
    <w:p w14:paraId="2BEF3C0B">
      <w:pPr>
        <w:overflowPunct w:val="0"/>
        <w:spacing w:line="560" w:lineRule="exact"/>
        <w:ind w:firstLine="632" w:firstLineChars="200"/>
        <w:rPr>
          <w:rFonts w:eastAsia="方正黑体_GBK"/>
          <w:highlight w:val="none"/>
        </w:rPr>
      </w:pPr>
      <w:r>
        <w:rPr>
          <w:rFonts w:hint="eastAsia" w:eastAsia="方正黑体_GBK"/>
          <w:highlight w:val="none"/>
          <w:lang w:val="en-US" w:eastAsia="zh-CN"/>
        </w:rPr>
        <w:t>十一</w:t>
      </w:r>
      <w:r>
        <w:rPr>
          <w:rFonts w:eastAsia="方正黑体_GBK"/>
          <w:highlight w:val="none"/>
        </w:rPr>
        <w:t>、合同签订与备案</w:t>
      </w:r>
    </w:p>
    <w:p w14:paraId="74BB6CF6">
      <w:pPr>
        <w:overflowPunct w:val="0"/>
        <w:spacing w:line="560" w:lineRule="exact"/>
        <w:ind w:firstLine="632" w:firstLineChars="200"/>
        <w:rPr>
          <w:rFonts w:eastAsia="方正仿宋_GBK"/>
          <w:highlight w:val="none"/>
        </w:rPr>
      </w:pPr>
      <w:r>
        <w:rPr>
          <w:rFonts w:hint="eastAsia" w:eastAsia="方正仿宋_GBK"/>
          <w:highlight w:val="none"/>
        </w:rPr>
        <w:t>补偿协议签订完成后，交易双方应在规定时限内签订书面承包合同。承包合同统一使用自治区制定的《国有农用地（耕地、园地）承包合同（示范文本）》</w:t>
      </w:r>
      <w:r>
        <w:rPr>
          <w:rFonts w:eastAsia="方正仿宋_GBK"/>
          <w:highlight w:val="none"/>
        </w:rPr>
        <w:t>。合同应明确双方权利义务、承包费金额及支付方式、承包期限、土地用途、转包条件、违约责任、合同到期后的有效投入归属等内容。</w:t>
      </w:r>
    </w:p>
    <w:p w14:paraId="7917D411">
      <w:pPr>
        <w:overflowPunct w:val="0"/>
        <w:spacing w:line="560" w:lineRule="exact"/>
        <w:ind w:firstLine="632" w:firstLineChars="200"/>
        <w:rPr>
          <w:rFonts w:eastAsia="方正仿宋_GBK"/>
          <w:highlight w:val="none"/>
        </w:rPr>
      </w:pPr>
      <w:r>
        <w:rPr>
          <w:rFonts w:eastAsia="方正仿宋_GBK"/>
          <w:highlight w:val="none"/>
        </w:rPr>
        <w:t>新签订的承包合同中须明确约定：承包期满后，承包方在本合同项下投入形成的生产设施和改良成果，按照</w:t>
      </w:r>
      <w:r>
        <w:rPr>
          <w:rFonts w:hint="eastAsia" w:eastAsia="方正仿宋_GBK"/>
          <w:highlight w:val="none"/>
          <w:lang w:eastAsia="zh-CN"/>
        </w:rPr>
        <w:t>“</w:t>
      </w:r>
      <w:r>
        <w:rPr>
          <w:rFonts w:eastAsia="方正仿宋_GBK"/>
          <w:highlight w:val="none"/>
        </w:rPr>
        <w:t>谁投入、谁受益</w:t>
      </w:r>
      <w:r>
        <w:rPr>
          <w:rFonts w:hint="eastAsia" w:eastAsia="方正仿宋_GBK"/>
          <w:highlight w:val="none"/>
          <w:lang w:eastAsia="zh-CN"/>
        </w:rPr>
        <w:t>”</w:t>
      </w:r>
      <w:r>
        <w:rPr>
          <w:rFonts w:eastAsia="方正仿宋_GBK"/>
          <w:highlight w:val="none"/>
        </w:rPr>
        <w:t>原则，由后续承包方或发包方给予合理补偿，具体补偿标准由双方协商或委托评估确定。未约定补偿条款的合同不予备案。</w:t>
      </w:r>
    </w:p>
    <w:p w14:paraId="14CE560E">
      <w:pPr>
        <w:overflowPunct w:val="0"/>
        <w:spacing w:line="560" w:lineRule="exact"/>
        <w:ind w:firstLine="632" w:firstLineChars="200"/>
        <w:rPr>
          <w:rFonts w:eastAsia="方正仿宋_GBK"/>
          <w:highlight w:val="none"/>
        </w:rPr>
      </w:pPr>
      <w:r>
        <w:rPr>
          <w:rFonts w:eastAsia="方正仿宋_GBK"/>
          <w:highlight w:val="none"/>
        </w:rPr>
        <w:t>合同签订后5个工作日内报县市自然资源或林草部门备案，严禁使用自制、简易、非规范合同。</w:t>
      </w:r>
    </w:p>
    <w:p w14:paraId="7A10080A">
      <w:pPr>
        <w:overflowPunct w:val="0"/>
        <w:spacing w:line="560" w:lineRule="exact"/>
        <w:ind w:firstLine="632" w:firstLineChars="200"/>
        <w:rPr>
          <w:rFonts w:eastAsia="方正黑体_GBK"/>
          <w:highlight w:val="none"/>
        </w:rPr>
      </w:pPr>
      <w:r>
        <w:rPr>
          <w:rFonts w:eastAsia="方正黑体_GBK"/>
          <w:highlight w:val="none"/>
        </w:rPr>
        <w:t>十、交易归档</w:t>
      </w:r>
    </w:p>
    <w:p w14:paraId="37A7527F">
      <w:pPr>
        <w:overflowPunct w:val="0"/>
        <w:spacing w:line="560" w:lineRule="exact"/>
        <w:ind w:firstLine="632" w:firstLineChars="200"/>
        <w:rPr>
          <w:rFonts w:eastAsia="方正仿宋_GBK"/>
          <w:highlight w:val="none"/>
        </w:rPr>
      </w:pPr>
      <w:r>
        <w:rPr>
          <w:rFonts w:eastAsia="方正仿宋_GBK"/>
          <w:highlight w:val="none"/>
        </w:rPr>
        <w:t>交易完成后，交易平台应将交易公告、竞价记录、成交确认书、承包合同等全套交易资料归档保存，做到</w:t>
      </w:r>
      <w:r>
        <w:rPr>
          <w:rFonts w:hint="eastAsia" w:eastAsia="方正仿宋_GBK"/>
          <w:highlight w:val="none"/>
          <w:lang w:eastAsia="zh-CN"/>
        </w:rPr>
        <w:t>“</w:t>
      </w:r>
      <w:r>
        <w:rPr>
          <w:rFonts w:eastAsia="方正仿宋_GBK"/>
          <w:highlight w:val="none"/>
        </w:rPr>
        <w:t>一宗一档</w:t>
      </w:r>
      <w:r>
        <w:rPr>
          <w:rFonts w:hint="eastAsia" w:eastAsia="方正仿宋_GBK"/>
          <w:highlight w:val="none"/>
          <w:lang w:eastAsia="zh-CN"/>
        </w:rPr>
        <w:t>”</w:t>
      </w:r>
      <w:r>
        <w:rPr>
          <w:rFonts w:eastAsia="方正仿宋_GBK"/>
          <w:highlight w:val="none"/>
        </w:rPr>
        <w:t>、可查可溯。相关交易信息，由行业主管部门同步录入自治区农用地动态监管平台，实现数据动态更新。</w:t>
      </w:r>
    </w:p>
    <w:p w14:paraId="18DA0A36">
      <w:pPr>
        <w:overflowPunct w:val="0"/>
        <w:spacing w:line="560" w:lineRule="exact"/>
        <w:ind w:firstLine="632" w:firstLineChars="200"/>
        <w:rPr>
          <w:rFonts w:eastAsia="方正黑体_GBK"/>
          <w:highlight w:val="none"/>
        </w:rPr>
      </w:pPr>
      <w:r>
        <w:rPr>
          <w:rFonts w:eastAsia="方正黑体_GBK"/>
          <w:highlight w:val="none"/>
        </w:rPr>
        <w:t>十一、其他事项</w:t>
      </w:r>
    </w:p>
    <w:p w14:paraId="7BBB5339">
      <w:pPr>
        <w:overflowPunct w:val="0"/>
        <w:spacing w:line="560" w:lineRule="exact"/>
        <w:ind w:firstLine="632" w:firstLineChars="200"/>
        <w:rPr>
          <w:rFonts w:eastAsia="方正仿宋_GBK"/>
          <w:highlight w:val="none"/>
        </w:rPr>
      </w:pPr>
      <w:r>
        <w:rPr>
          <w:rFonts w:eastAsia="方正仿宋_GBK"/>
          <w:highlight w:val="none"/>
        </w:rPr>
        <w:t>（一）已依法确认给村集体使用的国有农用地，其发包、流转等交易活动参照集体土地相关规定执行。</w:t>
      </w:r>
    </w:p>
    <w:p w14:paraId="452B190F">
      <w:pPr>
        <w:overflowPunct w:val="0"/>
        <w:spacing w:line="560" w:lineRule="exact"/>
        <w:ind w:firstLine="632" w:firstLineChars="200"/>
        <w:rPr>
          <w:rFonts w:hint="default" w:eastAsia="方正仿宋_GBK"/>
          <w:highlight w:val="none"/>
          <w:lang w:val="en-US" w:eastAsia="zh-CN"/>
        </w:rPr>
      </w:pPr>
      <w:r>
        <w:rPr>
          <w:rFonts w:hint="eastAsia" w:eastAsia="方正仿宋_GBK"/>
          <w:highlight w:val="none"/>
          <w:lang w:eastAsia="zh-CN"/>
        </w:rPr>
        <w:t>（</w:t>
      </w:r>
      <w:r>
        <w:rPr>
          <w:rFonts w:hint="eastAsia" w:eastAsia="方正仿宋_GBK"/>
          <w:highlight w:val="none"/>
          <w:lang w:val="en-US" w:eastAsia="zh-CN"/>
        </w:rPr>
        <w:t>二</w:t>
      </w:r>
      <w:r>
        <w:rPr>
          <w:rFonts w:hint="eastAsia" w:eastAsia="方正仿宋_GBK"/>
          <w:highlight w:val="none"/>
          <w:lang w:eastAsia="zh-CN"/>
        </w:rPr>
        <w:t>）</w:t>
      </w:r>
      <w:r>
        <w:rPr>
          <w:rFonts w:hint="eastAsia" w:eastAsia="方正仿宋_GBK"/>
          <w:highlight w:val="none"/>
          <w:lang w:val="en-US" w:eastAsia="zh-CN"/>
        </w:rPr>
        <w:t>国有农用地公开交易过程中涉及的交易保证金、成交承包费、原受让人有效投入补偿资金均实行场内统一结算，由交易平台开设专用账户进行专户管理、专账核算，按照交易流程约定时限定向划转。</w:t>
      </w:r>
    </w:p>
    <w:p w14:paraId="2C0597F0">
      <w:pPr>
        <w:overflowPunct w:val="0"/>
        <w:spacing w:line="560" w:lineRule="exact"/>
        <w:ind w:firstLine="632" w:firstLineChars="200"/>
        <w:rPr>
          <w:rFonts w:hint="default" w:eastAsia="方正仿宋_GBK"/>
          <w:highlight w:val="none"/>
          <w:lang w:val="en-US" w:eastAsia="zh-CN"/>
        </w:rPr>
      </w:pPr>
      <w:r>
        <w:rPr>
          <w:rFonts w:eastAsia="方正仿宋_GBK"/>
          <w:highlight w:val="none"/>
        </w:rPr>
        <w:t>（</w:t>
      </w:r>
      <w:r>
        <w:rPr>
          <w:rFonts w:hint="eastAsia" w:eastAsia="方正仿宋_GBK"/>
          <w:highlight w:val="none"/>
          <w:lang w:val="en-US" w:eastAsia="zh-CN"/>
        </w:rPr>
        <w:t>三</w:t>
      </w:r>
      <w:r>
        <w:rPr>
          <w:rFonts w:eastAsia="方正仿宋_GBK"/>
          <w:highlight w:val="none"/>
        </w:rPr>
        <w:t>）</w:t>
      </w:r>
      <w:r>
        <w:rPr>
          <w:rFonts w:hint="eastAsia" w:eastAsia="方正仿宋_GBK"/>
          <w:highlight w:val="none"/>
          <w:lang w:val="en-US" w:eastAsia="zh-CN"/>
        </w:rPr>
        <w:t>鼓励各县市积极探索不同地类（耕地、园地、林地、草地、设施农用地）之间、不同权属（国有农用地、集体农用地、农民30年承包地、依法确定给村集体使用的国有农用地）之间的组合发包模式，将位置相邻、条件相近的零散地块整合为连片经营单元，通过“组合打包”方式公开发包，提高土地利用效率和经营效率。组合发包应坚持权属不变、程序合规、权益保障、收入分账的原则。</w:t>
      </w:r>
    </w:p>
    <w:p w14:paraId="244A4A15">
      <w:pPr>
        <w:overflowPunct w:val="0"/>
        <w:spacing w:line="560" w:lineRule="exact"/>
        <w:ind w:firstLine="632" w:firstLineChars="200"/>
        <w:rPr>
          <w:rFonts w:eastAsia="方正仿宋_GBK"/>
          <w:highlight w:val="none"/>
        </w:rPr>
      </w:pPr>
      <w:r>
        <w:rPr>
          <w:rFonts w:eastAsia="方正仿宋_GBK"/>
          <w:highlight w:val="none"/>
        </w:rPr>
        <w:t>（</w:t>
      </w:r>
      <w:r>
        <w:rPr>
          <w:rFonts w:hint="eastAsia" w:eastAsia="方正仿宋_GBK"/>
          <w:highlight w:val="none"/>
          <w:lang w:val="en-US" w:eastAsia="zh-CN"/>
        </w:rPr>
        <w:t>四</w:t>
      </w:r>
      <w:r>
        <w:rPr>
          <w:rFonts w:eastAsia="方正仿宋_GBK"/>
          <w:highlight w:val="none"/>
        </w:rPr>
        <w:t>）</w:t>
      </w:r>
      <w:r>
        <w:rPr>
          <w:rFonts w:hint="eastAsia" w:eastAsia="方正仿宋_GBK"/>
          <w:highlight w:val="none"/>
        </w:rPr>
        <w:t>采取协议或协商方式发包的国有农用地，须经县市人民政府批准后，统一进入交易平台履行信息公示、交易鉴证程序，纳入平台统一监管与档案管理</w:t>
      </w:r>
      <w:r>
        <w:rPr>
          <w:rFonts w:eastAsia="方正仿宋_GBK"/>
          <w:highlight w:val="none"/>
        </w:rPr>
        <w:t>。未经规定程序擅自发包、交易的，一律视为违规行为，严肃追究相关人员责任。</w:t>
      </w:r>
    </w:p>
    <w:p w14:paraId="18ED8D8F">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eastAsia" w:eastAsia="方正仿宋_GBK"/>
          <w:highlight w:val="none"/>
          <w:lang w:eastAsia="zh-CN"/>
        </w:rPr>
        <w:t>（</w:t>
      </w:r>
      <w:r>
        <w:rPr>
          <w:rFonts w:hint="eastAsia" w:eastAsia="方正仿宋_GBK"/>
          <w:highlight w:val="none"/>
          <w:lang w:val="en-US" w:eastAsia="zh-CN"/>
        </w:rPr>
        <w:t>五</w:t>
      </w:r>
      <w:r>
        <w:rPr>
          <w:rFonts w:hint="eastAsia" w:eastAsia="方正仿宋_GBK"/>
          <w:highlight w:val="none"/>
          <w:lang w:eastAsia="zh-CN"/>
        </w:rPr>
        <w:t>）</w:t>
      </w:r>
      <w:r>
        <w:rPr>
          <w:rFonts w:hint="default" w:ascii="Times New Roman" w:hAnsi="Times New Roman" w:eastAsia="方正仿宋_GBK" w:cs="Times New Roman"/>
          <w:sz w:val="32"/>
          <w:szCs w:val="32"/>
          <w:highlight w:val="none"/>
          <w:lang w:val="en-US" w:eastAsia="zh-CN"/>
        </w:rPr>
        <w:t>原承包人行使优先承包权继续承包的，不适用本流程中关于补偿协议签订的相关规定。</w:t>
      </w:r>
    </w:p>
    <w:p w14:paraId="19F7D222">
      <w:pPr>
        <w:overflowPunct w:val="0"/>
        <w:spacing w:line="560" w:lineRule="exact"/>
        <w:ind w:firstLine="632" w:firstLineChars="200"/>
        <w:rPr>
          <w:rFonts w:eastAsia="方正仿宋_GBK"/>
          <w:highlight w:val="none"/>
        </w:rPr>
      </w:pPr>
      <w:r>
        <w:rPr>
          <w:rFonts w:eastAsia="方正仿宋_GBK"/>
          <w:highlight w:val="none"/>
        </w:rPr>
        <w:t>（</w:t>
      </w:r>
      <w:r>
        <w:rPr>
          <w:rFonts w:hint="eastAsia" w:eastAsia="方正仿宋_GBK"/>
          <w:highlight w:val="none"/>
          <w:lang w:val="en-US" w:eastAsia="zh-CN"/>
        </w:rPr>
        <w:t>六</w:t>
      </w:r>
      <w:r>
        <w:rPr>
          <w:rFonts w:eastAsia="方正仿宋_GBK"/>
          <w:highlight w:val="none"/>
        </w:rPr>
        <w:t>）各县市可结合本地实际，在本流程基础上进一步细化操作规范，但不得简化、省略必要环节。</w:t>
      </w:r>
    </w:p>
    <w:p w14:paraId="62E4C37E">
      <w:pPr>
        <w:overflowPunct w:val="0"/>
        <w:spacing w:line="560" w:lineRule="exact"/>
        <w:ind w:firstLine="632" w:firstLineChars="200"/>
        <w:rPr>
          <w:rFonts w:eastAsia="方正仿宋_GBK"/>
          <w:highlight w:val="none"/>
        </w:rPr>
      </w:pPr>
      <w:r>
        <w:rPr>
          <w:rFonts w:hint="eastAsia" w:eastAsia="方正仿宋_GBK"/>
          <w:highlight w:val="none"/>
        </w:rPr>
        <w:t>（</w:t>
      </w:r>
      <w:r>
        <w:rPr>
          <w:rFonts w:hint="eastAsia" w:eastAsia="方正仿宋_GBK"/>
          <w:highlight w:val="none"/>
          <w:lang w:val="en-US" w:eastAsia="zh-CN"/>
        </w:rPr>
        <w:t>七</w:t>
      </w:r>
      <w:r>
        <w:rPr>
          <w:rFonts w:hint="eastAsia" w:eastAsia="方正仿宋_GBK"/>
          <w:highlight w:val="none"/>
        </w:rPr>
        <w:t>）本流程试行期限为2年。</w:t>
      </w:r>
    </w:p>
    <w:p w14:paraId="2F16DFC0">
      <w:pPr>
        <w:overflowPunct w:val="0"/>
        <w:spacing w:line="560" w:lineRule="exact"/>
        <w:ind w:firstLine="632" w:firstLineChars="200"/>
        <w:rPr>
          <w:rFonts w:eastAsia="方正仿宋_GBK"/>
          <w:highlight w:val="none"/>
        </w:rPr>
      </w:pPr>
    </w:p>
    <w:p w14:paraId="4BD5984F">
      <w:pPr>
        <w:overflowPunct w:val="0"/>
        <w:spacing w:line="560" w:lineRule="exact"/>
        <w:ind w:firstLine="632" w:firstLineChars="200"/>
        <w:rPr>
          <w:rFonts w:eastAsia="方正仿宋_GBK"/>
          <w:highlight w:val="none"/>
        </w:rPr>
      </w:pPr>
      <w:r>
        <w:rPr>
          <w:rFonts w:eastAsia="方正仿宋_GBK"/>
          <w:highlight w:val="none"/>
        </w:rPr>
        <w:t>附件：1.国有农用地公开交易优先承包权告知书</w:t>
      </w:r>
      <w:r>
        <w:rPr>
          <w:rFonts w:hint="eastAsia" w:eastAsia="方正仿宋_GBK"/>
          <w:highlight w:val="none"/>
        </w:rPr>
        <w:t>（模板）</w:t>
      </w:r>
    </w:p>
    <w:p w14:paraId="7150277E">
      <w:pPr>
        <w:overflowPunct w:val="0"/>
        <w:spacing w:line="560" w:lineRule="exact"/>
        <w:ind w:firstLine="1558" w:firstLineChars="493"/>
        <w:rPr>
          <w:rFonts w:hint="eastAsia" w:eastAsia="方正仿宋_GBK"/>
          <w:highlight w:val="none"/>
        </w:rPr>
      </w:pPr>
      <w:r>
        <w:rPr>
          <w:rFonts w:hint="eastAsia" w:eastAsia="方正仿宋_GBK"/>
          <w:highlight w:val="none"/>
        </w:rPr>
        <w:t>2.</w:t>
      </w:r>
      <w:r>
        <w:rPr>
          <w:rFonts w:eastAsia="方正仿宋_GBK"/>
          <w:highlight w:val="none"/>
        </w:rPr>
        <w:t>原承包合同履行情况的认定书</w:t>
      </w:r>
      <w:r>
        <w:rPr>
          <w:rFonts w:hint="eastAsia" w:eastAsia="方正仿宋_GBK"/>
          <w:highlight w:val="none"/>
        </w:rPr>
        <w:t>（模板）</w:t>
      </w:r>
    </w:p>
    <w:p w14:paraId="24B7B381">
      <w:pPr>
        <w:overflowPunct w:val="0"/>
        <w:spacing w:line="560" w:lineRule="exact"/>
        <w:ind w:firstLine="1558" w:firstLineChars="493"/>
        <w:rPr>
          <w:rFonts w:hint="default" w:eastAsia="方正仿宋_GBK"/>
          <w:highlight w:val="none"/>
          <w:lang w:val="en-US" w:eastAsia="zh-CN"/>
        </w:rPr>
      </w:pPr>
      <w:r>
        <w:rPr>
          <w:rFonts w:hint="eastAsia" w:eastAsia="方正仿宋_GBK"/>
          <w:highlight w:val="none"/>
          <w:lang w:val="en-US" w:eastAsia="zh-CN"/>
        </w:rPr>
        <w:t>3.原承包人有效投入补偿协议（示范文本）</w:t>
      </w:r>
    </w:p>
    <w:p w14:paraId="57B349A1">
      <w:pPr>
        <w:overflowPunct w:val="0"/>
        <w:spacing w:line="560" w:lineRule="exact"/>
        <w:rPr>
          <w:rFonts w:ascii="方正黑体_GBK" w:hAnsi="方正黑体_GBK" w:eastAsia="方正黑体_GBK"/>
          <w:highlight w:val="none"/>
        </w:rPr>
      </w:pPr>
    </w:p>
    <w:p w14:paraId="7BAD0D46">
      <w:pPr>
        <w:overflowPunct w:val="0"/>
        <w:spacing w:line="560" w:lineRule="exact"/>
        <w:rPr>
          <w:rFonts w:ascii="方正黑体_GBK" w:hAnsi="方正黑体_GBK" w:eastAsia="方正黑体_GBK"/>
          <w:highlight w:val="none"/>
        </w:rPr>
      </w:pPr>
    </w:p>
    <w:p w14:paraId="0B4FB20E">
      <w:pPr>
        <w:overflowPunct w:val="0"/>
        <w:spacing w:line="560" w:lineRule="exact"/>
        <w:rPr>
          <w:rFonts w:ascii="方正黑体_GBK" w:hAnsi="方正黑体_GBK" w:eastAsia="方正黑体_GBK"/>
          <w:highlight w:val="none"/>
        </w:rPr>
      </w:pPr>
    </w:p>
    <w:p w14:paraId="0E49FEB1">
      <w:pPr>
        <w:overflowPunct w:val="0"/>
        <w:spacing w:line="560" w:lineRule="exact"/>
        <w:rPr>
          <w:rFonts w:ascii="方正黑体_GBK" w:hAnsi="方正黑体_GBK" w:eastAsia="方正黑体_GBK"/>
          <w:highlight w:val="none"/>
        </w:rPr>
      </w:pPr>
    </w:p>
    <w:p w14:paraId="13A80A99">
      <w:pPr>
        <w:overflowPunct w:val="0"/>
        <w:spacing w:line="560" w:lineRule="exact"/>
        <w:rPr>
          <w:rFonts w:ascii="方正黑体_GBK" w:hAnsi="方正黑体_GBK" w:eastAsia="方正黑体_GBK"/>
          <w:highlight w:val="none"/>
        </w:rPr>
      </w:pPr>
    </w:p>
    <w:p w14:paraId="72721396">
      <w:pPr>
        <w:overflowPunct w:val="0"/>
        <w:spacing w:line="560" w:lineRule="exact"/>
        <w:rPr>
          <w:rFonts w:ascii="方正黑体_GBK" w:hAnsi="方正黑体_GBK" w:eastAsia="方正黑体_GBK"/>
          <w:highlight w:val="none"/>
        </w:rPr>
      </w:pPr>
    </w:p>
    <w:p w14:paraId="732538C1">
      <w:pPr>
        <w:overflowPunct w:val="0"/>
        <w:spacing w:line="560" w:lineRule="exact"/>
        <w:rPr>
          <w:rFonts w:ascii="方正黑体_GBK" w:hAnsi="方正黑体_GBK" w:eastAsia="方正黑体_GBK"/>
          <w:highlight w:val="none"/>
        </w:rPr>
      </w:pPr>
    </w:p>
    <w:p w14:paraId="75C3E062">
      <w:pPr>
        <w:overflowPunct w:val="0"/>
        <w:spacing w:line="560" w:lineRule="exact"/>
        <w:rPr>
          <w:rFonts w:ascii="方正黑体_GBK" w:hAnsi="方正黑体_GBK" w:eastAsia="方正黑体_GBK"/>
          <w:highlight w:val="none"/>
        </w:rPr>
      </w:pPr>
    </w:p>
    <w:p w14:paraId="6D1C1606">
      <w:pPr>
        <w:overflowPunct w:val="0"/>
        <w:spacing w:line="560" w:lineRule="exact"/>
        <w:rPr>
          <w:rFonts w:ascii="方正黑体_GBK" w:hAnsi="方正黑体_GBK" w:eastAsia="方正黑体_GBK"/>
          <w:highlight w:val="none"/>
        </w:rPr>
      </w:pPr>
    </w:p>
    <w:p w14:paraId="7E561919">
      <w:pPr>
        <w:overflowPunct w:val="0"/>
        <w:spacing w:line="560" w:lineRule="exact"/>
        <w:rPr>
          <w:rFonts w:ascii="方正黑体_GBK" w:hAnsi="方正黑体_GBK" w:eastAsia="方正黑体_GBK"/>
          <w:highlight w:val="none"/>
        </w:rPr>
      </w:pPr>
    </w:p>
    <w:p w14:paraId="2AAF95C6">
      <w:pPr>
        <w:overflowPunct w:val="0"/>
        <w:spacing w:line="560" w:lineRule="exact"/>
        <w:rPr>
          <w:rFonts w:ascii="方正黑体_GBK" w:hAnsi="方正黑体_GBK" w:eastAsia="方正黑体_GBK"/>
          <w:highlight w:val="none"/>
        </w:rPr>
      </w:pPr>
    </w:p>
    <w:p w14:paraId="51ED4187">
      <w:pPr>
        <w:overflowPunct w:val="0"/>
        <w:spacing w:line="560" w:lineRule="exact"/>
        <w:rPr>
          <w:rFonts w:ascii="方正黑体_GBK" w:hAnsi="方正黑体_GBK" w:eastAsia="方正黑体_GBK"/>
          <w:highlight w:val="none"/>
        </w:rPr>
      </w:pPr>
    </w:p>
    <w:p w14:paraId="156CF683">
      <w:pPr>
        <w:overflowPunct w:val="0"/>
        <w:spacing w:line="560" w:lineRule="exact"/>
        <w:rPr>
          <w:rFonts w:ascii="方正黑体_GBK" w:hAnsi="方正黑体_GBK" w:eastAsia="方正黑体_GBK"/>
          <w:highlight w:val="none"/>
        </w:rPr>
      </w:pPr>
    </w:p>
    <w:p w14:paraId="29AE4565">
      <w:pPr>
        <w:overflowPunct w:val="0"/>
        <w:spacing w:line="560" w:lineRule="exact"/>
        <w:rPr>
          <w:rFonts w:ascii="方正黑体_GBK" w:hAnsi="方正黑体_GBK" w:eastAsia="方正黑体_GBK"/>
          <w:highlight w:val="none"/>
        </w:rPr>
      </w:pPr>
    </w:p>
    <w:p w14:paraId="7FF258A7">
      <w:pPr>
        <w:overflowPunct w:val="0"/>
        <w:spacing w:line="560" w:lineRule="exact"/>
        <w:rPr>
          <w:rFonts w:hint="eastAsia" w:ascii="方正黑体_GBK" w:hAnsi="方正黑体_GBK" w:eastAsia="方正黑体_GBK"/>
          <w:highlight w:val="none"/>
        </w:rPr>
      </w:pPr>
      <w:r>
        <w:rPr>
          <w:rFonts w:ascii="方正黑体_GBK" w:hAnsi="方正黑体_GBK" w:eastAsia="方正黑体_GBK"/>
          <w:highlight w:val="none"/>
        </w:rPr>
        <w:t>附件1</w:t>
      </w:r>
    </w:p>
    <w:p w14:paraId="44BF44AF">
      <w:pPr>
        <w:overflowPunct w:val="0"/>
        <w:spacing w:line="560" w:lineRule="exact"/>
        <w:ind w:firstLine="632" w:firstLineChars="200"/>
        <w:rPr>
          <w:rFonts w:eastAsia="方正仿宋_GBK"/>
          <w:highlight w:val="none"/>
        </w:rPr>
      </w:pPr>
    </w:p>
    <w:p w14:paraId="495D3ADC">
      <w:pPr>
        <w:overflowPunct w:val="0"/>
        <w:spacing w:line="560" w:lineRule="exact"/>
        <w:jc w:val="center"/>
        <w:rPr>
          <w:rFonts w:hint="eastAsia" w:ascii="方正小标宋_GBK" w:hAnsi="方正小标宋_GBK" w:eastAsia="方正小标宋_GBK"/>
          <w:sz w:val="44"/>
          <w:szCs w:val="44"/>
          <w:highlight w:val="none"/>
        </w:rPr>
      </w:pPr>
      <w:r>
        <w:rPr>
          <w:rFonts w:ascii="方正小标宋_GBK" w:hAnsi="方正小标宋_GBK" w:eastAsia="方正小标宋_GBK"/>
          <w:sz w:val="44"/>
          <w:szCs w:val="44"/>
          <w:highlight w:val="none"/>
        </w:rPr>
        <w:t>国有农用地公开交易优先承包权告知书</w:t>
      </w:r>
    </w:p>
    <w:p w14:paraId="31A0439B">
      <w:pPr>
        <w:overflowPunct w:val="0"/>
        <w:spacing w:line="560" w:lineRule="exact"/>
        <w:jc w:val="center"/>
        <w:rPr>
          <w:rFonts w:hint="eastAsia" w:ascii="方正小标宋_GBK" w:hAnsi="方正小标宋_GBK" w:eastAsia="方正小标宋_GBK"/>
          <w:sz w:val="44"/>
          <w:szCs w:val="44"/>
          <w:highlight w:val="none"/>
        </w:rPr>
      </w:pPr>
      <w:r>
        <w:rPr>
          <w:rFonts w:hint="eastAsia" w:ascii="方正小标宋_GBK" w:hAnsi="方正小标宋_GBK" w:eastAsia="方正小标宋_GBK"/>
          <w:sz w:val="44"/>
          <w:szCs w:val="44"/>
          <w:highlight w:val="none"/>
        </w:rPr>
        <w:t>（模板）</w:t>
      </w:r>
    </w:p>
    <w:p w14:paraId="30EE3A44">
      <w:pPr>
        <w:overflowPunct w:val="0"/>
        <w:spacing w:line="560" w:lineRule="exact"/>
        <w:ind w:firstLine="632" w:firstLineChars="200"/>
        <w:rPr>
          <w:rFonts w:eastAsia="方正仿宋_GBK"/>
          <w:highlight w:val="none"/>
        </w:rPr>
      </w:pPr>
    </w:p>
    <w:p w14:paraId="4CF765D8">
      <w:pPr>
        <w:overflowPunct w:val="0"/>
        <w:spacing w:line="560" w:lineRule="exact"/>
        <w:rPr>
          <w:rFonts w:eastAsia="方正仿宋_GBK"/>
          <w:highlight w:val="none"/>
        </w:rPr>
      </w:pPr>
      <w:r>
        <w:rPr>
          <w:rFonts w:hint="eastAsia" w:eastAsia="方正仿宋_GBK"/>
          <w:highlight w:val="none"/>
        </w:rPr>
        <w:t>（原承包人姓名/名称）：</w:t>
      </w:r>
    </w:p>
    <w:p w14:paraId="1E15CAD0">
      <w:pPr>
        <w:overflowPunct w:val="0"/>
        <w:spacing w:line="560" w:lineRule="exact"/>
        <w:ind w:firstLine="632" w:firstLineChars="200"/>
        <w:rPr>
          <w:rFonts w:eastAsia="方正仿宋_GBK"/>
          <w:highlight w:val="none"/>
        </w:rPr>
      </w:pPr>
      <w:r>
        <w:rPr>
          <w:rFonts w:hint="eastAsia" w:eastAsia="方正仿宋_GBK"/>
          <w:highlight w:val="none"/>
        </w:rPr>
        <w:t>根据</w:t>
      </w:r>
      <w:r>
        <w:rPr>
          <w:rFonts w:hint="eastAsia" w:eastAsia="方正仿宋_GBK"/>
          <w:highlight w:val="none"/>
          <w:lang w:eastAsia="zh-CN"/>
        </w:rPr>
        <w:t>《</w:t>
      </w:r>
      <w:r>
        <w:rPr>
          <w:rFonts w:hint="eastAsia" w:eastAsia="方正仿宋_GBK"/>
          <w:highlight w:val="none"/>
          <w:lang w:val="en-US" w:eastAsia="zh-CN"/>
        </w:rPr>
        <w:t>中华人民共和国民法典</w:t>
      </w:r>
      <w:r>
        <w:rPr>
          <w:rFonts w:hint="eastAsia" w:eastAsia="方正仿宋_GBK"/>
          <w:highlight w:val="none"/>
          <w:lang w:eastAsia="zh-CN"/>
        </w:rPr>
        <w:t>》《</w:t>
      </w:r>
      <w:r>
        <w:rPr>
          <w:rFonts w:hint="eastAsia" w:eastAsia="方正仿宋_GBK"/>
          <w:highlight w:val="none"/>
          <w:lang w:val="en-US" w:eastAsia="zh-CN"/>
        </w:rPr>
        <w:t>中华人民共和国土地管理法</w:t>
      </w:r>
      <w:r>
        <w:rPr>
          <w:rFonts w:hint="eastAsia" w:eastAsia="方正仿宋_GBK"/>
          <w:highlight w:val="none"/>
          <w:lang w:eastAsia="zh-CN"/>
        </w:rPr>
        <w:t>》</w:t>
      </w:r>
      <w:r>
        <w:rPr>
          <w:rFonts w:hint="eastAsia" w:eastAsia="方正仿宋_GBK"/>
          <w:highlight w:val="none"/>
        </w:rPr>
        <w:t>《新疆维吾尔自治区人民政府办公厅关于加强和规范国有农用地管理的指导意见》（新政办发〔2025〕44号）及本县</w:t>
      </w:r>
      <w:r>
        <w:rPr>
          <w:rFonts w:hint="eastAsia" w:eastAsia="方正仿宋_GBK"/>
          <w:highlight w:val="none"/>
          <w:lang w:eastAsia="zh-CN"/>
        </w:rPr>
        <w:t>（</w:t>
      </w:r>
      <w:r>
        <w:rPr>
          <w:rFonts w:hint="eastAsia" w:eastAsia="方正仿宋_GBK"/>
          <w:highlight w:val="none"/>
        </w:rPr>
        <w:t>市</w:t>
      </w:r>
      <w:r>
        <w:rPr>
          <w:rFonts w:hint="eastAsia" w:eastAsia="方正仿宋_GBK"/>
          <w:highlight w:val="none"/>
          <w:lang w:eastAsia="zh-CN"/>
        </w:rPr>
        <w:t>）</w:t>
      </w:r>
      <w:r>
        <w:rPr>
          <w:rFonts w:hint="eastAsia" w:eastAsia="方正仿宋_GBK"/>
          <w:highlight w:val="none"/>
        </w:rPr>
        <w:t>国有农用地管理相关规定，现将（地块名称）（地块编号：*****）国有农用地公开交易及你方享有的优先承包权相关事宜告知如下。</w:t>
      </w:r>
    </w:p>
    <w:p w14:paraId="6C6C3F3A">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一、拟交易地块基本信息</w:t>
      </w:r>
    </w:p>
    <w:p w14:paraId="36185AAE">
      <w:pPr>
        <w:overflowPunct w:val="0"/>
        <w:spacing w:line="560" w:lineRule="exact"/>
        <w:ind w:firstLine="632" w:firstLineChars="200"/>
        <w:rPr>
          <w:rFonts w:eastAsia="方正仿宋_GBK"/>
          <w:highlight w:val="none"/>
        </w:rPr>
      </w:pPr>
      <w:r>
        <w:rPr>
          <w:rFonts w:hint="eastAsia" w:eastAsia="方正仿宋_GBK"/>
          <w:highlight w:val="none"/>
        </w:rPr>
        <w:t>地块位置：***乡（镇）**村</w:t>
      </w:r>
    </w:p>
    <w:p w14:paraId="557F0F19">
      <w:pPr>
        <w:overflowPunct w:val="0"/>
        <w:spacing w:line="560" w:lineRule="exact"/>
        <w:ind w:firstLine="632" w:firstLineChars="200"/>
        <w:rPr>
          <w:rFonts w:eastAsia="方正仿宋_GBK"/>
          <w:highlight w:val="none"/>
        </w:rPr>
      </w:pPr>
      <w:r>
        <w:rPr>
          <w:rFonts w:hint="eastAsia" w:eastAsia="方正仿宋_GBK"/>
          <w:highlight w:val="none"/>
        </w:rPr>
        <w:t>地块面积：***亩（耕地*亩、园地*亩、林地*亩、草地*亩）</w:t>
      </w:r>
    </w:p>
    <w:p w14:paraId="066C509C">
      <w:pPr>
        <w:overflowPunct w:val="0"/>
        <w:spacing w:line="560" w:lineRule="exact"/>
        <w:ind w:firstLine="632" w:firstLineChars="200"/>
        <w:rPr>
          <w:rFonts w:eastAsia="方正仿宋_GBK"/>
          <w:highlight w:val="none"/>
        </w:rPr>
      </w:pPr>
      <w:r>
        <w:rPr>
          <w:rFonts w:hint="eastAsia" w:eastAsia="方正仿宋_GBK"/>
          <w:highlight w:val="none"/>
        </w:rPr>
        <w:t>土地等级：（一类/二类/三类）</w:t>
      </w:r>
    </w:p>
    <w:p w14:paraId="032F83C4">
      <w:pPr>
        <w:overflowPunct w:val="0"/>
        <w:spacing w:line="560" w:lineRule="exact"/>
        <w:ind w:firstLine="632" w:firstLineChars="200"/>
        <w:rPr>
          <w:rFonts w:eastAsia="方正仿宋_GBK"/>
          <w:highlight w:val="none"/>
        </w:rPr>
      </w:pPr>
      <w:r>
        <w:rPr>
          <w:rFonts w:hint="eastAsia" w:eastAsia="方正仿宋_GBK"/>
          <w:highlight w:val="none"/>
        </w:rPr>
        <w:t>拟发包期限：**年，自***年**月**日起至***年**月**日止</w:t>
      </w:r>
    </w:p>
    <w:p w14:paraId="0A3CDD16">
      <w:pPr>
        <w:overflowPunct w:val="0"/>
        <w:spacing w:line="560" w:lineRule="exact"/>
        <w:ind w:firstLine="632" w:firstLineChars="200"/>
        <w:rPr>
          <w:rFonts w:eastAsia="方正仿宋_GBK"/>
          <w:highlight w:val="none"/>
        </w:rPr>
      </w:pPr>
      <w:r>
        <w:rPr>
          <w:rFonts w:hint="eastAsia" w:eastAsia="方正仿宋_GBK"/>
          <w:highlight w:val="none"/>
        </w:rPr>
        <w:t>发包底价：***元/亩/年</w:t>
      </w:r>
    </w:p>
    <w:p w14:paraId="2B75F85F">
      <w:pPr>
        <w:overflowPunct w:val="0"/>
        <w:spacing w:line="560" w:lineRule="exact"/>
        <w:ind w:firstLine="632" w:firstLineChars="200"/>
        <w:rPr>
          <w:rFonts w:eastAsia="方正仿宋_GBK"/>
          <w:highlight w:val="none"/>
        </w:rPr>
      </w:pPr>
      <w:r>
        <w:rPr>
          <w:rFonts w:hint="eastAsia" w:eastAsia="方正仿宋_GBK"/>
          <w:highlight w:val="none"/>
        </w:rPr>
        <w:t>交易方式：（网络竞价/招标/拍卖）</w:t>
      </w:r>
    </w:p>
    <w:p w14:paraId="366EE114">
      <w:pPr>
        <w:overflowPunct w:val="0"/>
        <w:spacing w:line="560" w:lineRule="exact"/>
        <w:ind w:firstLine="632" w:firstLineChars="200"/>
        <w:rPr>
          <w:rFonts w:eastAsia="方正仿宋_GBK"/>
          <w:highlight w:val="none"/>
        </w:rPr>
      </w:pPr>
      <w:r>
        <w:rPr>
          <w:rFonts w:hint="eastAsia" w:eastAsia="方正仿宋_GBK"/>
          <w:highlight w:val="none"/>
        </w:rPr>
        <w:t>交易平台：（交易平台名称）</w:t>
      </w:r>
    </w:p>
    <w:p w14:paraId="4142E658">
      <w:pPr>
        <w:overflowPunct w:val="0"/>
        <w:spacing w:line="560" w:lineRule="exact"/>
        <w:ind w:firstLine="632" w:firstLineChars="200"/>
        <w:rPr>
          <w:rFonts w:eastAsia="方正仿宋_GBK"/>
          <w:highlight w:val="none"/>
        </w:rPr>
      </w:pPr>
      <w:r>
        <w:rPr>
          <w:rFonts w:hint="eastAsia" w:eastAsia="方正仿宋_GBK"/>
          <w:highlight w:val="none"/>
        </w:rPr>
        <w:t>交易公告拟发布时间：***年**月**日</w:t>
      </w:r>
    </w:p>
    <w:p w14:paraId="0C5CF119">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二、你方享有的优先承包权</w:t>
      </w:r>
    </w:p>
    <w:p w14:paraId="04E7CBDD">
      <w:pPr>
        <w:overflowPunct w:val="0"/>
        <w:spacing w:line="560" w:lineRule="exact"/>
        <w:ind w:firstLine="632" w:firstLineChars="200"/>
        <w:rPr>
          <w:rFonts w:eastAsia="方正仿宋_GBK"/>
          <w:highlight w:val="none"/>
        </w:rPr>
      </w:pPr>
      <w:r>
        <w:rPr>
          <w:rFonts w:hint="eastAsia" w:eastAsia="方正仿宋_GBK"/>
          <w:highlight w:val="none"/>
        </w:rPr>
        <w:t>你方作为该地块原承包人，在原承包合同履行期间能够履行合同义务，无违约记录，根据《中华人民共和国民法典》及本县</w:t>
      </w:r>
      <w:r>
        <w:rPr>
          <w:rFonts w:hint="eastAsia" w:eastAsia="方正仿宋_GBK"/>
          <w:highlight w:val="none"/>
          <w:lang w:eastAsia="zh-CN"/>
        </w:rPr>
        <w:t>（</w:t>
      </w:r>
      <w:r>
        <w:rPr>
          <w:rFonts w:hint="eastAsia" w:eastAsia="方正仿宋_GBK"/>
          <w:highlight w:val="none"/>
        </w:rPr>
        <w:t>市</w:t>
      </w:r>
      <w:r>
        <w:rPr>
          <w:rFonts w:hint="eastAsia" w:eastAsia="方正仿宋_GBK"/>
          <w:highlight w:val="none"/>
          <w:lang w:eastAsia="zh-CN"/>
        </w:rPr>
        <w:t>）</w:t>
      </w:r>
      <w:r>
        <w:rPr>
          <w:rFonts w:hint="eastAsia" w:eastAsia="方正仿宋_GBK"/>
          <w:highlight w:val="none"/>
        </w:rPr>
        <w:t>国有农用地管理相关规定，在同等条件下享有优先承包权。</w:t>
      </w:r>
    </w:p>
    <w:p w14:paraId="382B1515">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三、优先承包权行使条件</w:t>
      </w:r>
    </w:p>
    <w:p w14:paraId="601A8FEC">
      <w:pPr>
        <w:overflowPunct w:val="0"/>
        <w:spacing w:line="560" w:lineRule="exact"/>
        <w:ind w:firstLine="632" w:firstLineChars="200"/>
        <w:rPr>
          <w:rFonts w:eastAsia="方正仿宋_GBK"/>
          <w:highlight w:val="none"/>
        </w:rPr>
      </w:pPr>
      <w:r>
        <w:rPr>
          <w:rFonts w:hint="eastAsia" w:eastAsia="方正仿宋_GBK"/>
          <w:highlight w:val="none"/>
        </w:rPr>
        <w:t>你方行使优先承包权须同时满足以下条件：</w:t>
      </w:r>
    </w:p>
    <w:p w14:paraId="69B6279A">
      <w:pPr>
        <w:overflowPunct w:val="0"/>
        <w:spacing w:line="560" w:lineRule="exact"/>
        <w:ind w:firstLine="632" w:firstLineChars="200"/>
        <w:rPr>
          <w:rFonts w:eastAsia="方正仿宋_GBK"/>
          <w:highlight w:val="none"/>
        </w:rPr>
      </w:pPr>
      <w:r>
        <w:rPr>
          <w:rFonts w:hint="eastAsia" w:eastAsia="方正仿宋_GBK"/>
          <w:highlight w:val="none"/>
        </w:rPr>
        <w:t>（一）在原承包合同期内无违约记录，按时足额缴纳承包费；</w:t>
      </w:r>
    </w:p>
    <w:p w14:paraId="618E992C">
      <w:pPr>
        <w:overflowPunct w:val="0"/>
        <w:spacing w:line="560" w:lineRule="exact"/>
        <w:ind w:firstLine="632" w:firstLineChars="200"/>
        <w:rPr>
          <w:rFonts w:eastAsia="方正仿宋_GBK"/>
          <w:highlight w:val="none"/>
        </w:rPr>
      </w:pPr>
      <w:r>
        <w:rPr>
          <w:rFonts w:hint="eastAsia" w:eastAsia="方正仿宋_GBK"/>
          <w:highlight w:val="none"/>
        </w:rPr>
        <w:t>（二）在交易公告规定的报名期限内按要求提交报名材料并缴纳交易保证金；</w:t>
      </w:r>
    </w:p>
    <w:p w14:paraId="5B7D57DB">
      <w:pPr>
        <w:overflowPunct w:val="0"/>
        <w:spacing w:line="560" w:lineRule="exact"/>
        <w:ind w:firstLine="632" w:firstLineChars="200"/>
        <w:rPr>
          <w:rFonts w:eastAsia="方正仿宋_GBK"/>
          <w:highlight w:val="none"/>
        </w:rPr>
      </w:pPr>
      <w:r>
        <w:rPr>
          <w:rFonts w:hint="eastAsia" w:eastAsia="方正仿宋_GBK"/>
          <w:highlight w:val="none"/>
        </w:rPr>
        <w:t>（三）在公开竞价中接受最终确定的最高成交价格。</w:t>
      </w:r>
    </w:p>
    <w:p w14:paraId="0D45DFDD">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四、优先承包权行使方式</w:t>
      </w:r>
    </w:p>
    <w:p w14:paraId="2A990B69">
      <w:pPr>
        <w:overflowPunct w:val="0"/>
        <w:spacing w:line="560" w:lineRule="exact"/>
        <w:ind w:firstLine="632" w:firstLineChars="200"/>
        <w:rPr>
          <w:rFonts w:eastAsia="方正仿宋_GBK"/>
          <w:highlight w:val="none"/>
        </w:rPr>
      </w:pPr>
      <w:r>
        <w:rPr>
          <w:rFonts w:hint="eastAsia" w:eastAsia="方正仿宋_GBK"/>
          <w:highlight w:val="none"/>
        </w:rPr>
        <w:t>（一）你方须在交易公告规定的报名期限内完成报名，逾期未报名视为自动放弃优先承包权。</w:t>
      </w:r>
    </w:p>
    <w:p w14:paraId="53974046">
      <w:pPr>
        <w:overflowPunct w:val="0"/>
        <w:spacing w:line="560" w:lineRule="exact"/>
        <w:ind w:firstLine="632" w:firstLineChars="200"/>
        <w:rPr>
          <w:rFonts w:eastAsia="方正仿宋_GBK"/>
          <w:highlight w:val="none"/>
        </w:rPr>
      </w:pPr>
      <w:r>
        <w:rPr>
          <w:rFonts w:hint="eastAsia" w:eastAsia="方正仿宋_GBK"/>
          <w:highlight w:val="none"/>
        </w:rPr>
        <w:t>（二）公开竞价过程中，当有其他竞买人出价时，你方可行使优先权以该价格获得承包权；当你方自身出价与其他竞买人相同时，你方优先。具体操作规则以交易平台规定为准。</w:t>
      </w:r>
    </w:p>
    <w:p w14:paraId="77F56749">
      <w:pPr>
        <w:overflowPunct w:val="0"/>
        <w:spacing w:line="560" w:lineRule="exact"/>
        <w:ind w:firstLine="632" w:firstLineChars="200"/>
        <w:rPr>
          <w:rFonts w:eastAsia="方正仿宋_GBK"/>
          <w:highlight w:val="none"/>
        </w:rPr>
      </w:pPr>
      <w:r>
        <w:rPr>
          <w:rFonts w:hint="eastAsia" w:eastAsia="方正仿宋_GBK"/>
          <w:highlight w:val="none"/>
        </w:rPr>
        <w:t>（三）你方放弃优先承包权或未在规定期限内行使优先权的，视为放弃，由出价最高的竞买人获得承包权。</w:t>
      </w:r>
    </w:p>
    <w:p w14:paraId="3284C460">
      <w:pPr>
        <w:overflowPunct w:val="0"/>
        <w:spacing w:line="560" w:lineRule="exact"/>
        <w:ind w:firstLine="632" w:firstLineChars="200"/>
        <w:rPr>
          <w:rFonts w:hint="default" w:ascii="方正黑体_GBK" w:hAnsi="方正黑体_GBK" w:eastAsia="方正黑体_GBK"/>
          <w:highlight w:val="none"/>
          <w:lang w:val="en-US" w:eastAsia="zh-CN"/>
        </w:rPr>
      </w:pPr>
      <w:r>
        <w:rPr>
          <w:rFonts w:hint="eastAsia" w:ascii="方正黑体_GBK" w:hAnsi="方正黑体_GBK" w:eastAsia="方正黑体_GBK"/>
          <w:highlight w:val="none"/>
        </w:rPr>
        <w:t>五、请你方书面回复</w:t>
      </w:r>
      <w:r>
        <w:rPr>
          <w:rFonts w:hint="eastAsia" w:ascii="方正黑体_GBK" w:hAnsi="方正黑体_GBK" w:eastAsia="方正黑体_GBK"/>
          <w:highlight w:val="none"/>
          <w:lang w:val="en-US" w:eastAsia="zh-CN"/>
        </w:rPr>
        <w:t>是否参与竞买</w:t>
      </w:r>
    </w:p>
    <w:p w14:paraId="667A3598">
      <w:pPr>
        <w:overflowPunct w:val="0"/>
        <w:spacing w:line="560" w:lineRule="exact"/>
        <w:ind w:firstLine="632" w:firstLineChars="200"/>
        <w:rPr>
          <w:rFonts w:eastAsia="方正仿宋_GBK"/>
          <w:highlight w:val="none"/>
        </w:rPr>
      </w:pPr>
      <w:r>
        <w:rPr>
          <w:rFonts w:hint="eastAsia" w:eastAsia="方正仿宋_GBK"/>
          <w:highlight w:val="none"/>
        </w:rPr>
        <w:t>请你方在收到本告知书后5个工作日内，书面回复是否参与竞买或放弃优先承包权。逾期未书面回复的，视为你方自动放弃优先承包权。</w:t>
      </w:r>
    </w:p>
    <w:p w14:paraId="7F4DD954">
      <w:pPr>
        <w:overflowPunct w:val="0"/>
        <w:spacing w:line="560" w:lineRule="exact"/>
        <w:ind w:firstLine="632" w:firstLineChars="200"/>
        <w:rPr>
          <w:rFonts w:hint="eastAsia" w:ascii="方正黑体_GBK" w:hAnsi="方正黑体_GBK" w:eastAsia="方正黑体_GBK"/>
          <w:highlight w:val="none"/>
          <w:lang w:val="en-US" w:eastAsia="zh-CN"/>
        </w:rPr>
      </w:pPr>
      <w:r>
        <w:rPr>
          <w:rFonts w:hint="eastAsia" w:ascii="方正黑体_GBK" w:hAnsi="方正黑体_GBK" w:eastAsia="方正黑体_GBK"/>
          <w:highlight w:val="none"/>
        </w:rPr>
        <w:t>六、请你方及时提供有效投入证明</w:t>
      </w:r>
      <w:r>
        <w:rPr>
          <w:rFonts w:hint="eastAsia" w:ascii="方正黑体_GBK" w:hAnsi="方正黑体_GBK" w:eastAsia="方正黑体_GBK"/>
          <w:highlight w:val="none"/>
          <w:lang w:val="en-US" w:eastAsia="zh-CN"/>
        </w:rPr>
        <w:t>材料</w:t>
      </w:r>
    </w:p>
    <w:p w14:paraId="627FC8C0">
      <w:pPr>
        <w:overflowPunct w:val="0"/>
        <w:spacing w:line="560" w:lineRule="exact"/>
        <w:ind w:firstLine="632" w:firstLineChars="200"/>
        <w:rPr>
          <w:rFonts w:hint="default" w:ascii="Times New Roman" w:hAnsi="Times New Roman" w:eastAsia="方正仿宋_GBK" w:cs="Times New Roman"/>
          <w:sz w:val="32"/>
          <w:szCs w:val="32"/>
          <w:highlight w:val="none"/>
          <w:lang w:val="en-US" w:eastAsia="zh-CN"/>
        </w:rPr>
      </w:pPr>
      <w:r>
        <w:rPr>
          <w:rFonts w:hint="eastAsia" w:eastAsia="方正仿宋_GBK"/>
          <w:highlight w:val="none"/>
        </w:rPr>
        <w:t>依据《中华人民共和国民法典》第三百三十八条之规定，承包方对其在承包地上投入而提高土地生产能力的，有权获得相应的补偿。</w:t>
      </w:r>
      <w:r>
        <w:rPr>
          <w:rFonts w:hint="default" w:ascii="Times New Roman" w:hAnsi="Times New Roman" w:eastAsia="方正仿宋_GBK" w:cs="Times New Roman"/>
          <w:sz w:val="32"/>
          <w:szCs w:val="32"/>
          <w:highlight w:val="none"/>
          <w:lang w:val="en-US" w:eastAsia="zh-CN"/>
        </w:rPr>
        <w:t>如你方未能成功竞买，你方的有效投入将依法获得合理补偿。</w:t>
      </w:r>
    </w:p>
    <w:p w14:paraId="11EFDBE8">
      <w:pPr>
        <w:overflowPunct w:val="0"/>
        <w:spacing w:line="560" w:lineRule="exact"/>
        <w:ind w:firstLine="632" w:firstLineChars="200"/>
        <w:rPr>
          <w:rFonts w:eastAsia="方正仿宋_GBK"/>
          <w:highlight w:val="none"/>
        </w:rPr>
      </w:pPr>
      <w:r>
        <w:rPr>
          <w:rFonts w:hint="eastAsia" w:eastAsia="方正仿宋_GBK"/>
          <w:highlight w:val="none"/>
        </w:rPr>
        <w:t>为保障你方合法权益，请你方在收到本告知书后10个工作日内，向</w:t>
      </w:r>
      <w:r>
        <w:rPr>
          <w:rFonts w:hint="eastAsia" w:eastAsia="方正仿宋_GBK"/>
          <w:highlight w:val="none"/>
          <w:lang w:eastAsia="zh-CN"/>
        </w:rPr>
        <w:t>（</w:t>
      </w:r>
      <w:r>
        <w:rPr>
          <w:rFonts w:hint="eastAsia" w:eastAsia="方正仿宋_GBK"/>
          <w:highlight w:val="none"/>
          <w:lang w:val="en-US" w:eastAsia="zh-CN"/>
        </w:rPr>
        <w:t>发包主体</w:t>
      </w:r>
      <w:r>
        <w:rPr>
          <w:rFonts w:hint="eastAsia" w:eastAsia="方正仿宋_GBK"/>
          <w:highlight w:val="none"/>
          <w:lang w:eastAsia="zh-CN"/>
        </w:rPr>
        <w:t>）</w:t>
      </w:r>
      <w:r>
        <w:rPr>
          <w:rFonts w:hint="eastAsia" w:eastAsia="方正仿宋_GBK"/>
          <w:highlight w:val="none"/>
        </w:rPr>
        <w:t>提交有效投入的书面申报材料及相关证明材料，包括但不限于：</w:t>
      </w:r>
    </w:p>
    <w:p w14:paraId="182D99F8">
      <w:pPr>
        <w:overflowPunct w:val="0"/>
        <w:spacing w:line="560" w:lineRule="exact"/>
        <w:ind w:firstLine="632" w:firstLineChars="200"/>
        <w:rPr>
          <w:rFonts w:eastAsia="方正仿宋_GBK"/>
          <w:highlight w:val="none"/>
        </w:rPr>
      </w:pPr>
      <w:r>
        <w:rPr>
          <w:rFonts w:hint="eastAsia" w:eastAsia="方正仿宋_GBK"/>
          <w:highlight w:val="none"/>
        </w:rPr>
        <w:t>（一）投入项目清单及说明（如改良土壤、修建灌排设施、修建田间道路、种植多年生经济作物等）；</w:t>
      </w:r>
    </w:p>
    <w:p w14:paraId="2F3D834F">
      <w:pPr>
        <w:overflowPunct w:val="0"/>
        <w:spacing w:line="560" w:lineRule="exact"/>
        <w:ind w:firstLine="632" w:firstLineChars="200"/>
        <w:rPr>
          <w:rFonts w:eastAsia="方正仿宋_GBK"/>
          <w:highlight w:val="none"/>
        </w:rPr>
      </w:pPr>
      <w:r>
        <w:rPr>
          <w:rFonts w:hint="eastAsia" w:eastAsia="方正仿宋_GBK"/>
          <w:highlight w:val="none"/>
        </w:rPr>
        <w:t>（二）投入资金凭证（发票、收据、银行转账记录等）；</w:t>
      </w:r>
    </w:p>
    <w:p w14:paraId="582B8E1C">
      <w:pPr>
        <w:overflowPunct w:val="0"/>
        <w:spacing w:line="560" w:lineRule="exact"/>
        <w:ind w:firstLine="632" w:firstLineChars="200"/>
        <w:rPr>
          <w:rFonts w:eastAsia="方正仿宋_GBK"/>
          <w:highlight w:val="none"/>
        </w:rPr>
      </w:pPr>
      <w:r>
        <w:rPr>
          <w:rFonts w:hint="eastAsia" w:eastAsia="方正仿宋_GBK"/>
          <w:highlight w:val="none"/>
        </w:rPr>
        <w:t>（三）投入过程的影像资料；</w:t>
      </w:r>
    </w:p>
    <w:p w14:paraId="4DDDE9F1">
      <w:pPr>
        <w:overflowPunct w:val="0"/>
        <w:spacing w:line="560" w:lineRule="exact"/>
        <w:ind w:firstLine="632" w:firstLineChars="200"/>
        <w:rPr>
          <w:rFonts w:eastAsia="方正仿宋_GBK"/>
          <w:highlight w:val="none"/>
        </w:rPr>
      </w:pPr>
      <w:r>
        <w:rPr>
          <w:rFonts w:hint="eastAsia" w:eastAsia="方正仿宋_GBK"/>
          <w:highlight w:val="none"/>
        </w:rPr>
        <w:t>（四）其他能够证明投入事实的材料。</w:t>
      </w:r>
    </w:p>
    <w:p w14:paraId="0E0D2E4F">
      <w:pPr>
        <w:overflowPunct w:val="0"/>
        <w:spacing w:line="560" w:lineRule="exact"/>
        <w:ind w:firstLine="632" w:firstLineChars="200"/>
        <w:rPr>
          <w:rFonts w:hint="eastAsia" w:eastAsia="方正仿宋_GBK"/>
          <w:highlight w:val="none"/>
        </w:rPr>
      </w:pPr>
      <w:r>
        <w:rPr>
          <w:rFonts w:hint="eastAsia" w:eastAsia="方正仿宋_GBK"/>
          <w:highlight w:val="none"/>
        </w:rPr>
        <w:t>我方将对你方提交的投入材料进行审核认定，并出具书面认定意见。请你方如实申报，对虚报投入骗取补偿的，将依法追究相关法律责任。《</w:t>
      </w:r>
      <w:r>
        <w:rPr>
          <w:rFonts w:eastAsia="方正仿宋_GBK"/>
          <w:highlight w:val="none"/>
        </w:rPr>
        <w:t>国有农用地公开交易优先承包权告知书</w:t>
      </w:r>
      <w:r>
        <w:rPr>
          <w:rFonts w:hint="eastAsia" w:eastAsia="方正仿宋_GBK"/>
          <w:highlight w:val="none"/>
        </w:rPr>
        <w:t>》送达之日后新增的投入，不予认定和补偿。</w:t>
      </w:r>
    </w:p>
    <w:p w14:paraId="0F83A04B">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你方在告知书要求的期限内未提交或提交材料不完整的，视为放弃投入补偿权利，由此产生的后果由你方自行承担。</w:t>
      </w:r>
    </w:p>
    <w:p w14:paraId="629D6D5C">
      <w:pPr>
        <w:overflowPunct w:val="0"/>
        <w:spacing w:line="560" w:lineRule="exact"/>
        <w:ind w:firstLine="632" w:firstLineChars="200"/>
        <w:rPr>
          <w:rFonts w:hint="default" w:ascii="方正黑体_GBK" w:hAnsi="方正黑体_GBK" w:eastAsia="方正黑体_GBK"/>
          <w:highlight w:val="none"/>
          <w:lang w:val="en-US" w:eastAsia="zh-CN"/>
        </w:rPr>
      </w:pPr>
      <w:r>
        <w:rPr>
          <w:rFonts w:hint="default" w:ascii="方正黑体_GBK" w:hAnsi="方正黑体_GBK" w:eastAsia="方正黑体_GBK"/>
          <w:highlight w:val="none"/>
          <w:lang w:val="en-US" w:eastAsia="zh-CN"/>
        </w:rPr>
        <w:t>七、有效投入评估</w:t>
      </w:r>
    </w:p>
    <w:p w14:paraId="46B52339">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我</w:t>
      </w:r>
      <w:r>
        <w:rPr>
          <w:rFonts w:hint="eastAsia" w:eastAsia="方正仿宋_GBK" w:cs="Times New Roman"/>
          <w:sz w:val="32"/>
          <w:szCs w:val="32"/>
          <w:highlight w:val="none"/>
          <w:lang w:val="en-US" w:eastAsia="zh-CN"/>
        </w:rPr>
        <w:t>方</w:t>
      </w:r>
      <w:r>
        <w:rPr>
          <w:rFonts w:hint="default" w:ascii="Times New Roman" w:hAnsi="Times New Roman" w:eastAsia="方正仿宋_GBK" w:cs="Times New Roman"/>
          <w:sz w:val="32"/>
          <w:szCs w:val="32"/>
          <w:highlight w:val="none"/>
          <w:lang w:val="en-US" w:eastAsia="zh-CN"/>
        </w:rPr>
        <w:t>收到你方提交的有效投入印证资料后，将从喀什地区国有农用地评估机构名录中随机抽选具备对应资质的机构，对</w:t>
      </w:r>
      <w:r>
        <w:rPr>
          <w:rFonts w:hint="eastAsia" w:eastAsia="方正仿宋_GBK" w:cs="Times New Roman"/>
          <w:sz w:val="32"/>
          <w:szCs w:val="32"/>
          <w:highlight w:val="none"/>
          <w:lang w:val="en-US" w:eastAsia="zh-CN"/>
        </w:rPr>
        <w:t>你方</w:t>
      </w:r>
      <w:r>
        <w:rPr>
          <w:rFonts w:hint="default" w:ascii="Times New Roman" w:hAnsi="Times New Roman" w:eastAsia="方正仿宋_GBK" w:cs="Times New Roman"/>
          <w:sz w:val="32"/>
          <w:szCs w:val="32"/>
          <w:highlight w:val="none"/>
          <w:lang w:val="en-US" w:eastAsia="zh-CN"/>
        </w:rPr>
        <w:t>的有效投入进行评估。评估机构将对你方投入的各项内容进行审核评估，出具《有效投入评估报告》，明确评估价值。</w:t>
      </w:r>
      <w:r>
        <w:rPr>
          <w:rFonts w:hint="eastAsia" w:eastAsia="方正仿宋_GBK" w:cs="Times New Roman"/>
          <w:sz w:val="32"/>
          <w:szCs w:val="32"/>
          <w:highlight w:val="none"/>
          <w:lang w:val="en-US" w:eastAsia="zh-CN"/>
        </w:rPr>
        <w:t>评估费用由我方承担。</w:t>
      </w:r>
    </w:p>
    <w:p w14:paraId="0D45D44D">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评估报告形成后，我</w:t>
      </w:r>
      <w:r>
        <w:rPr>
          <w:rFonts w:hint="eastAsia" w:eastAsia="方正仿宋_GBK" w:cs="Times New Roman"/>
          <w:sz w:val="32"/>
          <w:szCs w:val="32"/>
          <w:highlight w:val="none"/>
          <w:lang w:val="en-US" w:eastAsia="zh-CN"/>
        </w:rPr>
        <w:t>方</w:t>
      </w:r>
      <w:r>
        <w:rPr>
          <w:rFonts w:hint="default" w:ascii="Times New Roman" w:hAnsi="Times New Roman" w:eastAsia="方正仿宋_GBK" w:cs="Times New Roman"/>
          <w:sz w:val="32"/>
          <w:szCs w:val="32"/>
          <w:highlight w:val="none"/>
          <w:lang w:val="en-US" w:eastAsia="zh-CN"/>
        </w:rPr>
        <w:t>将向你</w:t>
      </w:r>
      <w:r>
        <w:rPr>
          <w:rFonts w:hint="eastAsia" w:eastAsia="方正仿宋_GBK" w:cs="Times New Roman"/>
          <w:sz w:val="32"/>
          <w:szCs w:val="32"/>
          <w:highlight w:val="none"/>
          <w:lang w:val="en-US" w:eastAsia="zh-CN"/>
        </w:rPr>
        <w:t>方</w:t>
      </w:r>
      <w:r>
        <w:rPr>
          <w:rFonts w:hint="default" w:ascii="Times New Roman" w:hAnsi="Times New Roman" w:eastAsia="方正仿宋_GBK" w:cs="Times New Roman"/>
          <w:sz w:val="32"/>
          <w:szCs w:val="32"/>
          <w:highlight w:val="none"/>
          <w:lang w:val="en-US" w:eastAsia="zh-CN"/>
        </w:rPr>
        <w:t>公示评估结果。如你方对评估结果有异议，可在收到评估报告后</w:t>
      </w:r>
      <w:r>
        <w:rPr>
          <w:rFonts w:hint="eastAsia"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lang w:val="en-US" w:eastAsia="zh-CN"/>
        </w:rPr>
        <w:t>个工作日内向我</w:t>
      </w:r>
      <w:r>
        <w:rPr>
          <w:rFonts w:hint="eastAsia" w:eastAsia="方正仿宋_GBK" w:cs="Times New Roman"/>
          <w:sz w:val="32"/>
          <w:szCs w:val="32"/>
          <w:highlight w:val="none"/>
          <w:lang w:val="en-US" w:eastAsia="zh-CN"/>
        </w:rPr>
        <w:t>方</w:t>
      </w:r>
      <w:r>
        <w:rPr>
          <w:rFonts w:hint="default" w:ascii="Times New Roman" w:hAnsi="Times New Roman" w:eastAsia="方正仿宋_GBK" w:cs="Times New Roman"/>
          <w:sz w:val="32"/>
          <w:szCs w:val="32"/>
          <w:highlight w:val="none"/>
          <w:lang w:val="en-US" w:eastAsia="zh-CN"/>
        </w:rPr>
        <w:t>申请复核一次。</w:t>
      </w:r>
    </w:p>
    <w:p w14:paraId="518FEB27">
      <w:pPr>
        <w:overflowPunct w:val="0"/>
        <w:spacing w:line="560" w:lineRule="exact"/>
        <w:ind w:firstLine="632" w:firstLineChars="200"/>
        <w:rPr>
          <w:rFonts w:hint="default" w:ascii="方正黑体_GBK" w:hAnsi="方正黑体_GBK" w:eastAsia="方正黑体_GBK"/>
          <w:highlight w:val="none"/>
          <w:lang w:val="en-US" w:eastAsia="zh-CN"/>
        </w:rPr>
      </w:pPr>
      <w:r>
        <w:rPr>
          <w:rFonts w:hint="default" w:ascii="方正黑体_GBK" w:hAnsi="方正黑体_GBK" w:eastAsia="方正黑体_GBK"/>
          <w:highlight w:val="none"/>
          <w:lang w:val="en-US" w:eastAsia="zh-CN"/>
        </w:rPr>
        <w:t>八、补偿协议的起草与确认</w:t>
      </w:r>
    </w:p>
    <w:p w14:paraId="3F2A4D19">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评估报告公示无异议后，我</w:t>
      </w:r>
      <w:r>
        <w:rPr>
          <w:rFonts w:hint="eastAsia" w:eastAsia="方正仿宋_GBK" w:cs="Times New Roman"/>
          <w:sz w:val="32"/>
          <w:szCs w:val="32"/>
          <w:highlight w:val="none"/>
          <w:lang w:val="en-US" w:eastAsia="zh-CN"/>
        </w:rPr>
        <w:t>方</w:t>
      </w:r>
      <w:r>
        <w:rPr>
          <w:rFonts w:hint="default" w:ascii="Times New Roman" w:hAnsi="Times New Roman" w:eastAsia="方正仿宋_GBK" w:cs="Times New Roman"/>
          <w:sz w:val="32"/>
          <w:szCs w:val="32"/>
          <w:highlight w:val="none"/>
          <w:lang w:val="en-US" w:eastAsia="zh-CN"/>
        </w:rPr>
        <w:t>将根据评估结果起草《原承包人有效投入补偿协议（草案）》，明确补偿金额、分期方式、支付期限等核心条款，并将协议草案送达你方征求意见。</w:t>
      </w:r>
    </w:p>
    <w:p w14:paraId="1C13FE07">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请你方在收到协议草案后</w:t>
      </w:r>
      <w:r>
        <w:rPr>
          <w:rFonts w:hint="eastAsia"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lang w:val="en-US" w:eastAsia="zh-CN"/>
        </w:rPr>
        <w:t>个工作日内，书面反馈确认意见或修改建议。</w:t>
      </w:r>
      <w:r>
        <w:rPr>
          <w:rFonts w:hint="eastAsia" w:eastAsia="方正仿宋_GBK" w:cs="Times New Roman"/>
          <w:sz w:val="32"/>
          <w:szCs w:val="32"/>
          <w:highlight w:val="none"/>
          <w:lang w:val="en-US" w:eastAsia="zh-CN"/>
        </w:rPr>
        <w:t>未及时确认意见或提出修改建议的，我方将视为你方无意见。</w:t>
      </w:r>
    </w:p>
    <w:p w14:paraId="51AAD40E">
      <w:pPr>
        <w:spacing w:line="560" w:lineRule="exact"/>
        <w:ind w:left="0" w:leftChars="0" w:firstLine="632"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补偿协议将作为交易公告的附件一并公示，潜在竞买人报名参与竞买即视为已知悉并接受补偿协议的全部条款。</w:t>
      </w:r>
    </w:p>
    <w:p w14:paraId="2BF139B8">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lang w:val="en-US" w:eastAsia="zh-CN"/>
        </w:rPr>
        <w:t>九</w:t>
      </w:r>
      <w:r>
        <w:rPr>
          <w:rFonts w:hint="eastAsia" w:ascii="方正黑体_GBK" w:hAnsi="方正黑体_GBK" w:eastAsia="方正黑体_GBK"/>
          <w:highlight w:val="none"/>
        </w:rPr>
        <w:t>、未能成功竞买时有效投入的处置</w:t>
      </w:r>
    </w:p>
    <w:p w14:paraId="179B2546">
      <w:pPr>
        <w:overflowPunct w:val="0"/>
        <w:spacing w:line="560" w:lineRule="exact"/>
        <w:ind w:firstLine="632" w:firstLineChars="200"/>
        <w:rPr>
          <w:rFonts w:eastAsia="方正仿宋_GBK"/>
          <w:highlight w:val="none"/>
        </w:rPr>
      </w:pPr>
      <w:r>
        <w:rPr>
          <w:rFonts w:hint="eastAsia" w:eastAsia="方正仿宋_GBK"/>
          <w:highlight w:val="none"/>
        </w:rPr>
        <w:t>如你方未能在本次公开交易中成功竞买该地块，你方在承包期内的有效投入将按以下方式处置：</w:t>
      </w:r>
    </w:p>
    <w:p w14:paraId="14D6D0AF">
      <w:pPr>
        <w:overflowPunct w:val="0"/>
        <w:spacing w:line="560" w:lineRule="exact"/>
        <w:ind w:firstLine="632" w:firstLineChars="200"/>
        <w:rPr>
          <w:rFonts w:eastAsia="方正仿宋_GBK"/>
          <w:highlight w:val="none"/>
        </w:rPr>
      </w:pPr>
      <w:r>
        <w:rPr>
          <w:rFonts w:hint="eastAsia" w:eastAsia="方正仿宋_GBK"/>
          <w:highlight w:val="none"/>
        </w:rPr>
        <w:t>（一）补偿原则。你方对该地块的有效投入依法享有获得相应补偿的权利，不得无偿收回。</w:t>
      </w:r>
    </w:p>
    <w:p w14:paraId="6699AADD">
      <w:pPr>
        <w:overflowPunct w:val="0"/>
        <w:spacing w:line="560" w:lineRule="exact"/>
        <w:ind w:firstLine="632" w:firstLineChars="200"/>
        <w:rPr>
          <w:rFonts w:eastAsia="方正仿宋_GBK"/>
          <w:highlight w:val="none"/>
        </w:rPr>
      </w:pPr>
      <w:r>
        <w:rPr>
          <w:rFonts w:hint="eastAsia" w:eastAsia="方正仿宋_GBK"/>
          <w:highlight w:val="none"/>
        </w:rPr>
        <w:t>（二）补偿主体。由通过公开交易取得该地块承包经营权的新承包方承担补偿责任。</w:t>
      </w:r>
    </w:p>
    <w:p w14:paraId="26807AFF">
      <w:pPr>
        <w:overflowPunct w:val="0"/>
        <w:spacing w:line="560" w:lineRule="exact"/>
        <w:ind w:firstLine="632" w:firstLineChars="200"/>
        <w:rPr>
          <w:rFonts w:eastAsia="方正仿宋_GBK"/>
          <w:highlight w:val="none"/>
        </w:rPr>
      </w:pPr>
      <w:r>
        <w:rPr>
          <w:rFonts w:hint="eastAsia" w:eastAsia="方正仿宋_GBK"/>
          <w:highlight w:val="none"/>
        </w:rPr>
        <w:t>（三）补偿方式。补偿金额按经你方确认的补偿协议执行。补偿款项由新承包方按协议约定的方式和支付期限支付。</w:t>
      </w:r>
    </w:p>
    <w:p w14:paraId="26F30E10">
      <w:pPr>
        <w:overflowPunct w:val="0"/>
        <w:spacing w:line="560" w:lineRule="exact"/>
        <w:ind w:firstLine="632" w:firstLineChars="200"/>
        <w:rPr>
          <w:rFonts w:eastAsia="方正仿宋_GBK"/>
          <w:highlight w:val="none"/>
        </w:rPr>
      </w:pPr>
      <w:r>
        <w:rPr>
          <w:rFonts w:hint="eastAsia" w:eastAsia="方正仿宋_GBK"/>
          <w:highlight w:val="none"/>
        </w:rPr>
        <w:t>（四）过渡期安排。你方应在第一期补偿款项支付后</w:t>
      </w:r>
      <w:r>
        <w:rPr>
          <w:rFonts w:hint="eastAsia" w:eastAsia="方正仿宋_GBK"/>
          <w:highlight w:val="none"/>
          <w:lang w:val="en-US" w:eastAsia="zh-CN"/>
        </w:rPr>
        <w:t>的5个自然日内</w:t>
      </w:r>
      <w:r>
        <w:rPr>
          <w:rFonts w:hint="eastAsia" w:eastAsia="方正仿宋_GBK"/>
          <w:highlight w:val="none"/>
        </w:rPr>
        <w:t>将地块及地上附着物、生产设施完整移交给新承包方。补偿未完成前，你方有权就其投入资产主张权利，新承包方不得强行处置或拆除你方投入的生产设施。</w:t>
      </w:r>
    </w:p>
    <w:p w14:paraId="44F85EF5">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lang w:val="en-US" w:eastAsia="zh-CN"/>
        </w:rPr>
        <w:t>十</w:t>
      </w:r>
      <w:r>
        <w:rPr>
          <w:rFonts w:hint="eastAsia" w:ascii="方正黑体_GBK" w:hAnsi="方正黑体_GBK" w:eastAsia="方正黑体_GBK"/>
          <w:highlight w:val="none"/>
        </w:rPr>
        <w:t>、特别提示</w:t>
      </w:r>
    </w:p>
    <w:p w14:paraId="7F749CF0">
      <w:pPr>
        <w:overflowPunct w:val="0"/>
        <w:spacing w:line="560" w:lineRule="exact"/>
        <w:ind w:firstLine="632" w:firstLineChars="200"/>
        <w:rPr>
          <w:rFonts w:eastAsia="方正仿宋_GBK"/>
          <w:highlight w:val="none"/>
        </w:rPr>
      </w:pPr>
      <w:r>
        <w:rPr>
          <w:rFonts w:hint="eastAsia" w:eastAsia="方正仿宋_GBK"/>
          <w:highlight w:val="none"/>
        </w:rPr>
        <w:t>（一）交易公告发布后，你方不得新增投入以获取不当补偿，《</w:t>
      </w:r>
      <w:r>
        <w:rPr>
          <w:rFonts w:eastAsia="方正仿宋_GBK"/>
          <w:highlight w:val="none"/>
        </w:rPr>
        <w:t>国有农用地公开交易优先承包权告知书</w:t>
      </w:r>
      <w:r>
        <w:rPr>
          <w:rFonts w:hint="eastAsia" w:eastAsia="方正仿宋_GBK"/>
          <w:highlight w:val="none"/>
        </w:rPr>
        <w:t>》送达之日后新增的投入一律不予认定和补偿。</w:t>
      </w:r>
    </w:p>
    <w:p w14:paraId="4C9238F0">
      <w:pPr>
        <w:overflowPunct w:val="0"/>
        <w:spacing w:line="560" w:lineRule="exact"/>
        <w:ind w:firstLine="632" w:firstLineChars="200"/>
        <w:rPr>
          <w:rFonts w:eastAsia="方正仿宋_GBK"/>
          <w:highlight w:val="none"/>
        </w:rPr>
      </w:pPr>
      <w:r>
        <w:rPr>
          <w:rFonts w:hint="eastAsia" w:eastAsia="方正仿宋_GBK"/>
          <w:highlight w:val="none"/>
        </w:rPr>
        <w:t>（二）如你方通过公开交易继续获得该地块承包经营权，原有投入不予另行补偿，投入形成的附着物及生产设施随承包经营权一并转移，在新合同中予以确认。</w:t>
      </w:r>
    </w:p>
    <w:p w14:paraId="13BC7150">
      <w:pPr>
        <w:overflowPunct w:val="0"/>
        <w:spacing w:line="560" w:lineRule="exact"/>
        <w:ind w:firstLine="632" w:firstLineChars="200"/>
        <w:rPr>
          <w:rFonts w:eastAsia="方正仿宋_GBK"/>
          <w:highlight w:val="none"/>
        </w:rPr>
      </w:pPr>
      <w:r>
        <w:rPr>
          <w:rFonts w:hint="eastAsia" w:eastAsia="方正仿宋_GBK"/>
          <w:highlight w:val="none"/>
        </w:rPr>
        <w:t>（三）如有疑问，请联系（发包主体），联系人：***，联系电话：*******。</w:t>
      </w:r>
    </w:p>
    <w:p w14:paraId="0E9D5AA3">
      <w:pPr>
        <w:overflowPunct w:val="0"/>
        <w:spacing w:line="560" w:lineRule="exact"/>
        <w:ind w:firstLine="632" w:firstLineChars="200"/>
        <w:rPr>
          <w:rFonts w:eastAsia="方正仿宋_GBK"/>
          <w:highlight w:val="none"/>
        </w:rPr>
      </w:pPr>
      <w:r>
        <w:rPr>
          <w:rFonts w:hint="eastAsia" w:eastAsia="方正仿宋_GBK"/>
          <w:highlight w:val="none"/>
        </w:rPr>
        <w:t>特此告知。</w:t>
      </w:r>
    </w:p>
    <w:p w14:paraId="45AAEB31">
      <w:pPr>
        <w:overflowPunct w:val="0"/>
        <w:spacing w:line="560" w:lineRule="exact"/>
        <w:ind w:firstLine="632" w:firstLineChars="200"/>
        <w:rPr>
          <w:rFonts w:eastAsia="方正仿宋_GBK"/>
          <w:highlight w:val="none"/>
        </w:rPr>
      </w:pPr>
    </w:p>
    <w:p w14:paraId="5A80D6B9">
      <w:pPr>
        <w:overflowPunct w:val="0"/>
        <w:spacing w:line="560" w:lineRule="exact"/>
        <w:ind w:right="622" w:rightChars="197" w:firstLine="632" w:firstLineChars="200"/>
        <w:jc w:val="right"/>
        <w:rPr>
          <w:rFonts w:eastAsia="方正仿宋_GBK"/>
          <w:highlight w:val="none"/>
        </w:rPr>
      </w:pPr>
      <w:r>
        <w:rPr>
          <w:rFonts w:hint="eastAsia" w:eastAsia="方正仿宋_GBK"/>
          <w:highlight w:val="none"/>
        </w:rPr>
        <w:t>发包主体（盖章）</w:t>
      </w:r>
    </w:p>
    <w:p w14:paraId="5A531686">
      <w:pPr>
        <w:overflowPunct w:val="0"/>
        <w:spacing w:line="560" w:lineRule="exact"/>
        <w:ind w:right="622" w:rightChars="197" w:firstLine="632" w:firstLineChars="200"/>
        <w:jc w:val="right"/>
        <w:rPr>
          <w:rFonts w:eastAsia="方正仿宋_GBK"/>
          <w:highlight w:val="none"/>
        </w:rPr>
      </w:pPr>
      <w:r>
        <w:rPr>
          <w:rFonts w:hint="eastAsia" w:eastAsia="方正仿宋_GBK"/>
          <w:highlight w:val="none"/>
        </w:rPr>
        <w:t>****年**月**日</w:t>
      </w:r>
    </w:p>
    <w:p w14:paraId="325E4D70">
      <w:pPr>
        <w:overflowPunct w:val="0"/>
        <w:spacing w:line="560" w:lineRule="exact"/>
        <w:jc w:val="center"/>
        <w:rPr>
          <w:rFonts w:hint="eastAsia" w:ascii="方正黑体_GBK" w:hAnsi="方正黑体_GBK" w:eastAsia="方正黑体_GBK"/>
          <w:highlight w:val="none"/>
        </w:rPr>
      </w:pPr>
    </w:p>
    <w:p w14:paraId="410C2589">
      <w:pPr>
        <w:overflowPunct w:val="0"/>
        <w:spacing w:line="560" w:lineRule="exact"/>
        <w:jc w:val="center"/>
        <w:rPr>
          <w:rFonts w:hint="eastAsia" w:ascii="方正黑体_GBK" w:hAnsi="方正黑体_GBK" w:eastAsia="方正黑体_GBK"/>
          <w:highlight w:val="none"/>
        </w:rPr>
      </w:pPr>
    </w:p>
    <w:p w14:paraId="4A837F0B">
      <w:pPr>
        <w:overflowPunct w:val="0"/>
        <w:spacing w:line="560" w:lineRule="exact"/>
        <w:jc w:val="center"/>
        <w:rPr>
          <w:rFonts w:hint="eastAsia" w:ascii="方正黑体_GBK" w:hAnsi="方正黑体_GBK" w:eastAsia="方正黑体_GBK"/>
          <w:highlight w:val="none"/>
        </w:rPr>
      </w:pPr>
    </w:p>
    <w:p w14:paraId="285C9BD0">
      <w:pPr>
        <w:overflowPunct w:val="0"/>
        <w:spacing w:line="560" w:lineRule="exact"/>
        <w:jc w:val="center"/>
        <w:rPr>
          <w:rFonts w:hint="eastAsia" w:ascii="方正黑体_GBK" w:hAnsi="方正黑体_GBK" w:eastAsia="方正黑体_GBK"/>
          <w:highlight w:val="none"/>
        </w:rPr>
      </w:pPr>
    </w:p>
    <w:p w14:paraId="725BB7C6">
      <w:pPr>
        <w:overflowPunct w:val="0"/>
        <w:spacing w:line="560" w:lineRule="exact"/>
        <w:jc w:val="center"/>
        <w:rPr>
          <w:rFonts w:hint="eastAsia" w:ascii="方正黑体_GBK" w:hAnsi="方正黑体_GBK" w:eastAsia="方正黑体_GBK"/>
          <w:highlight w:val="none"/>
        </w:rPr>
      </w:pPr>
    </w:p>
    <w:p w14:paraId="0633B1FC">
      <w:pPr>
        <w:overflowPunct w:val="0"/>
        <w:spacing w:line="560" w:lineRule="exact"/>
        <w:jc w:val="center"/>
        <w:rPr>
          <w:rFonts w:hint="eastAsia" w:ascii="方正黑体_GBK" w:hAnsi="方正黑体_GBK" w:eastAsia="方正黑体_GBK"/>
          <w:highlight w:val="none"/>
        </w:rPr>
      </w:pPr>
    </w:p>
    <w:p w14:paraId="3F9D86DF">
      <w:pPr>
        <w:overflowPunct w:val="0"/>
        <w:spacing w:line="560" w:lineRule="exact"/>
        <w:jc w:val="center"/>
        <w:rPr>
          <w:rFonts w:hint="eastAsia" w:ascii="方正黑体_GBK" w:hAnsi="方正黑体_GBK" w:eastAsia="方正黑体_GBK"/>
          <w:highlight w:val="none"/>
        </w:rPr>
      </w:pPr>
    </w:p>
    <w:p w14:paraId="74971AC4">
      <w:pPr>
        <w:overflowPunct w:val="0"/>
        <w:spacing w:line="560" w:lineRule="exact"/>
        <w:jc w:val="center"/>
        <w:rPr>
          <w:rFonts w:hint="eastAsia" w:ascii="方正黑体_GBK" w:hAnsi="方正黑体_GBK" w:eastAsia="方正黑体_GBK"/>
          <w:highlight w:val="none"/>
        </w:rPr>
      </w:pPr>
    </w:p>
    <w:p w14:paraId="78DA0102">
      <w:pPr>
        <w:overflowPunct w:val="0"/>
        <w:spacing w:line="560" w:lineRule="exact"/>
        <w:jc w:val="center"/>
        <w:rPr>
          <w:rFonts w:hint="eastAsia" w:ascii="方正黑体_GBK" w:hAnsi="方正黑体_GBK" w:eastAsia="方正黑体_GBK"/>
          <w:highlight w:val="none"/>
        </w:rPr>
      </w:pPr>
    </w:p>
    <w:p w14:paraId="41945215">
      <w:pPr>
        <w:overflowPunct w:val="0"/>
        <w:spacing w:line="560" w:lineRule="exact"/>
        <w:jc w:val="center"/>
        <w:rPr>
          <w:rFonts w:hint="eastAsia" w:ascii="方正黑体_GBK" w:hAnsi="方正黑体_GBK" w:eastAsia="方正黑体_GBK"/>
          <w:highlight w:val="none"/>
        </w:rPr>
      </w:pPr>
    </w:p>
    <w:p w14:paraId="6AE6011F">
      <w:pPr>
        <w:overflowPunct w:val="0"/>
        <w:spacing w:line="560" w:lineRule="exact"/>
        <w:jc w:val="center"/>
        <w:rPr>
          <w:rFonts w:hint="eastAsia" w:ascii="方正黑体_GBK" w:hAnsi="方正黑体_GBK" w:eastAsia="方正黑体_GBK"/>
          <w:highlight w:val="none"/>
        </w:rPr>
      </w:pPr>
    </w:p>
    <w:p w14:paraId="080D6329">
      <w:pPr>
        <w:overflowPunct w:val="0"/>
        <w:spacing w:line="560" w:lineRule="exact"/>
        <w:jc w:val="center"/>
        <w:rPr>
          <w:rFonts w:hint="eastAsia" w:ascii="方正黑体_GBK" w:hAnsi="方正黑体_GBK" w:eastAsia="方正黑体_GBK"/>
          <w:highlight w:val="none"/>
        </w:rPr>
      </w:pPr>
      <w:r>
        <w:rPr>
          <w:rFonts w:hint="eastAsia" w:ascii="方正黑体_GBK" w:hAnsi="方正黑体_GBK" w:eastAsia="方正黑体_GBK"/>
          <w:highlight w:val="none"/>
        </w:rPr>
        <w:t>送达回执</w:t>
      </w:r>
    </w:p>
    <w:p w14:paraId="04A1DD50">
      <w:pPr>
        <w:overflowPunct w:val="0"/>
        <w:spacing w:line="560" w:lineRule="exact"/>
        <w:ind w:firstLine="632" w:firstLineChars="200"/>
        <w:rPr>
          <w:rFonts w:eastAsia="方正仿宋_GBK"/>
          <w:highlight w:val="none"/>
        </w:rPr>
      </w:pPr>
    </w:p>
    <w:p w14:paraId="50B3E921">
      <w:pPr>
        <w:overflowPunct w:val="0"/>
        <w:spacing w:line="560" w:lineRule="exact"/>
        <w:ind w:firstLine="632" w:firstLineChars="200"/>
        <w:rPr>
          <w:rFonts w:eastAsia="方正仿宋_GBK"/>
          <w:highlight w:val="none"/>
        </w:rPr>
      </w:pPr>
      <w:r>
        <w:rPr>
          <w:rFonts w:hint="eastAsia" w:eastAsia="方正仿宋_GBK"/>
          <w:highlight w:val="none"/>
        </w:rPr>
        <w:t>送达文书：《国有农用地公开交易优先承包权告知书》</w:t>
      </w:r>
    </w:p>
    <w:p w14:paraId="21037121">
      <w:pPr>
        <w:overflowPunct w:val="0"/>
        <w:spacing w:line="560" w:lineRule="exact"/>
        <w:ind w:firstLine="632" w:firstLineChars="200"/>
        <w:rPr>
          <w:rFonts w:eastAsia="方正仿宋_GBK"/>
          <w:highlight w:val="none"/>
        </w:rPr>
      </w:pPr>
      <w:r>
        <w:rPr>
          <w:rFonts w:hint="eastAsia" w:eastAsia="方正仿宋_GBK"/>
          <w:highlight w:val="none"/>
        </w:rPr>
        <w:t>送达地点：</w:t>
      </w:r>
    </w:p>
    <w:p w14:paraId="1C17C62C">
      <w:pPr>
        <w:overflowPunct w:val="0"/>
        <w:spacing w:line="560" w:lineRule="exact"/>
        <w:ind w:firstLine="632" w:firstLineChars="200"/>
        <w:rPr>
          <w:rFonts w:eastAsia="方正仿宋_GBK"/>
          <w:highlight w:val="none"/>
        </w:rPr>
      </w:pPr>
      <w:r>
        <w:rPr>
          <w:rFonts w:hint="eastAsia" w:eastAsia="方正仿宋_GBK"/>
          <w:highlight w:val="none"/>
        </w:rPr>
        <w:t>送达方式：□直接送达□邮寄送达□其他</w:t>
      </w:r>
    </w:p>
    <w:p w14:paraId="571A4EE3">
      <w:pPr>
        <w:overflowPunct w:val="0"/>
        <w:spacing w:line="560" w:lineRule="exact"/>
        <w:ind w:firstLine="632" w:firstLineChars="200"/>
        <w:rPr>
          <w:rFonts w:eastAsia="方正仿宋_GBK"/>
          <w:highlight w:val="none"/>
        </w:rPr>
      </w:pPr>
      <w:r>
        <w:rPr>
          <w:rFonts w:hint="eastAsia" w:eastAsia="方正仿宋_GBK"/>
          <w:highlight w:val="none"/>
        </w:rPr>
        <w:t>送达人</w:t>
      </w:r>
      <w:r>
        <w:rPr>
          <w:rFonts w:hint="eastAsia" w:eastAsia="方正仿宋_GBK"/>
          <w:highlight w:val="none"/>
        </w:rPr>
        <w:tab/>
      </w:r>
      <w:r>
        <w:rPr>
          <w:rFonts w:hint="eastAsia" w:eastAsia="方正仿宋_GBK"/>
          <w:highlight w:val="none"/>
        </w:rPr>
        <w:t xml:space="preserve">：          签收人：         </w:t>
      </w:r>
      <w:r>
        <w:rPr>
          <w:rFonts w:hint="eastAsia" w:eastAsia="方正仿宋_GBK"/>
          <w:highlight w:val="none"/>
        </w:rPr>
        <w:tab/>
      </w:r>
      <w:r>
        <w:rPr>
          <w:rFonts w:hint="eastAsia" w:eastAsia="方正仿宋_GBK"/>
          <w:highlight w:val="none"/>
        </w:rPr>
        <w:t>送达日期：</w:t>
      </w:r>
    </w:p>
    <w:p w14:paraId="34A19A22">
      <w:pPr>
        <w:overflowPunct w:val="0"/>
        <w:spacing w:line="560" w:lineRule="exact"/>
        <w:ind w:firstLine="632" w:firstLineChars="200"/>
        <w:rPr>
          <w:rFonts w:eastAsia="方正仿宋_GBK"/>
          <w:highlight w:val="none"/>
        </w:rPr>
      </w:pPr>
    </w:p>
    <w:p w14:paraId="22D0F533">
      <w:pPr>
        <w:overflowPunct w:val="0"/>
        <w:spacing w:line="560" w:lineRule="exact"/>
        <w:ind w:firstLine="632" w:firstLineChars="200"/>
        <w:rPr>
          <w:rFonts w:eastAsia="方正仿宋_GBK"/>
          <w:highlight w:val="none"/>
        </w:rPr>
      </w:pPr>
    </w:p>
    <w:p w14:paraId="2751508E">
      <w:pPr>
        <w:overflowPunct w:val="0"/>
        <w:spacing w:line="560" w:lineRule="exact"/>
        <w:jc w:val="center"/>
        <w:rPr>
          <w:rFonts w:hint="eastAsia" w:ascii="方正黑体_GBK" w:hAnsi="方正黑体_GBK" w:eastAsia="方正黑体_GBK"/>
          <w:highlight w:val="none"/>
        </w:rPr>
      </w:pPr>
      <w:r>
        <w:rPr>
          <w:rFonts w:hint="eastAsia" w:ascii="方正黑体_GBK" w:hAnsi="方正黑体_GBK" w:eastAsia="方正黑体_GBK"/>
          <w:highlight w:val="none"/>
        </w:rPr>
        <w:t>回执</w:t>
      </w:r>
    </w:p>
    <w:p w14:paraId="1A1824E6">
      <w:pPr>
        <w:overflowPunct w:val="0"/>
        <w:spacing w:line="560" w:lineRule="exact"/>
        <w:ind w:firstLine="632" w:firstLineChars="200"/>
        <w:rPr>
          <w:rFonts w:eastAsia="方正仿宋_GBK"/>
          <w:highlight w:val="none"/>
        </w:rPr>
      </w:pPr>
      <w:r>
        <w:rPr>
          <w:rFonts w:hint="eastAsia" w:ascii="方正仿宋_GBK" w:hAnsi="方正仿宋_GBK" w:eastAsia="方正仿宋_GBK" w:cs="方正仿宋_GBK"/>
          <w:highlight w:val="none"/>
        </w:rPr>
        <w:t>[发包主体]</w:t>
      </w:r>
      <w:r>
        <w:rPr>
          <w:rFonts w:hint="eastAsia" w:eastAsia="方正仿宋_GBK"/>
          <w:highlight w:val="none"/>
        </w:rPr>
        <w:t>：</w:t>
      </w:r>
    </w:p>
    <w:p w14:paraId="294E4E3B">
      <w:pPr>
        <w:overflowPunct w:val="0"/>
        <w:spacing w:line="560" w:lineRule="exact"/>
        <w:ind w:firstLine="632" w:firstLineChars="200"/>
        <w:rPr>
          <w:rFonts w:eastAsia="方正仿宋_GBK"/>
          <w:highlight w:val="none"/>
        </w:rPr>
      </w:pPr>
      <w:r>
        <w:rPr>
          <w:rFonts w:hint="eastAsia" w:eastAsia="方正仿宋_GBK"/>
          <w:highlight w:val="none"/>
        </w:rPr>
        <w:t>你单位送达的《国有农用地公开交易优先承包权告知书》已收悉。</w:t>
      </w:r>
    </w:p>
    <w:p w14:paraId="19EE1E80">
      <w:pPr>
        <w:overflowPunct w:val="0"/>
        <w:spacing w:line="560" w:lineRule="exact"/>
        <w:ind w:firstLine="632" w:firstLineChars="200"/>
        <w:rPr>
          <w:rFonts w:eastAsia="方正仿宋_GBK"/>
          <w:highlight w:val="none"/>
        </w:rPr>
      </w:pPr>
      <w:r>
        <w:rPr>
          <w:rFonts w:hint="eastAsia" w:eastAsia="方正仿宋_GBK"/>
          <w:highlight w:val="none"/>
        </w:rPr>
        <w:t>□本人/本单位决定参与竞买，并将按照交易公告要求在规定期限内完成报名。</w:t>
      </w:r>
    </w:p>
    <w:p w14:paraId="3EF76913">
      <w:pPr>
        <w:overflowPunct w:val="0"/>
        <w:spacing w:line="560" w:lineRule="exact"/>
        <w:ind w:firstLine="632" w:firstLineChars="200"/>
        <w:rPr>
          <w:rFonts w:eastAsia="方正仿宋_GBK"/>
          <w:highlight w:val="none"/>
        </w:rPr>
      </w:pPr>
      <w:r>
        <w:rPr>
          <w:rFonts w:hint="eastAsia" w:eastAsia="方正仿宋_GBK"/>
          <w:highlight w:val="none"/>
        </w:rPr>
        <w:t>□本人/本单位自愿放弃优先承包权。</w:t>
      </w:r>
    </w:p>
    <w:p w14:paraId="32A535FE">
      <w:pPr>
        <w:overflowPunct w:val="0"/>
        <w:spacing w:line="560" w:lineRule="exact"/>
        <w:ind w:firstLine="632" w:firstLineChars="200"/>
        <w:rPr>
          <w:rFonts w:eastAsia="方正仿宋_GBK"/>
          <w:highlight w:val="none"/>
        </w:rPr>
      </w:pPr>
      <w:r>
        <w:rPr>
          <w:rFonts w:hint="eastAsia" w:eastAsia="方正仿宋_GBK"/>
          <w:highlight w:val="none"/>
        </w:rPr>
        <w:t>本人/本单位已认真阅读并理解告知书中全部内容，将按规定及时提交有效投入证明材料。</w:t>
      </w:r>
    </w:p>
    <w:p w14:paraId="071518D5">
      <w:pPr>
        <w:overflowPunct w:val="0"/>
        <w:spacing w:line="560" w:lineRule="exact"/>
        <w:ind w:firstLine="632" w:firstLineChars="200"/>
        <w:rPr>
          <w:rFonts w:eastAsia="方正仿宋_GBK"/>
          <w:highlight w:val="none"/>
        </w:rPr>
      </w:pPr>
    </w:p>
    <w:p w14:paraId="4F6668C3">
      <w:pPr>
        <w:overflowPunct w:val="0"/>
        <w:spacing w:line="560" w:lineRule="exact"/>
        <w:ind w:firstLine="632" w:firstLineChars="200"/>
        <w:rPr>
          <w:rFonts w:eastAsia="方正仿宋_GBK"/>
          <w:highlight w:val="none"/>
        </w:rPr>
      </w:pPr>
      <w:r>
        <w:rPr>
          <w:rFonts w:hint="eastAsia" w:eastAsia="方正仿宋_GBK"/>
          <w:highlight w:val="none"/>
        </w:rPr>
        <w:t>原承包人（签字/盖章）：</w:t>
      </w:r>
    </w:p>
    <w:p w14:paraId="6F4FD85F">
      <w:pPr>
        <w:overflowPunct w:val="0"/>
        <w:spacing w:line="560" w:lineRule="exact"/>
        <w:ind w:firstLine="632" w:firstLineChars="200"/>
        <w:rPr>
          <w:rFonts w:eastAsia="方正仿宋_GBK"/>
          <w:highlight w:val="none"/>
        </w:rPr>
      </w:pPr>
      <w:r>
        <w:rPr>
          <w:rFonts w:hint="eastAsia" w:eastAsia="方正仿宋_GBK"/>
          <w:highlight w:val="none"/>
        </w:rPr>
        <w:t>日期：</w:t>
      </w:r>
    </w:p>
    <w:p w14:paraId="76754FC4">
      <w:pPr>
        <w:overflowPunct w:val="0"/>
        <w:rPr>
          <w:rFonts w:eastAsia="方正仿宋_GBK"/>
          <w:highlight w:val="none"/>
        </w:rPr>
      </w:pPr>
      <w:r>
        <w:rPr>
          <w:rFonts w:eastAsia="方正仿宋_GBK"/>
          <w:highlight w:val="none"/>
        </w:rPr>
        <w:br w:type="page"/>
      </w:r>
    </w:p>
    <w:p w14:paraId="5D321159">
      <w:pPr>
        <w:overflowPunct w:val="0"/>
        <w:spacing w:line="560" w:lineRule="exact"/>
        <w:rPr>
          <w:rFonts w:hint="eastAsia" w:ascii="方正黑体_GBK" w:hAnsi="方正黑体_GBK" w:eastAsia="方正黑体_GBK"/>
          <w:highlight w:val="none"/>
        </w:rPr>
      </w:pPr>
      <w:r>
        <w:rPr>
          <w:rFonts w:hint="eastAsia" w:ascii="方正黑体_GBK" w:hAnsi="方正黑体_GBK" w:eastAsia="方正黑体_GBK"/>
          <w:highlight w:val="none"/>
        </w:rPr>
        <w:t>附件2</w:t>
      </w:r>
    </w:p>
    <w:p w14:paraId="2F63F1FF">
      <w:pPr>
        <w:overflowPunct w:val="0"/>
        <w:spacing w:line="560" w:lineRule="exact"/>
        <w:ind w:firstLine="632" w:firstLineChars="200"/>
        <w:rPr>
          <w:rFonts w:eastAsia="方正仿宋_GBK"/>
          <w:highlight w:val="none"/>
        </w:rPr>
      </w:pPr>
    </w:p>
    <w:p w14:paraId="5292EB52">
      <w:pPr>
        <w:overflowPunct w:val="0"/>
        <w:spacing w:line="560" w:lineRule="exact"/>
        <w:jc w:val="center"/>
        <w:rPr>
          <w:rFonts w:hint="eastAsia" w:ascii="方正小标宋_GBK" w:hAnsi="方正小标宋_GBK" w:eastAsia="方正小标宋_GBK"/>
          <w:sz w:val="44"/>
          <w:szCs w:val="44"/>
          <w:highlight w:val="none"/>
        </w:rPr>
      </w:pPr>
      <w:r>
        <w:rPr>
          <w:rFonts w:ascii="方正小标宋_GBK" w:hAnsi="方正小标宋_GBK" w:eastAsia="方正小标宋_GBK"/>
          <w:sz w:val="44"/>
          <w:szCs w:val="44"/>
          <w:highlight w:val="none"/>
        </w:rPr>
        <w:t>原承包合同履行情况的认定书（模板）</w:t>
      </w:r>
    </w:p>
    <w:p w14:paraId="47B5B945">
      <w:pPr>
        <w:overflowPunct w:val="0"/>
        <w:spacing w:line="560" w:lineRule="exact"/>
        <w:ind w:firstLine="632" w:firstLineChars="200"/>
        <w:jc w:val="right"/>
        <w:rPr>
          <w:rFonts w:eastAsia="方正仿宋_GBK"/>
          <w:highlight w:val="none"/>
        </w:rPr>
      </w:pPr>
      <w:r>
        <w:rPr>
          <w:rFonts w:hint="eastAsia" w:eastAsia="方正仿宋_GBK"/>
          <w:highlight w:val="none"/>
        </w:rPr>
        <w:t>地块编号：*************</w:t>
      </w:r>
    </w:p>
    <w:p w14:paraId="657483C9">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一、地块基本信息</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2209"/>
        <w:gridCol w:w="2209"/>
        <w:gridCol w:w="2209"/>
      </w:tblGrid>
      <w:tr w14:paraId="5AD7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08" w:type="dxa"/>
          </w:tcPr>
          <w:p w14:paraId="3664C411">
            <w:pPr>
              <w:overflowPunct w:val="0"/>
              <w:spacing w:line="320" w:lineRule="exact"/>
              <w:rPr>
                <w:rFonts w:eastAsia="方正仿宋_GBK"/>
                <w:sz w:val="24"/>
                <w:szCs w:val="24"/>
                <w:highlight w:val="none"/>
              </w:rPr>
            </w:pPr>
            <w:r>
              <w:rPr>
                <w:rFonts w:eastAsia="方正仿宋_GBK"/>
                <w:sz w:val="24"/>
                <w:szCs w:val="24"/>
                <w:highlight w:val="none"/>
              </w:rPr>
              <w:t>地块名称</w:t>
            </w:r>
          </w:p>
        </w:tc>
        <w:tc>
          <w:tcPr>
            <w:tcW w:w="2209" w:type="dxa"/>
          </w:tcPr>
          <w:p w14:paraId="52C2A421">
            <w:pPr>
              <w:overflowPunct w:val="0"/>
              <w:spacing w:line="320" w:lineRule="exact"/>
              <w:rPr>
                <w:rFonts w:eastAsia="方正仿宋_GBK"/>
                <w:sz w:val="24"/>
                <w:szCs w:val="24"/>
                <w:highlight w:val="none"/>
              </w:rPr>
            </w:pPr>
          </w:p>
        </w:tc>
        <w:tc>
          <w:tcPr>
            <w:tcW w:w="2209" w:type="dxa"/>
          </w:tcPr>
          <w:p w14:paraId="101F6BAB">
            <w:pPr>
              <w:overflowPunct w:val="0"/>
              <w:spacing w:line="320" w:lineRule="exact"/>
              <w:rPr>
                <w:rFonts w:eastAsia="方正仿宋_GBK"/>
                <w:sz w:val="24"/>
                <w:szCs w:val="24"/>
                <w:highlight w:val="none"/>
              </w:rPr>
            </w:pPr>
            <w:r>
              <w:rPr>
                <w:rFonts w:eastAsia="方正仿宋_GBK"/>
                <w:sz w:val="24"/>
                <w:szCs w:val="24"/>
                <w:highlight w:val="none"/>
              </w:rPr>
              <w:t>地块编号</w:t>
            </w:r>
          </w:p>
        </w:tc>
        <w:tc>
          <w:tcPr>
            <w:tcW w:w="2209" w:type="dxa"/>
          </w:tcPr>
          <w:p w14:paraId="20724542">
            <w:pPr>
              <w:overflowPunct w:val="0"/>
              <w:spacing w:line="320" w:lineRule="exact"/>
              <w:rPr>
                <w:rFonts w:eastAsia="方正仿宋_GBK"/>
                <w:sz w:val="24"/>
                <w:szCs w:val="24"/>
                <w:highlight w:val="none"/>
              </w:rPr>
            </w:pPr>
          </w:p>
        </w:tc>
      </w:tr>
      <w:tr w14:paraId="0CC2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1E7D3AC8">
            <w:pPr>
              <w:overflowPunct w:val="0"/>
              <w:spacing w:line="320" w:lineRule="exact"/>
              <w:rPr>
                <w:rFonts w:eastAsia="方正仿宋_GBK"/>
                <w:sz w:val="24"/>
                <w:szCs w:val="24"/>
                <w:highlight w:val="none"/>
              </w:rPr>
            </w:pPr>
            <w:r>
              <w:rPr>
                <w:rFonts w:eastAsia="方正仿宋_GBK"/>
                <w:sz w:val="24"/>
                <w:szCs w:val="24"/>
                <w:highlight w:val="none"/>
              </w:rPr>
              <w:t>地块位置</w:t>
            </w:r>
          </w:p>
        </w:tc>
        <w:tc>
          <w:tcPr>
            <w:tcW w:w="2209" w:type="dxa"/>
          </w:tcPr>
          <w:p w14:paraId="4544C314">
            <w:pPr>
              <w:overflowPunct w:val="0"/>
              <w:spacing w:line="320" w:lineRule="exact"/>
              <w:rPr>
                <w:rFonts w:eastAsia="方正仿宋_GBK"/>
                <w:sz w:val="24"/>
                <w:szCs w:val="24"/>
                <w:highlight w:val="none"/>
              </w:rPr>
            </w:pPr>
          </w:p>
        </w:tc>
        <w:tc>
          <w:tcPr>
            <w:tcW w:w="2209" w:type="dxa"/>
          </w:tcPr>
          <w:p w14:paraId="79FCA77C">
            <w:pPr>
              <w:overflowPunct w:val="0"/>
              <w:spacing w:line="320" w:lineRule="exact"/>
              <w:rPr>
                <w:rFonts w:eastAsia="方正仿宋_GBK"/>
                <w:sz w:val="24"/>
                <w:szCs w:val="24"/>
                <w:highlight w:val="none"/>
              </w:rPr>
            </w:pPr>
            <w:r>
              <w:rPr>
                <w:rFonts w:eastAsia="方正仿宋_GBK"/>
                <w:sz w:val="24"/>
                <w:szCs w:val="24"/>
                <w:highlight w:val="none"/>
              </w:rPr>
              <w:t>地块面积</w:t>
            </w:r>
          </w:p>
        </w:tc>
        <w:tc>
          <w:tcPr>
            <w:tcW w:w="2209" w:type="dxa"/>
          </w:tcPr>
          <w:p w14:paraId="6CB23C5A">
            <w:pPr>
              <w:overflowPunct w:val="0"/>
              <w:spacing w:line="320" w:lineRule="exact"/>
              <w:rPr>
                <w:rFonts w:eastAsia="方正仿宋_GBK"/>
                <w:sz w:val="24"/>
                <w:szCs w:val="24"/>
                <w:highlight w:val="none"/>
              </w:rPr>
            </w:pPr>
          </w:p>
        </w:tc>
      </w:tr>
      <w:tr w14:paraId="4D82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10AD9CC2">
            <w:pPr>
              <w:overflowPunct w:val="0"/>
              <w:spacing w:line="320" w:lineRule="exact"/>
              <w:rPr>
                <w:rFonts w:eastAsia="方正仿宋_GBK"/>
                <w:sz w:val="24"/>
                <w:szCs w:val="24"/>
                <w:highlight w:val="none"/>
              </w:rPr>
            </w:pPr>
            <w:r>
              <w:rPr>
                <w:rFonts w:eastAsia="方正仿宋_GBK"/>
                <w:sz w:val="24"/>
                <w:szCs w:val="24"/>
                <w:highlight w:val="none"/>
              </w:rPr>
              <w:t>原承包人</w:t>
            </w:r>
          </w:p>
        </w:tc>
        <w:tc>
          <w:tcPr>
            <w:tcW w:w="2209" w:type="dxa"/>
          </w:tcPr>
          <w:p w14:paraId="6F637C11">
            <w:pPr>
              <w:overflowPunct w:val="0"/>
              <w:spacing w:line="320" w:lineRule="exact"/>
              <w:rPr>
                <w:rFonts w:eastAsia="方正仿宋_GBK"/>
                <w:sz w:val="24"/>
                <w:szCs w:val="24"/>
                <w:highlight w:val="none"/>
              </w:rPr>
            </w:pPr>
          </w:p>
        </w:tc>
        <w:tc>
          <w:tcPr>
            <w:tcW w:w="2209" w:type="dxa"/>
          </w:tcPr>
          <w:p w14:paraId="569B7DDA">
            <w:pPr>
              <w:overflowPunct w:val="0"/>
              <w:spacing w:line="320" w:lineRule="exact"/>
              <w:rPr>
                <w:rFonts w:eastAsia="方正仿宋_GBK"/>
                <w:sz w:val="24"/>
                <w:szCs w:val="24"/>
                <w:highlight w:val="none"/>
              </w:rPr>
            </w:pPr>
            <w:r>
              <w:rPr>
                <w:rFonts w:eastAsia="方正仿宋_GBK"/>
                <w:sz w:val="24"/>
                <w:szCs w:val="24"/>
                <w:highlight w:val="none"/>
              </w:rPr>
              <w:t>身份证号/统一社会信用代码</w:t>
            </w:r>
          </w:p>
        </w:tc>
        <w:tc>
          <w:tcPr>
            <w:tcW w:w="2209" w:type="dxa"/>
          </w:tcPr>
          <w:p w14:paraId="263800C5">
            <w:pPr>
              <w:overflowPunct w:val="0"/>
              <w:spacing w:line="320" w:lineRule="exact"/>
              <w:rPr>
                <w:rFonts w:eastAsia="方正仿宋_GBK"/>
                <w:sz w:val="24"/>
                <w:szCs w:val="24"/>
                <w:highlight w:val="none"/>
              </w:rPr>
            </w:pPr>
          </w:p>
        </w:tc>
      </w:tr>
      <w:tr w14:paraId="61A1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18F57F9C">
            <w:pPr>
              <w:overflowPunct w:val="0"/>
              <w:spacing w:line="320" w:lineRule="exact"/>
              <w:rPr>
                <w:rFonts w:eastAsia="方正仿宋_GBK"/>
                <w:sz w:val="24"/>
                <w:szCs w:val="24"/>
                <w:highlight w:val="none"/>
              </w:rPr>
            </w:pPr>
            <w:r>
              <w:rPr>
                <w:rFonts w:eastAsia="方正仿宋_GBK"/>
                <w:sz w:val="24"/>
                <w:szCs w:val="24"/>
                <w:highlight w:val="none"/>
              </w:rPr>
              <w:t>原发包主体</w:t>
            </w:r>
          </w:p>
        </w:tc>
        <w:tc>
          <w:tcPr>
            <w:tcW w:w="2209" w:type="dxa"/>
          </w:tcPr>
          <w:p w14:paraId="1D2D3C78">
            <w:pPr>
              <w:overflowPunct w:val="0"/>
              <w:spacing w:line="320" w:lineRule="exact"/>
              <w:rPr>
                <w:rFonts w:eastAsia="方正仿宋_GBK"/>
                <w:sz w:val="24"/>
                <w:szCs w:val="24"/>
                <w:highlight w:val="none"/>
              </w:rPr>
            </w:pPr>
          </w:p>
        </w:tc>
        <w:tc>
          <w:tcPr>
            <w:tcW w:w="2209" w:type="dxa"/>
          </w:tcPr>
          <w:p w14:paraId="6B75954B">
            <w:pPr>
              <w:overflowPunct w:val="0"/>
              <w:spacing w:line="320" w:lineRule="exact"/>
              <w:rPr>
                <w:rFonts w:eastAsia="方正仿宋_GBK"/>
                <w:sz w:val="24"/>
                <w:szCs w:val="24"/>
                <w:highlight w:val="none"/>
              </w:rPr>
            </w:pPr>
            <w:r>
              <w:rPr>
                <w:rFonts w:eastAsia="方正仿宋_GBK"/>
                <w:sz w:val="24"/>
                <w:szCs w:val="24"/>
                <w:highlight w:val="none"/>
              </w:rPr>
              <w:t>合同编号</w:t>
            </w:r>
          </w:p>
        </w:tc>
        <w:tc>
          <w:tcPr>
            <w:tcW w:w="2209" w:type="dxa"/>
          </w:tcPr>
          <w:p w14:paraId="18ED45F3">
            <w:pPr>
              <w:overflowPunct w:val="0"/>
              <w:spacing w:line="320" w:lineRule="exact"/>
              <w:rPr>
                <w:rFonts w:eastAsia="方正仿宋_GBK"/>
                <w:sz w:val="24"/>
                <w:szCs w:val="24"/>
                <w:highlight w:val="none"/>
              </w:rPr>
            </w:pPr>
          </w:p>
        </w:tc>
      </w:tr>
      <w:tr w14:paraId="796E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8" w:type="dxa"/>
          </w:tcPr>
          <w:p w14:paraId="01CA59ED">
            <w:pPr>
              <w:overflowPunct w:val="0"/>
              <w:spacing w:line="320" w:lineRule="exact"/>
              <w:rPr>
                <w:rFonts w:eastAsia="方正仿宋_GBK"/>
                <w:sz w:val="24"/>
                <w:szCs w:val="24"/>
                <w:highlight w:val="none"/>
              </w:rPr>
            </w:pPr>
            <w:r>
              <w:rPr>
                <w:rFonts w:eastAsia="方正仿宋_GBK"/>
                <w:sz w:val="24"/>
                <w:szCs w:val="24"/>
                <w:highlight w:val="none"/>
              </w:rPr>
              <w:t>承包期限</w:t>
            </w:r>
          </w:p>
        </w:tc>
        <w:tc>
          <w:tcPr>
            <w:tcW w:w="2209" w:type="dxa"/>
          </w:tcPr>
          <w:p w14:paraId="4AE8798B">
            <w:pPr>
              <w:overflowPunct w:val="0"/>
              <w:spacing w:line="320" w:lineRule="exact"/>
              <w:rPr>
                <w:rFonts w:eastAsia="方正仿宋_GBK"/>
                <w:sz w:val="24"/>
                <w:szCs w:val="24"/>
                <w:highlight w:val="none"/>
              </w:rPr>
            </w:pPr>
            <w:r>
              <w:rPr>
                <w:rFonts w:hint="eastAsia" w:eastAsia="方正仿宋_GBK"/>
                <w:sz w:val="24"/>
                <w:szCs w:val="24"/>
                <w:highlight w:val="none"/>
              </w:rPr>
              <w:t>**</w:t>
            </w:r>
            <w:r>
              <w:rPr>
                <w:rFonts w:eastAsia="方正仿宋_GBK"/>
                <w:sz w:val="24"/>
                <w:szCs w:val="24"/>
                <w:highlight w:val="none"/>
              </w:rPr>
              <w:t>年</w:t>
            </w:r>
            <w:r>
              <w:rPr>
                <w:rFonts w:hint="eastAsia" w:eastAsia="方正仿宋_GBK"/>
                <w:sz w:val="24"/>
                <w:szCs w:val="24"/>
                <w:highlight w:val="none"/>
              </w:rPr>
              <w:t>**</w:t>
            </w:r>
            <w:r>
              <w:rPr>
                <w:rFonts w:eastAsia="方正仿宋_GBK"/>
                <w:sz w:val="24"/>
                <w:szCs w:val="24"/>
                <w:highlight w:val="none"/>
              </w:rPr>
              <w:t>月</w:t>
            </w:r>
            <w:r>
              <w:rPr>
                <w:rFonts w:hint="eastAsia" w:eastAsia="方正仿宋_GBK"/>
                <w:sz w:val="24"/>
                <w:szCs w:val="24"/>
                <w:highlight w:val="none"/>
              </w:rPr>
              <w:t>**</w:t>
            </w:r>
            <w:r>
              <w:rPr>
                <w:rFonts w:eastAsia="方正仿宋_GBK"/>
                <w:sz w:val="24"/>
                <w:szCs w:val="24"/>
                <w:highlight w:val="none"/>
              </w:rPr>
              <w:t>日至</w:t>
            </w:r>
            <w:r>
              <w:rPr>
                <w:rFonts w:hint="eastAsia" w:eastAsia="方正仿宋_GBK"/>
                <w:sz w:val="24"/>
                <w:szCs w:val="24"/>
                <w:highlight w:val="none"/>
              </w:rPr>
              <w:t>**</w:t>
            </w:r>
            <w:r>
              <w:rPr>
                <w:rFonts w:eastAsia="方正仿宋_GBK"/>
                <w:sz w:val="24"/>
                <w:szCs w:val="24"/>
                <w:highlight w:val="none"/>
              </w:rPr>
              <w:t>年</w:t>
            </w:r>
            <w:r>
              <w:rPr>
                <w:rFonts w:hint="eastAsia" w:eastAsia="方正仿宋_GBK"/>
                <w:sz w:val="24"/>
                <w:szCs w:val="24"/>
                <w:highlight w:val="none"/>
              </w:rPr>
              <w:t>**</w:t>
            </w:r>
            <w:r>
              <w:rPr>
                <w:rFonts w:eastAsia="方正仿宋_GBK"/>
                <w:sz w:val="24"/>
                <w:szCs w:val="24"/>
                <w:highlight w:val="none"/>
              </w:rPr>
              <w:t>月</w:t>
            </w:r>
            <w:r>
              <w:rPr>
                <w:rFonts w:hint="eastAsia" w:eastAsia="方正仿宋_GBK"/>
                <w:sz w:val="24"/>
                <w:szCs w:val="24"/>
                <w:highlight w:val="none"/>
              </w:rPr>
              <w:t>**</w:t>
            </w:r>
            <w:r>
              <w:rPr>
                <w:rFonts w:eastAsia="方正仿宋_GBK"/>
                <w:sz w:val="24"/>
                <w:szCs w:val="24"/>
                <w:highlight w:val="none"/>
              </w:rPr>
              <w:t>日</w:t>
            </w:r>
            <w:r>
              <w:rPr>
                <w:rFonts w:hint="eastAsia" w:eastAsia="方正仿宋_GBK"/>
                <w:sz w:val="24"/>
                <w:szCs w:val="24"/>
                <w:highlight w:val="none"/>
              </w:rPr>
              <w:t>（*年）</w:t>
            </w:r>
          </w:p>
        </w:tc>
        <w:tc>
          <w:tcPr>
            <w:tcW w:w="2209" w:type="dxa"/>
          </w:tcPr>
          <w:p w14:paraId="538B95ED">
            <w:pPr>
              <w:overflowPunct w:val="0"/>
              <w:spacing w:line="320" w:lineRule="exact"/>
              <w:rPr>
                <w:rFonts w:eastAsia="方正仿宋_GBK"/>
                <w:sz w:val="24"/>
                <w:szCs w:val="24"/>
                <w:highlight w:val="none"/>
              </w:rPr>
            </w:pPr>
            <w:r>
              <w:rPr>
                <w:rFonts w:eastAsia="方正仿宋_GBK"/>
                <w:sz w:val="24"/>
                <w:szCs w:val="24"/>
                <w:highlight w:val="none"/>
              </w:rPr>
              <w:t>承包费标准</w:t>
            </w:r>
          </w:p>
        </w:tc>
        <w:tc>
          <w:tcPr>
            <w:tcW w:w="2209" w:type="dxa"/>
          </w:tcPr>
          <w:p w14:paraId="2D037A11">
            <w:pPr>
              <w:overflowPunct w:val="0"/>
              <w:spacing w:line="320" w:lineRule="exact"/>
              <w:rPr>
                <w:rFonts w:eastAsia="方正仿宋_GBK"/>
                <w:sz w:val="24"/>
                <w:szCs w:val="24"/>
                <w:highlight w:val="none"/>
              </w:rPr>
            </w:pPr>
            <w:r>
              <w:rPr>
                <w:rFonts w:hint="eastAsia" w:eastAsia="方正仿宋_GBK"/>
                <w:sz w:val="24"/>
                <w:szCs w:val="24"/>
                <w:highlight w:val="none"/>
              </w:rPr>
              <w:t>***</w:t>
            </w:r>
            <w:r>
              <w:rPr>
                <w:rFonts w:eastAsia="方正仿宋_GBK"/>
                <w:sz w:val="24"/>
                <w:szCs w:val="24"/>
                <w:highlight w:val="none"/>
              </w:rPr>
              <w:t>元/亩/年</w:t>
            </w:r>
          </w:p>
        </w:tc>
      </w:tr>
    </w:tbl>
    <w:p w14:paraId="633E5899">
      <w:pPr>
        <w:overflowPunct w:val="0"/>
        <w:spacing w:line="560" w:lineRule="exact"/>
        <w:ind w:firstLine="632" w:firstLineChars="200"/>
        <w:rPr>
          <w:rFonts w:hint="eastAsia" w:ascii="方正黑体_GBK" w:hAnsi="方正黑体_GBK" w:eastAsia="方正黑体_GBK"/>
          <w:highlight w:val="none"/>
        </w:rPr>
      </w:pPr>
      <w:r>
        <w:rPr>
          <w:rFonts w:hint="eastAsia" w:ascii="方正黑体_GBK" w:hAnsi="方正黑体_GBK" w:eastAsia="方正黑体_GBK"/>
          <w:highlight w:val="none"/>
        </w:rPr>
        <w:t>二、</w:t>
      </w:r>
      <w:r>
        <w:rPr>
          <w:rFonts w:ascii="方正黑体_GBK" w:hAnsi="方正黑体_GBK" w:eastAsia="方正黑体_GBK"/>
          <w:highlight w:val="none"/>
        </w:rPr>
        <w:t>各部门认定意见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543"/>
        <w:gridCol w:w="2239"/>
        <w:gridCol w:w="2065"/>
      </w:tblGrid>
      <w:tr w14:paraId="4CA1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88" w:type="dxa"/>
            <w:vAlign w:val="center"/>
          </w:tcPr>
          <w:p w14:paraId="61620885">
            <w:pPr>
              <w:overflowPunct w:val="0"/>
              <w:spacing w:line="320" w:lineRule="exact"/>
              <w:rPr>
                <w:rFonts w:eastAsia="方正仿宋_GBK"/>
                <w:sz w:val="24"/>
                <w:szCs w:val="24"/>
                <w:highlight w:val="none"/>
              </w:rPr>
            </w:pPr>
            <w:r>
              <w:rPr>
                <w:rFonts w:hint="eastAsia" w:eastAsia="方正仿宋_GBK"/>
                <w:sz w:val="24"/>
                <w:szCs w:val="24"/>
                <w:highlight w:val="none"/>
              </w:rPr>
              <w:t>部门</w:t>
            </w:r>
          </w:p>
        </w:tc>
        <w:tc>
          <w:tcPr>
            <w:tcW w:w="3543" w:type="dxa"/>
            <w:vAlign w:val="center"/>
          </w:tcPr>
          <w:p w14:paraId="08EDB33B">
            <w:pPr>
              <w:overflowPunct w:val="0"/>
              <w:spacing w:line="320" w:lineRule="exact"/>
              <w:rPr>
                <w:rFonts w:eastAsia="方正仿宋_GBK"/>
                <w:sz w:val="24"/>
                <w:szCs w:val="24"/>
                <w:highlight w:val="none"/>
              </w:rPr>
            </w:pPr>
            <w:r>
              <w:rPr>
                <w:rFonts w:eastAsia="方正仿宋_GBK"/>
                <w:sz w:val="24"/>
                <w:szCs w:val="24"/>
                <w:highlight w:val="none"/>
              </w:rPr>
              <w:t>认定内容</w:t>
            </w:r>
          </w:p>
        </w:tc>
        <w:tc>
          <w:tcPr>
            <w:tcW w:w="2239" w:type="dxa"/>
            <w:vAlign w:val="center"/>
          </w:tcPr>
          <w:p w14:paraId="22019AE7">
            <w:pPr>
              <w:overflowPunct w:val="0"/>
              <w:spacing w:line="320" w:lineRule="exact"/>
              <w:rPr>
                <w:rFonts w:eastAsia="方正仿宋_GBK"/>
                <w:sz w:val="24"/>
                <w:szCs w:val="24"/>
                <w:highlight w:val="none"/>
              </w:rPr>
            </w:pPr>
            <w:r>
              <w:rPr>
                <w:rFonts w:eastAsia="方正仿宋_GBK"/>
                <w:sz w:val="24"/>
                <w:szCs w:val="24"/>
                <w:highlight w:val="none"/>
              </w:rPr>
              <w:t>认定意见</w:t>
            </w:r>
          </w:p>
        </w:tc>
        <w:tc>
          <w:tcPr>
            <w:tcW w:w="2065" w:type="dxa"/>
            <w:vAlign w:val="center"/>
          </w:tcPr>
          <w:p w14:paraId="32A059CC">
            <w:pPr>
              <w:overflowPunct w:val="0"/>
              <w:spacing w:line="320" w:lineRule="exact"/>
              <w:rPr>
                <w:rFonts w:eastAsia="方正仿宋_GBK"/>
                <w:sz w:val="24"/>
                <w:szCs w:val="24"/>
                <w:highlight w:val="none"/>
              </w:rPr>
            </w:pPr>
            <w:r>
              <w:rPr>
                <w:rFonts w:hint="eastAsia" w:eastAsia="方正仿宋_GBK"/>
                <w:sz w:val="24"/>
                <w:szCs w:val="24"/>
                <w:highlight w:val="none"/>
              </w:rPr>
              <w:t>认定人及单位签章</w:t>
            </w:r>
          </w:p>
        </w:tc>
      </w:tr>
      <w:tr w14:paraId="0337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4300FF71">
            <w:pPr>
              <w:overflowPunct w:val="0"/>
              <w:spacing w:line="320" w:lineRule="exact"/>
              <w:rPr>
                <w:rFonts w:eastAsia="方正仿宋_GBK"/>
                <w:sz w:val="24"/>
                <w:szCs w:val="24"/>
                <w:highlight w:val="none"/>
              </w:rPr>
            </w:pPr>
            <w:r>
              <w:rPr>
                <w:rFonts w:hint="eastAsia" w:eastAsia="方正仿宋_GBK"/>
                <w:sz w:val="24"/>
                <w:szCs w:val="24"/>
                <w:highlight w:val="none"/>
              </w:rPr>
              <w:t>自然</w:t>
            </w:r>
          </w:p>
          <w:p w14:paraId="2E8CDB60">
            <w:pPr>
              <w:overflowPunct w:val="0"/>
              <w:spacing w:line="320" w:lineRule="exact"/>
              <w:rPr>
                <w:rFonts w:eastAsia="方正仿宋_GBK"/>
                <w:sz w:val="24"/>
                <w:szCs w:val="24"/>
                <w:highlight w:val="none"/>
              </w:rPr>
            </w:pPr>
            <w:r>
              <w:rPr>
                <w:rFonts w:hint="eastAsia" w:eastAsia="方正仿宋_GBK"/>
                <w:sz w:val="24"/>
                <w:szCs w:val="24"/>
                <w:highlight w:val="none"/>
              </w:rPr>
              <w:t>资源</w:t>
            </w:r>
          </w:p>
          <w:p w14:paraId="7503B57B">
            <w:pPr>
              <w:overflowPunct w:val="0"/>
              <w:spacing w:line="320" w:lineRule="exact"/>
              <w:rPr>
                <w:rFonts w:eastAsia="方正仿宋_GBK"/>
                <w:sz w:val="24"/>
                <w:szCs w:val="24"/>
                <w:highlight w:val="none"/>
              </w:rPr>
            </w:pPr>
            <w:r>
              <w:rPr>
                <w:rFonts w:hint="eastAsia" w:eastAsia="方正仿宋_GBK"/>
                <w:sz w:val="24"/>
                <w:szCs w:val="24"/>
                <w:highlight w:val="none"/>
              </w:rPr>
              <w:t>局</w:t>
            </w:r>
          </w:p>
        </w:tc>
        <w:tc>
          <w:tcPr>
            <w:tcW w:w="3543" w:type="dxa"/>
            <w:vAlign w:val="center"/>
          </w:tcPr>
          <w:p w14:paraId="2A562134">
            <w:pPr>
              <w:overflowPunct w:val="0"/>
              <w:spacing w:line="320" w:lineRule="exact"/>
              <w:rPr>
                <w:rFonts w:eastAsia="方正仿宋_GBK"/>
                <w:sz w:val="24"/>
                <w:szCs w:val="20"/>
                <w:highlight w:val="none"/>
              </w:rPr>
            </w:pPr>
            <w:r>
              <w:rPr>
                <w:rFonts w:eastAsia="方正仿宋_GBK"/>
                <w:sz w:val="24"/>
                <w:szCs w:val="20"/>
                <w:highlight w:val="none"/>
              </w:rPr>
              <w:t>合同签订程序是否合规</w:t>
            </w:r>
          </w:p>
        </w:tc>
        <w:tc>
          <w:tcPr>
            <w:tcW w:w="2239" w:type="dxa"/>
            <w:vAlign w:val="center"/>
          </w:tcPr>
          <w:p w14:paraId="4544828F">
            <w:pPr>
              <w:overflowPunct w:val="0"/>
              <w:spacing w:line="320" w:lineRule="exact"/>
              <w:rPr>
                <w:rFonts w:eastAsia="方正仿宋_GBK"/>
                <w:sz w:val="24"/>
                <w:szCs w:val="20"/>
                <w:highlight w:val="none"/>
              </w:rPr>
            </w:pPr>
            <w:r>
              <w:rPr>
                <w:rFonts w:eastAsia="方正仿宋_GBK"/>
                <w:sz w:val="24"/>
                <w:szCs w:val="20"/>
                <w:highlight w:val="none"/>
              </w:rPr>
              <w:t>□合规 / □不合规</w:t>
            </w:r>
          </w:p>
        </w:tc>
        <w:tc>
          <w:tcPr>
            <w:tcW w:w="2065" w:type="dxa"/>
            <w:vMerge w:val="restart"/>
            <w:vAlign w:val="center"/>
          </w:tcPr>
          <w:p w14:paraId="70518A67">
            <w:pPr>
              <w:overflowPunct w:val="0"/>
              <w:spacing w:line="320" w:lineRule="exact"/>
              <w:rPr>
                <w:rFonts w:eastAsia="方正仿宋_GBK"/>
                <w:highlight w:val="none"/>
              </w:rPr>
            </w:pPr>
          </w:p>
        </w:tc>
      </w:tr>
      <w:tr w14:paraId="44CA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3FD27FB">
            <w:pPr>
              <w:overflowPunct w:val="0"/>
              <w:spacing w:line="320" w:lineRule="exact"/>
              <w:rPr>
                <w:rFonts w:eastAsia="方正仿宋_GBK"/>
                <w:highlight w:val="none"/>
              </w:rPr>
            </w:pPr>
          </w:p>
        </w:tc>
        <w:tc>
          <w:tcPr>
            <w:tcW w:w="3543" w:type="dxa"/>
            <w:vAlign w:val="center"/>
          </w:tcPr>
          <w:p w14:paraId="21F37BBD">
            <w:pPr>
              <w:overflowPunct w:val="0"/>
              <w:spacing w:line="320" w:lineRule="exact"/>
              <w:rPr>
                <w:rFonts w:eastAsia="方正仿宋_GBK"/>
                <w:sz w:val="24"/>
                <w:szCs w:val="20"/>
                <w:highlight w:val="none"/>
              </w:rPr>
            </w:pPr>
            <w:r>
              <w:rPr>
                <w:rFonts w:eastAsia="方正仿宋_GBK"/>
                <w:sz w:val="24"/>
                <w:szCs w:val="20"/>
                <w:highlight w:val="none"/>
              </w:rPr>
              <w:t>合同主体是否适格</w:t>
            </w:r>
          </w:p>
        </w:tc>
        <w:tc>
          <w:tcPr>
            <w:tcW w:w="2239" w:type="dxa"/>
            <w:vAlign w:val="center"/>
          </w:tcPr>
          <w:p w14:paraId="14DECAEF">
            <w:pPr>
              <w:overflowPunct w:val="0"/>
              <w:spacing w:line="320" w:lineRule="exact"/>
              <w:rPr>
                <w:rFonts w:eastAsia="方正仿宋_GBK"/>
                <w:sz w:val="24"/>
                <w:szCs w:val="20"/>
                <w:highlight w:val="none"/>
              </w:rPr>
            </w:pPr>
            <w:r>
              <w:rPr>
                <w:rFonts w:eastAsia="方正仿宋_GBK"/>
                <w:sz w:val="24"/>
                <w:szCs w:val="20"/>
                <w:highlight w:val="none"/>
              </w:rPr>
              <w:t>□适格 / □不适格</w:t>
            </w:r>
          </w:p>
        </w:tc>
        <w:tc>
          <w:tcPr>
            <w:tcW w:w="2065" w:type="dxa"/>
            <w:vMerge w:val="continue"/>
            <w:vAlign w:val="center"/>
          </w:tcPr>
          <w:p w14:paraId="421BEFC7">
            <w:pPr>
              <w:overflowPunct w:val="0"/>
              <w:spacing w:line="320" w:lineRule="exact"/>
              <w:rPr>
                <w:rFonts w:eastAsia="方正仿宋_GBK"/>
                <w:highlight w:val="none"/>
              </w:rPr>
            </w:pPr>
          </w:p>
        </w:tc>
      </w:tr>
      <w:tr w14:paraId="22BD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9018B8A">
            <w:pPr>
              <w:overflowPunct w:val="0"/>
              <w:spacing w:line="320" w:lineRule="exact"/>
              <w:rPr>
                <w:rFonts w:eastAsia="方正仿宋_GBK"/>
                <w:highlight w:val="none"/>
              </w:rPr>
            </w:pPr>
          </w:p>
        </w:tc>
        <w:tc>
          <w:tcPr>
            <w:tcW w:w="3543" w:type="dxa"/>
            <w:vAlign w:val="center"/>
          </w:tcPr>
          <w:p w14:paraId="3B52F4B1">
            <w:pPr>
              <w:overflowPunct w:val="0"/>
              <w:spacing w:line="320" w:lineRule="exact"/>
              <w:rPr>
                <w:rFonts w:eastAsia="方正仿宋_GBK"/>
                <w:sz w:val="24"/>
                <w:szCs w:val="20"/>
                <w:highlight w:val="none"/>
              </w:rPr>
            </w:pPr>
            <w:r>
              <w:rPr>
                <w:rFonts w:eastAsia="方正仿宋_GBK"/>
                <w:sz w:val="24"/>
                <w:szCs w:val="20"/>
                <w:highlight w:val="none"/>
              </w:rPr>
              <w:t>承包面积是否准确</w:t>
            </w:r>
          </w:p>
        </w:tc>
        <w:tc>
          <w:tcPr>
            <w:tcW w:w="2239" w:type="dxa"/>
            <w:vAlign w:val="center"/>
          </w:tcPr>
          <w:p w14:paraId="7881EFAE">
            <w:pPr>
              <w:overflowPunct w:val="0"/>
              <w:spacing w:line="320" w:lineRule="exact"/>
              <w:rPr>
                <w:rFonts w:eastAsia="方正仿宋_GBK"/>
                <w:sz w:val="24"/>
                <w:szCs w:val="20"/>
                <w:highlight w:val="none"/>
              </w:rPr>
            </w:pPr>
            <w:r>
              <w:rPr>
                <w:rFonts w:eastAsia="方正仿宋_GBK"/>
                <w:sz w:val="24"/>
                <w:szCs w:val="20"/>
                <w:highlight w:val="none"/>
              </w:rPr>
              <w:t>□准确 / □不准确</w:t>
            </w:r>
          </w:p>
        </w:tc>
        <w:tc>
          <w:tcPr>
            <w:tcW w:w="2065" w:type="dxa"/>
            <w:vMerge w:val="continue"/>
            <w:vAlign w:val="center"/>
          </w:tcPr>
          <w:p w14:paraId="2BD4EE0F">
            <w:pPr>
              <w:overflowPunct w:val="0"/>
              <w:spacing w:line="320" w:lineRule="exact"/>
              <w:rPr>
                <w:rFonts w:eastAsia="方正仿宋_GBK"/>
                <w:highlight w:val="none"/>
              </w:rPr>
            </w:pPr>
          </w:p>
        </w:tc>
      </w:tr>
      <w:tr w14:paraId="6E90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940C8D1">
            <w:pPr>
              <w:overflowPunct w:val="0"/>
              <w:spacing w:line="320" w:lineRule="exact"/>
              <w:rPr>
                <w:rFonts w:eastAsia="方正仿宋_GBK"/>
                <w:highlight w:val="none"/>
              </w:rPr>
            </w:pPr>
          </w:p>
        </w:tc>
        <w:tc>
          <w:tcPr>
            <w:tcW w:w="3543" w:type="dxa"/>
            <w:vAlign w:val="center"/>
          </w:tcPr>
          <w:p w14:paraId="2564EA3F">
            <w:pPr>
              <w:overflowPunct w:val="0"/>
              <w:spacing w:line="320" w:lineRule="exact"/>
              <w:rPr>
                <w:rFonts w:eastAsia="方正仿宋_GBK"/>
                <w:sz w:val="24"/>
                <w:szCs w:val="20"/>
                <w:highlight w:val="none"/>
              </w:rPr>
            </w:pPr>
            <w:r>
              <w:rPr>
                <w:rFonts w:eastAsia="方正仿宋_GBK"/>
                <w:sz w:val="24"/>
                <w:szCs w:val="20"/>
                <w:highlight w:val="none"/>
              </w:rPr>
              <w:t>是否存在擅自改变土地用途或非法转包行为</w:t>
            </w:r>
          </w:p>
        </w:tc>
        <w:tc>
          <w:tcPr>
            <w:tcW w:w="2239" w:type="dxa"/>
            <w:vAlign w:val="center"/>
          </w:tcPr>
          <w:p w14:paraId="2B7B3114">
            <w:pPr>
              <w:overflowPunct w:val="0"/>
              <w:spacing w:line="320" w:lineRule="exact"/>
              <w:rPr>
                <w:rFonts w:eastAsia="方正仿宋_GBK"/>
                <w:sz w:val="24"/>
                <w:szCs w:val="20"/>
                <w:highlight w:val="none"/>
              </w:rPr>
            </w:pPr>
            <w:r>
              <w:rPr>
                <w:rFonts w:eastAsia="方正仿宋_GBK"/>
                <w:sz w:val="24"/>
                <w:szCs w:val="20"/>
                <w:highlight w:val="none"/>
              </w:rPr>
              <w:t>□无违规 / □存在违规</w:t>
            </w:r>
          </w:p>
        </w:tc>
        <w:tc>
          <w:tcPr>
            <w:tcW w:w="2065" w:type="dxa"/>
            <w:vMerge w:val="continue"/>
            <w:vAlign w:val="center"/>
          </w:tcPr>
          <w:p w14:paraId="30169CF7">
            <w:pPr>
              <w:overflowPunct w:val="0"/>
              <w:spacing w:line="320" w:lineRule="exact"/>
              <w:rPr>
                <w:rFonts w:eastAsia="方正仿宋_GBK"/>
                <w:highlight w:val="none"/>
              </w:rPr>
            </w:pPr>
          </w:p>
        </w:tc>
      </w:tr>
      <w:tr w14:paraId="706E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7D5706A">
            <w:pPr>
              <w:overflowPunct w:val="0"/>
              <w:spacing w:line="320" w:lineRule="exact"/>
              <w:rPr>
                <w:rFonts w:eastAsia="方正仿宋_GBK"/>
                <w:highlight w:val="none"/>
              </w:rPr>
            </w:pPr>
          </w:p>
        </w:tc>
        <w:tc>
          <w:tcPr>
            <w:tcW w:w="3543" w:type="dxa"/>
            <w:vAlign w:val="center"/>
          </w:tcPr>
          <w:p w14:paraId="12465978">
            <w:pPr>
              <w:overflowPunct w:val="0"/>
              <w:spacing w:line="320" w:lineRule="exact"/>
              <w:rPr>
                <w:rFonts w:eastAsia="方正仿宋_GBK"/>
                <w:sz w:val="24"/>
                <w:szCs w:val="20"/>
                <w:highlight w:val="none"/>
              </w:rPr>
            </w:pPr>
            <w:r>
              <w:rPr>
                <w:rFonts w:hint="eastAsia" w:eastAsia="方正仿宋_GBK"/>
                <w:sz w:val="24"/>
                <w:szCs w:val="20"/>
                <w:highlight w:val="none"/>
              </w:rPr>
              <w:t>是否涉及生态保护红线</w:t>
            </w:r>
          </w:p>
        </w:tc>
        <w:tc>
          <w:tcPr>
            <w:tcW w:w="2239" w:type="dxa"/>
            <w:vAlign w:val="center"/>
          </w:tcPr>
          <w:p w14:paraId="2FE30498">
            <w:pPr>
              <w:overflowPunct w:val="0"/>
              <w:spacing w:line="320" w:lineRule="exact"/>
              <w:rPr>
                <w:rFonts w:eastAsia="方正仿宋_GBK"/>
                <w:sz w:val="24"/>
                <w:szCs w:val="20"/>
                <w:highlight w:val="none"/>
              </w:rPr>
            </w:pPr>
            <w:r>
              <w:rPr>
                <w:rFonts w:eastAsia="方正仿宋_GBK"/>
                <w:sz w:val="24"/>
                <w:szCs w:val="20"/>
                <w:highlight w:val="none"/>
              </w:rPr>
              <w:t>□</w:t>
            </w:r>
            <w:r>
              <w:rPr>
                <w:rFonts w:hint="eastAsia" w:eastAsia="方正仿宋_GBK"/>
                <w:sz w:val="24"/>
                <w:szCs w:val="20"/>
                <w:highlight w:val="none"/>
              </w:rPr>
              <w:t>涉及</w:t>
            </w:r>
            <w:r>
              <w:rPr>
                <w:rFonts w:eastAsia="方正仿宋_GBK"/>
                <w:sz w:val="24"/>
                <w:szCs w:val="20"/>
                <w:highlight w:val="none"/>
              </w:rPr>
              <w:t xml:space="preserve"> / □不</w:t>
            </w:r>
            <w:r>
              <w:rPr>
                <w:rFonts w:hint="eastAsia" w:eastAsia="方正仿宋_GBK"/>
                <w:sz w:val="24"/>
                <w:szCs w:val="20"/>
                <w:highlight w:val="none"/>
              </w:rPr>
              <w:t>涉及</w:t>
            </w:r>
          </w:p>
        </w:tc>
        <w:tc>
          <w:tcPr>
            <w:tcW w:w="2065" w:type="dxa"/>
            <w:vMerge w:val="continue"/>
            <w:vAlign w:val="center"/>
          </w:tcPr>
          <w:p w14:paraId="3334174F">
            <w:pPr>
              <w:overflowPunct w:val="0"/>
              <w:spacing w:line="320" w:lineRule="exact"/>
              <w:rPr>
                <w:rFonts w:eastAsia="方正仿宋_GBK"/>
                <w:highlight w:val="none"/>
              </w:rPr>
            </w:pPr>
          </w:p>
        </w:tc>
      </w:tr>
      <w:tr w14:paraId="6741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40D1396">
            <w:pPr>
              <w:overflowPunct w:val="0"/>
              <w:spacing w:line="320" w:lineRule="exact"/>
              <w:rPr>
                <w:rFonts w:eastAsia="方正仿宋_GBK"/>
                <w:sz w:val="24"/>
                <w:szCs w:val="24"/>
                <w:highlight w:val="none"/>
              </w:rPr>
            </w:pPr>
          </w:p>
        </w:tc>
        <w:tc>
          <w:tcPr>
            <w:tcW w:w="3543" w:type="dxa"/>
            <w:vAlign w:val="center"/>
          </w:tcPr>
          <w:p w14:paraId="74B522FA">
            <w:pPr>
              <w:overflowPunct w:val="0"/>
              <w:spacing w:line="320" w:lineRule="exact"/>
              <w:rPr>
                <w:rFonts w:eastAsia="方正仿宋_GBK"/>
                <w:sz w:val="24"/>
                <w:szCs w:val="20"/>
                <w:highlight w:val="none"/>
              </w:rPr>
            </w:pPr>
            <w:r>
              <w:rPr>
                <w:rFonts w:eastAsia="方正仿宋_GBK"/>
                <w:sz w:val="24"/>
                <w:szCs w:val="20"/>
                <w:highlight w:val="none"/>
              </w:rPr>
              <w:t>是否保持耕种状态</w:t>
            </w:r>
          </w:p>
        </w:tc>
        <w:tc>
          <w:tcPr>
            <w:tcW w:w="2239" w:type="dxa"/>
            <w:vAlign w:val="center"/>
          </w:tcPr>
          <w:p w14:paraId="640BC794">
            <w:pPr>
              <w:overflowPunct w:val="0"/>
              <w:spacing w:line="320" w:lineRule="exact"/>
              <w:rPr>
                <w:rFonts w:eastAsia="方正仿宋_GBK"/>
                <w:sz w:val="24"/>
                <w:szCs w:val="20"/>
                <w:highlight w:val="none"/>
              </w:rPr>
            </w:pPr>
            <w:r>
              <w:rPr>
                <w:rFonts w:eastAsia="方正仿宋_GBK"/>
                <w:sz w:val="24"/>
                <w:szCs w:val="20"/>
                <w:highlight w:val="none"/>
              </w:rPr>
              <w:t>□耕种 / □闲置荒芜</w:t>
            </w:r>
          </w:p>
        </w:tc>
        <w:tc>
          <w:tcPr>
            <w:tcW w:w="2065" w:type="dxa"/>
            <w:vMerge w:val="continue"/>
            <w:vAlign w:val="center"/>
          </w:tcPr>
          <w:p w14:paraId="32F47539">
            <w:pPr>
              <w:overflowPunct w:val="0"/>
              <w:spacing w:line="320" w:lineRule="exact"/>
              <w:rPr>
                <w:rFonts w:eastAsia="方正仿宋_GBK"/>
                <w:highlight w:val="none"/>
              </w:rPr>
            </w:pPr>
          </w:p>
        </w:tc>
      </w:tr>
      <w:tr w14:paraId="2850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2BE0CF9">
            <w:pPr>
              <w:overflowPunct w:val="0"/>
              <w:spacing w:line="320" w:lineRule="exact"/>
              <w:rPr>
                <w:rFonts w:eastAsia="方正仿宋_GBK"/>
                <w:sz w:val="24"/>
                <w:szCs w:val="24"/>
                <w:highlight w:val="none"/>
              </w:rPr>
            </w:pPr>
          </w:p>
        </w:tc>
        <w:tc>
          <w:tcPr>
            <w:tcW w:w="3543" w:type="dxa"/>
            <w:vAlign w:val="center"/>
          </w:tcPr>
          <w:p w14:paraId="00049570">
            <w:pPr>
              <w:overflowPunct w:val="0"/>
              <w:spacing w:line="320" w:lineRule="exact"/>
              <w:rPr>
                <w:rFonts w:eastAsia="方正仿宋_GBK"/>
                <w:sz w:val="24"/>
                <w:szCs w:val="20"/>
                <w:highlight w:val="none"/>
              </w:rPr>
            </w:pPr>
            <w:r>
              <w:rPr>
                <w:rFonts w:eastAsia="方正仿宋_GBK"/>
                <w:sz w:val="24"/>
                <w:szCs w:val="20"/>
                <w:highlight w:val="none"/>
              </w:rPr>
              <w:t>是否破坏耕作层</w:t>
            </w:r>
          </w:p>
        </w:tc>
        <w:tc>
          <w:tcPr>
            <w:tcW w:w="2239" w:type="dxa"/>
            <w:vAlign w:val="center"/>
          </w:tcPr>
          <w:p w14:paraId="4AE5893B">
            <w:pPr>
              <w:overflowPunct w:val="0"/>
              <w:spacing w:line="320" w:lineRule="exact"/>
              <w:rPr>
                <w:rFonts w:eastAsia="方正仿宋_GBK"/>
                <w:sz w:val="24"/>
                <w:szCs w:val="20"/>
                <w:highlight w:val="none"/>
              </w:rPr>
            </w:pPr>
            <w:r>
              <w:rPr>
                <w:rFonts w:eastAsia="方正仿宋_GBK"/>
                <w:sz w:val="24"/>
                <w:szCs w:val="20"/>
                <w:highlight w:val="none"/>
              </w:rPr>
              <w:t>□无破坏 / □存在破坏</w:t>
            </w:r>
          </w:p>
        </w:tc>
        <w:tc>
          <w:tcPr>
            <w:tcW w:w="2065" w:type="dxa"/>
            <w:vMerge w:val="continue"/>
            <w:vAlign w:val="center"/>
          </w:tcPr>
          <w:p w14:paraId="62CE8854">
            <w:pPr>
              <w:overflowPunct w:val="0"/>
              <w:spacing w:line="320" w:lineRule="exact"/>
              <w:rPr>
                <w:rFonts w:eastAsia="方正仿宋_GBK"/>
                <w:highlight w:val="none"/>
              </w:rPr>
            </w:pPr>
          </w:p>
        </w:tc>
      </w:tr>
      <w:tr w14:paraId="4EE0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CE2B3FE">
            <w:pPr>
              <w:overflowPunct w:val="0"/>
              <w:spacing w:line="320" w:lineRule="exact"/>
              <w:rPr>
                <w:rFonts w:eastAsia="方正仿宋_GBK"/>
                <w:sz w:val="24"/>
                <w:szCs w:val="24"/>
                <w:highlight w:val="none"/>
              </w:rPr>
            </w:pPr>
          </w:p>
        </w:tc>
        <w:tc>
          <w:tcPr>
            <w:tcW w:w="3543" w:type="dxa"/>
            <w:vAlign w:val="center"/>
          </w:tcPr>
          <w:p w14:paraId="20202231">
            <w:pPr>
              <w:overflowPunct w:val="0"/>
              <w:spacing w:line="320" w:lineRule="exact"/>
              <w:rPr>
                <w:rFonts w:eastAsia="方正仿宋_GBK"/>
                <w:sz w:val="24"/>
                <w:szCs w:val="20"/>
                <w:highlight w:val="none"/>
              </w:rPr>
            </w:pPr>
            <w:r>
              <w:rPr>
                <w:rFonts w:eastAsia="方正仿宋_GBK"/>
                <w:sz w:val="24"/>
                <w:szCs w:val="20"/>
                <w:highlight w:val="none"/>
              </w:rPr>
              <w:t>耕地保护义务履行情况</w:t>
            </w:r>
          </w:p>
        </w:tc>
        <w:tc>
          <w:tcPr>
            <w:tcW w:w="2239" w:type="dxa"/>
            <w:vAlign w:val="center"/>
          </w:tcPr>
          <w:p w14:paraId="0BCC82A7">
            <w:pPr>
              <w:overflowPunct w:val="0"/>
              <w:spacing w:line="320" w:lineRule="exact"/>
              <w:rPr>
                <w:rFonts w:eastAsia="方正仿宋_GBK"/>
                <w:sz w:val="24"/>
                <w:szCs w:val="20"/>
                <w:highlight w:val="none"/>
              </w:rPr>
            </w:pPr>
            <w:r>
              <w:rPr>
                <w:rFonts w:eastAsia="方正仿宋_GBK"/>
                <w:sz w:val="24"/>
                <w:szCs w:val="20"/>
                <w:highlight w:val="none"/>
              </w:rPr>
              <w:t>□到位 / □不到位</w:t>
            </w:r>
          </w:p>
        </w:tc>
        <w:tc>
          <w:tcPr>
            <w:tcW w:w="2065" w:type="dxa"/>
            <w:vMerge w:val="continue"/>
            <w:vAlign w:val="center"/>
          </w:tcPr>
          <w:p w14:paraId="3FBCF3C5">
            <w:pPr>
              <w:overflowPunct w:val="0"/>
              <w:spacing w:line="320" w:lineRule="exact"/>
              <w:rPr>
                <w:rFonts w:eastAsia="方正仿宋_GBK"/>
                <w:highlight w:val="none"/>
              </w:rPr>
            </w:pPr>
          </w:p>
        </w:tc>
      </w:tr>
      <w:tr w14:paraId="01DF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57762F16">
            <w:pPr>
              <w:overflowPunct w:val="0"/>
              <w:spacing w:line="320" w:lineRule="exact"/>
              <w:rPr>
                <w:rFonts w:eastAsia="方正仿宋_GBK"/>
                <w:sz w:val="24"/>
                <w:szCs w:val="24"/>
                <w:highlight w:val="none"/>
              </w:rPr>
            </w:pPr>
            <w:r>
              <w:rPr>
                <w:rFonts w:hint="eastAsia" w:eastAsia="方正仿宋_GBK"/>
                <w:sz w:val="24"/>
                <w:szCs w:val="24"/>
                <w:highlight w:val="none"/>
              </w:rPr>
              <w:t>林业和草原局</w:t>
            </w:r>
          </w:p>
        </w:tc>
        <w:tc>
          <w:tcPr>
            <w:tcW w:w="3543" w:type="dxa"/>
            <w:vAlign w:val="center"/>
          </w:tcPr>
          <w:p w14:paraId="6BF93ED3">
            <w:pPr>
              <w:overflowPunct w:val="0"/>
              <w:spacing w:line="320" w:lineRule="exact"/>
              <w:rPr>
                <w:rFonts w:eastAsia="方正仿宋_GBK"/>
                <w:sz w:val="24"/>
                <w:szCs w:val="20"/>
                <w:highlight w:val="none"/>
              </w:rPr>
            </w:pPr>
            <w:r>
              <w:rPr>
                <w:rFonts w:eastAsia="方正仿宋_GBK"/>
                <w:sz w:val="24"/>
                <w:szCs w:val="20"/>
                <w:highlight w:val="none"/>
              </w:rPr>
              <w:t>是否存在毁林开垦、破坏草原等行为</w:t>
            </w:r>
          </w:p>
        </w:tc>
        <w:tc>
          <w:tcPr>
            <w:tcW w:w="2239" w:type="dxa"/>
            <w:vAlign w:val="center"/>
          </w:tcPr>
          <w:p w14:paraId="53EC0AB4">
            <w:pPr>
              <w:overflowPunct w:val="0"/>
              <w:spacing w:line="320" w:lineRule="exact"/>
              <w:rPr>
                <w:rFonts w:eastAsia="方正仿宋_GBK"/>
                <w:sz w:val="24"/>
                <w:szCs w:val="20"/>
                <w:highlight w:val="none"/>
              </w:rPr>
            </w:pPr>
            <w:r>
              <w:rPr>
                <w:rFonts w:eastAsia="方正仿宋_GBK"/>
                <w:sz w:val="24"/>
                <w:szCs w:val="20"/>
                <w:highlight w:val="none"/>
              </w:rPr>
              <w:t>□无违规 / □存在违规</w:t>
            </w:r>
          </w:p>
        </w:tc>
        <w:tc>
          <w:tcPr>
            <w:tcW w:w="2065" w:type="dxa"/>
            <w:vMerge w:val="restart"/>
            <w:vAlign w:val="center"/>
          </w:tcPr>
          <w:p w14:paraId="21638484">
            <w:pPr>
              <w:overflowPunct w:val="0"/>
              <w:spacing w:line="320" w:lineRule="exact"/>
              <w:rPr>
                <w:rFonts w:eastAsia="方正仿宋_GBK"/>
                <w:highlight w:val="none"/>
              </w:rPr>
            </w:pPr>
          </w:p>
        </w:tc>
      </w:tr>
      <w:tr w14:paraId="1DE1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AB0F0FD">
            <w:pPr>
              <w:overflowPunct w:val="0"/>
              <w:spacing w:line="320" w:lineRule="exact"/>
              <w:rPr>
                <w:rFonts w:eastAsia="方正仿宋_GBK"/>
                <w:sz w:val="24"/>
                <w:szCs w:val="24"/>
                <w:highlight w:val="none"/>
              </w:rPr>
            </w:pPr>
          </w:p>
        </w:tc>
        <w:tc>
          <w:tcPr>
            <w:tcW w:w="3543" w:type="dxa"/>
            <w:vAlign w:val="center"/>
          </w:tcPr>
          <w:p w14:paraId="211A0AC1">
            <w:pPr>
              <w:overflowPunct w:val="0"/>
              <w:spacing w:line="320" w:lineRule="exact"/>
              <w:rPr>
                <w:rFonts w:eastAsia="方正仿宋_GBK"/>
                <w:sz w:val="24"/>
                <w:szCs w:val="20"/>
                <w:highlight w:val="none"/>
              </w:rPr>
            </w:pPr>
            <w:r>
              <w:rPr>
                <w:rFonts w:eastAsia="方正仿宋_GBK"/>
                <w:sz w:val="24"/>
                <w:szCs w:val="20"/>
                <w:highlight w:val="none"/>
              </w:rPr>
              <w:t>生态保护要求执行情况</w:t>
            </w:r>
          </w:p>
        </w:tc>
        <w:tc>
          <w:tcPr>
            <w:tcW w:w="2239" w:type="dxa"/>
            <w:vAlign w:val="center"/>
          </w:tcPr>
          <w:p w14:paraId="7F1B56B7">
            <w:pPr>
              <w:overflowPunct w:val="0"/>
              <w:spacing w:line="320" w:lineRule="exact"/>
              <w:rPr>
                <w:rFonts w:eastAsia="方正仿宋_GBK"/>
                <w:sz w:val="24"/>
                <w:szCs w:val="20"/>
                <w:highlight w:val="none"/>
              </w:rPr>
            </w:pPr>
            <w:r>
              <w:rPr>
                <w:rFonts w:eastAsia="方正仿宋_GBK"/>
                <w:sz w:val="24"/>
                <w:szCs w:val="20"/>
                <w:highlight w:val="none"/>
              </w:rPr>
              <w:t>□到位 / □不到位</w:t>
            </w:r>
          </w:p>
        </w:tc>
        <w:tc>
          <w:tcPr>
            <w:tcW w:w="2065" w:type="dxa"/>
            <w:vMerge w:val="continue"/>
            <w:vAlign w:val="center"/>
          </w:tcPr>
          <w:p w14:paraId="56DAAB0E">
            <w:pPr>
              <w:overflowPunct w:val="0"/>
              <w:spacing w:line="320" w:lineRule="exact"/>
              <w:rPr>
                <w:rFonts w:eastAsia="方正仿宋_GBK"/>
                <w:highlight w:val="none"/>
              </w:rPr>
            </w:pPr>
          </w:p>
        </w:tc>
      </w:tr>
      <w:tr w14:paraId="4140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5A2EA41B">
            <w:pPr>
              <w:overflowPunct w:val="0"/>
              <w:spacing w:line="320" w:lineRule="exact"/>
              <w:rPr>
                <w:rFonts w:eastAsia="方正仿宋_GBK"/>
                <w:sz w:val="24"/>
                <w:szCs w:val="24"/>
                <w:highlight w:val="none"/>
              </w:rPr>
            </w:pPr>
            <w:r>
              <w:rPr>
                <w:rFonts w:hint="eastAsia" w:eastAsia="方正仿宋_GBK"/>
                <w:sz w:val="24"/>
                <w:szCs w:val="24"/>
                <w:highlight w:val="none"/>
              </w:rPr>
              <w:t>水利局</w:t>
            </w:r>
          </w:p>
        </w:tc>
        <w:tc>
          <w:tcPr>
            <w:tcW w:w="3543" w:type="dxa"/>
            <w:vAlign w:val="center"/>
          </w:tcPr>
          <w:p w14:paraId="4A5A8F60">
            <w:pPr>
              <w:overflowPunct w:val="0"/>
              <w:spacing w:line="320" w:lineRule="exact"/>
              <w:rPr>
                <w:rFonts w:eastAsia="方正仿宋_GBK"/>
                <w:sz w:val="24"/>
                <w:szCs w:val="20"/>
                <w:highlight w:val="none"/>
              </w:rPr>
            </w:pPr>
            <w:r>
              <w:rPr>
                <w:rFonts w:eastAsia="方正仿宋_GBK"/>
                <w:sz w:val="24"/>
                <w:szCs w:val="20"/>
                <w:highlight w:val="none"/>
              </w:rPr>
              <w:t>用水许可是否合规</w:t>
            </w:r>
          </w:p>
        </w:tc>
        <w:tc>
          <w:tcPr>
            <w:tcW w:w="2239" w:type="dxa"/>
            <w:vAlign w:val="center"/>
          </w:tcPr>
          <w:p w14:paraId="0F3B417A">
            <w:pPr>
              <w:overflowPunct w:val="0"/>
              <w:spacing w:line="320" w:lineRule="exact"/>
              <w:rPr>
                <w:rFonts w:eastAsia="方正仿宋_GBK"/>
                <w:sz w:val="24"/>
                <w:szCs w:val="20"/>
                <w:highlight w:val="none"/>
              </w:rPr>
            </w:pPr>
            <w:r>
              <w:rPr>
                <w:rFonts w:eastAsia="方正仿宋_GBK"/>
                <w:sz w:val="24"/>
                <w:szCs w:val="20"/>
                <w:highlight w:val="none"/>
              </w:rPr>
              <w:t>□合规 / □不合规</w:t>
            </w:r>
          </w:p>
        </w:tc>
        <w:tc>
          <w:tcPr>
            <w:tcW w:w="2065" w:type="dxa"/>
            <w:vMerge w:val="restart"/>
            <w:vAlign w:val="center"/>
          </w:tcPr>
          <w:p w14:paraId="6F4B9280">
            <w:pPr>
              <w:overflowPunct w:val="0"/>
              <w:spacing w:line="320" w:lineRule="exact"/>
              <w:rPr>
                <w:rFonts w:eastAsia="方正仿宋_GBK"/>
                <w:highlight w:val="none"/>
              </w:rPr>
            </w:pPr>
          </w:p>
        </w:tc>
      </w:tr>
      <w:tr w14:paraId="6E15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2CC35CE">
            <w:pPr>
              <w:overflowPunct w:val="0"/>
              <w:spacing w:line="320" w:lineRule="exact"/>
              <w:rPr>
                <w:rFonts w:eastAsia="方正仿宋_GBK"/>
                <w:sz w:val="24"/>
                <w:szCs w:val="24"/>
                <w:highlight w:val="none"/>
              </w:rPr>
            </w:pPr>
          </w:p>
        </w:tc>
        <w:tc>
          <w:tcPr>
            <w:tcW w:w="3543" w:type="dxa"/>
            <w:vAlign w:val="center"/>
          </w:tcPr>
          <w:p w14:paraId="3F38DC4E">
            <w:pPr>
              <w:overflowPunct w:val="0"/>
              <w:spacing w:line="320" w:lineRule="exact"/>
              <w:rPr>
                <w:rFonts w:eastAsia="方正仿宋_GBK"/>
                <w:sz w:val="24"/>
                <w:szCs w:val="20"/>
                <w:highlight w:val="none"/>
              </w:rPr>
            </w:pPr>
            <w:r>
              <w:rPr>
                <w:rFonts w:eastAsia="方正仿宋_GBK"/>
                <w:sz w:val="24"/>
                <w:szCs w:val="20"/>
                <w:highlight w:val="none"/>
              </w:rPr>
              <w:t>水费缴纳情况</w:t>
            </w:r>
          </w:p>
        </w:tc>
        <w:tc>
          <w:tcPr>
            <w:tcW w:w="2239" w:type="dxa"/>
            <w:vAlign w:val="center"/>
          </w:tcPr>
          <w:p w14:paraId="03686638">
            <w:pPr>
              <w:overflowPunct w:val="0"/>
              <w:spacing w:line="320" w:lineRule="exact"/>
              <w:rPr>
                <w:rFonts w:eastAsia="方正仿宋_GBK"/>
                <w:sz w:val="24"/>
                <w:szCs w:val="20"/>
                <w:highlight w:val="none"/>
              </w:rPr>
            </w:pPr>
            <w:r>
              <w:rPr>
                <w:rFonts w:eastAsia="方正仿宋_GBK"/>
                <w:sz w:val="24"/>
                <w:szCs w:val="20"/>
                <w:highlight w:val="none"/>
              </w:rPr>
              <w:t>□已缴纳 / □欠缴</w:t>
            </w:r>
          </w:p>
        </w:tc>
        <w:tc>
          <w:tcPr>
            <w:tcW w:w="2065" w:type="dxa"/>
            <w:vMerge w:val="continue"/>
            <w:vAlign w:val="center"/>
          </w:tcPr>
          <w:p w14:paraId="57262991">
            <w:pPr>
              <w:overflowPunct w:val="0"/>
              <w:spacing w:line="320" w:lineRule="exact"/>
              <w:rPr>
                <w:rFonts w:eastAsia="方正仿宋_GBK"/>
                <w:highlight w:val="none"/>
              </w:rPr>
            </w:pPr>
          </w:p>
        </w:tc>
      </w:tr>
      <w:tr w14:paraId="4D17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8BB3D25">
            <w:pPr>
              <w:overflowPunct w:val="0"/>
              <w:spacing w:line="320" w:lineRule="exact"/>
              <w:rPr>
                <w:rFonts w:eastAsia="方正仿宋_GBK"/>
                <w:sz w:val="24"/>
                <w:szCs w:val="24"/>
                <w:highlight w:val="none"/>
              </w:rPr>
            </w:pPr>
          </w:p>
        </w:tc>
        <w:tc>
          <w:tcPr>
            <w:tcW w:w="3543" w:type="dxa"/>
            <w:vAlign w:val="center"/>
          </w:tcPr>
          <w:p w14:paraId="02257F60">
            <w:pPr>
              <w:overflowPunct w:val="0"/>
              <w:spacing w:line="320" w:lineRule="exact"/>
              <w:rPr>
                <w:rFonts w:eastAsia="方正仿宋_GBK"/>
                <w:sz w:val="24"/>
                <w:szCs w:val="20"/>
                <w:highlight w:val="none"/>
              </w:rPr>
            </w:pPr>
            <w:r>
              <w:rPr>
                <w:rFonts w:eastAsia="方正仿宋_GBK"/>
                <w:sz w:val="24"/>
                <w:szCs w:val="20"/>
                <w:highlight w:val="none"/>
              </w:rPr>
              <w:t>灌溉设施维护情况</w:t>
            </w:r>
          </w:p>
        </w:tc>
        <w:tc>
          <w:tcPr>
            <w:tcW w:w="2239" w:type="dxa"/>
            <w:vAlign w:val="center"/>
          </w:tcPr>
          <w:p w14:paraId="73942B90">
            <w:pPr>
              <w:overflowPunct w:val="0"/>
              <w:spacing w:line="320" w:lineRule="exact"/>
              <w:rPr>
                <w:rFonts w:eastAsia="方正仿宋_GBK"/>
                <w:sz w:val="24"/>
                <w:szCs w:val="20"/>
                <w:highlight w:val="none"/>
              </w:rPr>
            </w:pPr>
            <w:r>
              <w:rPr>
                <w:rFonts w:eastAsia="方正仿宋_GBK"/>
                <w:sz w:val="24"/>
                <w:szCs w:val="20"/>
                <w:highlight w:val="none"/>
              </w:rPr>
              <w:t>□到位 / □不到位</w:t>
            </w:r>
          </w:p>
        </w:tc>
        <w:tc>
          <w:tcPr>
            <w:tcW w:w="2065" w:type="dxa"/>
            <w:vMerge w:val="continue"/>
            <w:vAlign w:val="center"/>
          </w:tcPr>
          <w:p w14:paraId="16581B2B">
            <w:pPr>
              <w:overflowPunct w:val="0"/>
              <w:spacing w:line="320" w:lineRule="exact"/>
              <w:rPr>
                <w:rFonts w:eastAsia="方正仿宋_GBK"/>
                <w:highlight w:val="none"/>
              </w:rPr>
            </w:pPr>
          </w:p>
        </w:tc>
      </w:tr>
      <w:tr w14:paraId="18F9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518FDD32">
            <w:pPr>
              <w:overflowPunct w:val="0"/>
              <w:spacing w:line="320" w:lineRule="exact"/>
              <w:rPr>
                <w:rFonts w:eastAsia="方正仿宋_GBK"/>
                <w:sz w:val="24"/>
                <w:szCs w:val="24"/>
                <w:highlight w:val="none"/>
              </w:rPr>
            </w:pPr>
            <w:r>
              <w:rPr>
                <w:rFonts w:hint="eastAsia" w:eastAsia="方正仿宋_GBK"/>
                <w:sz w:val="24"/>
                <w:szCs w:val="24"/>
                <w:highlight w:val="none"/>
              </w:rPr>
              <w:t>乡镇</w:t>
            </w:r>
          </w:p>
        </w:tc>
        <w:tc>
          <w:tcPr>
            <w:tcW w:w="3543" w:type="dxa"/>
            <w:vAlign w:val="center"/>
          </w:tcPr>
          <w:p w14:paraId="1725AAAC">
            <w:pPr>
              <w:overflowPunct w:val="0"/>
              <w:spacing w:line="320" w:lineRule="exact"/>
              <w:rPr>
                <w:rFonts w:eastAsia="方正仿宋_GBK"/>
                <w:sz w:val="24"/>
                <w:szCs w:val="20"/>
                <w:highlight w:val="none"/>
              </w:rPr>
            </w:pPr>
            <w:r>
              <w:rPr>
                <w:rFonts w:eastAsia="方正仿宋_GBK"/>
                <w:sz w:val="24"/>
                <w:szCs w:val="20"/>
                <w:highlight w:val="none"/>
              </w:rPr>
              <w:t>生产经营情况</w:t>
            </w:r>
          </w:p>
        </w:tc>
        <w:tc>
          <w:tcPr>
            <w:tcW w:w="2239" w:type="dxa"/>
            <w:vAlign w:val="center"/>
          </w:tcPr>
          <w:p w14:paraId="1B11445B">
            <w:pPr>
              <w:overflowPunct w:val="0"/>
              <w:spacing w:line="320" w:lineRule="exact"/>
              <w:rPr>
                <w:rFonts w:eastAsia="方正仿宋_GBK"/>
                <w:sz w:val="24"/>
                <w:szCs w:val="20"/>
                <w:highlight w:val="none"/>
              </w:rPr>
            </w:pPr>
            <w:r>
              <w:rPr>
                <w:rFonts w:eastAsia="方正仿宋_GBK"/>
                <w:sz w:val="24"/>
                <w:szCs w:val="20"/>
                <w:highlight w:val="none"/>
              </w:rPr>
              <w:t>□正常 / □异常</w:t>
            </w:r>
          </w:p>
        </w:tc>
        <w:tc>
          <w:tcPr>
            <w:tcW w:w="2065" w:type="dxa"/>
            <w:vMerge w:val="restart"/>
            <w:vAlign w:val="center"/>
          </w:tcPr>
          <w:p w14:paraId="00780F8F">
            <w:pPr>
              <w:overflowPunct w:val="0"/>
              <w:spacing w:line="320" w:lineRule="exact"/>
              <w:rPr>
                <w:rFonts w:eastAsia="方正仿宋_GBK"/>
                <w:highlight w:val="none"/>
              </w:rPr>
            </w:pPr>
          </w:p>
        </w:tc>
      </w:tr>
      <w:tr w14:paraId="7C05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D1BF61F">
            <w:pPr>
              <w:overflowPunct w:val="0"/>
              <w:spacing w:line="320" w:lineRule="exact"/>
              <w:rPr>
                <w:rFonts w:eastAsia="方正仿宋_GBK"/>
                <w:sz w:val="24"/>
                <w:szCs w:val="24"/>
                <w:highlight w:val="none"/>
              </w:rPr>
            </w:pPr>
          </w:p>
        </w:tc>
        <w:tc>
          <w:tcPr>
            <w:tcW w:w="3543" w:type="dxa"/>
            <w:vAlign w:val="center"/>
          </w:tcPr>
          <w:p w14:paraId="04BDBEAF">
            <w:pPr>
              <w:overflowPunct w:val="0"/>
              <w:spacing w:line="320" w:lineRule="exact"/>
              <w:rPr>
                <w:rFonts w:eastAsia="方正仿宋_GBK"/>
                <w:sz w:val="24"/>
                <w:szCs w:val="20"/>
                <w:highlight w:val="none"/>
              </w:rPr>
            </w:pPr>
            <w:r>
              <w:rPr>
                <w:rFonts w:eastAsia="方正仿宋_GBK"/>
                <w:sz w:val="24"/>
                <w:szCs w:val="20"/>
                <w:highlight w:val="none"/>
              </w:rPr>
              <w:t>是否存在纠纷</w:t>
            </w:r>
          </w:p>
        </w:tc>
        <w:tc>
          <w:tcPr>
            <w:tcW w:w="2239" w:type="dxa"/>
            <w:vAlign w:val="center"/>
          </w:tcPr>
          <w:p w14:paraId="7E48F49F">
            <w:pPr>
              <w:overflowPunct w:val="0"/>
              <w:spacing w:line="320" w:lineRule="exact"/>
              <w:rPr>
                <w:rFonts w:eastAsia="方正仿宋_GBK"/>
                <w:sz w:val="24"/>
                <w:szCs w:val="20"/>
                <w:highlight w:val="none"/>
              </w:rPr>
            </w:pPr>
            <w:r>
              <w:rPr>
                <w:rFonts w:eastAsia="方正仿宋_GBK"/>
                <w:sz w:val="24"/>
                <w:szCs w:val="20"/>
                <w:highlight w:val="none"/>
              </w:rPr>
              <w:t>□无 / □有</w:t>
            </w:r>
          </w:p>
        </w:tc>
        <w:tc>
          <w:tcPr>
            <w:tcW w:w="2065" w:type="dxa"/>
            <w:vMerge w:val="continue"/>
            <w:vAlign w:val="center"/>
          </w:tcPr>
          <w:p w14:paraId="4FDD68AE">
            <w:pPr>
              <w:overflowPunct w:val="0"/>
              <w:spacing w:line="320" w:lineRule="exact"/>
              <w:rPr>
                <w:rFonts w:eastAsia="方正仿宋_GBK"/>
                <w:highlight w:val="none"/>
              </w:rPr>
            </w:pPr>
          </w:p>
        </w:tc>
      </w:tr>
      <w:tr w14:paraId="0CB2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4D6E6F5B">
            <w:pPr>
              <w:overflowPunct w:val="0"/>
              <w:spacing w:line="320" w:lineRule="exact"/>
              <w:rPr>
                <w:rFonts w:eastAsia="方正仿宋_GBK"/>
                <w:sz w:val="24"/>
                <w:szCs w:val="24"/>
                <w:highlight w:val="none"/>
              </w:rPr>
            </w:pPr>
            <w:r>
              <w:rPr>
                <w:rFonts w:hint="eastAsia" w:eastAsia="方正仿宋_GBK"/>
                <w:sz w:val="24"/>
                <w:szCs w:val="24"/>
                <w:highlight w:val="none"/>
              </w:rPr>
              <w:t>村委会</w:t>
            </w:r>
          </w:p>
        </w:tc>
        <w:tc>
          <w:tcPr>
            <w:tcW w:w="3543" w:type="dxa"/>
            <w:vAlign w:val="center"/>
          </w:tcPr>
          <w:p w14:paraId="20B2CE67">
            <w:pPr>
              <w:overflowPunct w:val="0"/>
              <w:spacing w:line="320" w:lineRule="exact"/>
              <w:rPr>
                <w:rFonts w:eastAsia="方正仿宋_GBK"/>
                <w:sz w:val="24"/>
                <w:szCs w:val="20"/>
                <w:highlight w:val="none"/>
              </w:rPr>
            </w:pPr>
            <w:r>
              <w:rPr>
                <w:rFonts w:eastAsia="方正仿宋_GBK"/>
                <w:sz w:val="24"/>
                <w:szCs w:val="20"/>
                <w:highlight w:val="none"/>
              </w:rPr>
              <w:t>土地利用是否合理</w:t>
            </w:r>
          </w:p>
        </w:tc>
        <w:tc>
          <w:tcPr>
            <w:tcW w:w="2239" w:type="dxa"/>
            <w:vAlign w:val="center"/>
          </w:tcPr>
          <w:p w14:paraId="06A4FED1">
            <w:pPr>
              <w:overflowPunct w:val="0"/>
              <w:spacing w:line="320" w:lineRule="exact"/>
              <w:rPr>
                <w:rFonts w:eastAsia="方正仿宋_GBK"/>
                <w:sz w:val="24"/>
                <w:szCs w:val="20"/>
                <w:highlight w:val="none"/>
              </w:rPr>
            </w:pPr>
            <w:r>
              <w:rPr>
                <w:rFonts w:eastAsia="方正仿宋_GBK"/>
                <w:sz w:val="24"/>
                <w:szCs w:val="20"/>
                <w:highlight w:val="none"/>
              </w:rPr>
              <w:t>□合理 / □不合理</w:t>
            </w:r>
          </w:p>
        </w:tc>
        <w:tc>
          <w:tcPr>
            <w:tcW w:w="2065" w:type="dxa"/>
            <w:vMerge w:val="restart"/>
            <w:vAlign w:val="center"/>
          </w:tcPr>
          <w:p w14:paraId="02D050A7">
            <w:pPr>
              <w:overflowPunct w:val="0"/>
              <w:spacing w:line="320" w:lineRule="exact"/>
              <w:rPr>
                <w:rFonts w:eastAsia="方正仿宋_GBK"/>
                <w:highlight w:val="none"/>
              </w:rPr>
            </w:pPr>
          </w:p>
        </w:tc>
      </w:tr>
      <w:tr w14:paraId="3F4F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33BC448">
            <w:pPr>
              <w:overflowPunct w:val="0"/>
              <w:spacing w:line="320" w:lineRule="exact"/>
              <w:rPr>
                <w:rFonts w:eastAsia="方正仿宋_GBK"/>
                <w:sz w:val="24"/>
                <w:szCs w:val="24"/>
                <w:highlight w:val="none"/>
              </w:rPr>
            </w:pPr>
          </w:p>
        </w:tc>
        <w:tc>
          <w:tcPr>
            <w:tcW w:w="3543" w:type="dxa"/>
            <w:vAlign w:val="center"/>
          </w:tcPr>
          <w:p w14:paraId="56E5EDB9">
            <w:pPr>
              <w:overflowPunct w:val="0"/>
              <w:spacing w:line="320" w:lineRule="exact"/>
              <w:rPr>
                <w:rFonts w:eastAsia="方正仿宋_GBK"/>
                <w:sz w:val="24"/>
                <w:szCs w:val="20"/>
                <w:highlight w:val="none"/>
              </w:rPr>
            </w:pPr>
            <w:r>
              <w:rPr>
                <w:rFonts w:eastAsia="方正仿宋_GBK"/>
                <w:sz w:val="24"/>
                <w:szCs w:val="20"/>
                <w:highlight w:val="none"/>
              </w:rPr>
              <w:t>与村集体及村民关系</w:t>
            </w:r>
          </w:p>
        </w:tc>
        <w:tc>
          <w:tcPr>
            <w:tcW w:w="2239" w:type="dxa"/>
            <w:vAlign w:val="center"/>
          </w:tcPr>
          <w:p w14:paraId="4DDDBDE1">
            <w:pPr>
              <w:overflowPunct w:val="0"/>
              <w:spacing w:line="320" w:lineRule="exact"/>
              <w:rPr>
                <w:rFonts w:eastAsia="方正仿宋_GBK"/>
                <w:sz w:val="24"/>
                <w:szCs w:val="20"/>
                <w:highlight w:val="none"/>
              </w:rPr>
            </w:pPr>
            <w:r>
              <w:rPr>
                <w:rFonts w:eastAsia="方正仿宋_GBK"/>
                <w:sz w:val="24"/>
                <w:szCs w:val="20"/>
                <w:highlight w:val="none"/>
              </w:rPr>
              <w:t>□融洽 / □存在矛盾</w:t>
            </w:r>
          </w:p>
        </w:tc>
        <w:tc>
          <w:tcPr>
            <w:tcW w:w="2065" w:type="dxa"/>
            <w:vMerge w:val="continue"/>
            <w:vAlign w:val="center"/>
          </w:tcPr>
          <w:p w14:paraId="4ECA3B40">
            <w:pPr>
              <w:overflowPunct w:val="0"/>
              <w:spacing w:line="320" w:lineRule="exact"/>
              <w:rPr>
                <w:rFonts w:eastAsia="方正仿宋_GBK"/>
                <w:highlight w:val="none"/>
              </w:rPr>
            </w:pPr>
          </w:p>
        </w:tc>
      </w:tr>
    </w:tbl>
    <w:p w14:paraId="61FCC988">
      <w:pPr>
        <w:overflowPunct w:val="0"/>
        <w:spacing w:line="560" w:lineRule="exact"/>
        <w:ind w:firstLine="632" w:firstLineChars="200"/>
        <w:rPr>
          <w:rFonts w:hint="eastAsia" w:ascii="方正黑体_GBK" w:hAnsi="方正黑体_GBK" w:eastAsia="方正黑体_GBK"/>
          <w:highlight w:val="none"/>
        </w:rPr>
      </w:pPr>
      <w:r>
        <w:rPr>
          <w:rFonts w:ascii="方正黑体_GBK" w:hAnsi="方正黑体_GBK" w:eastAsia="方正黑体_GBK"/>
          <w:highlight w:val="none"/>
        </w:rPr>
        <w:t>三、综合认定结论</w:t>
      </w:r>
    </w:p>
    <w:p w14:paraId="6B9B84A0">
      <w:pPr>
        <w:overflowPunct w:val="0"/>
        <w:spacing w:line="560" w:lineRule="exact"/>
        <w:ind w:firstLine="632" w:firstLineChars="200"/>
        <w:rPr>
          <w:rFonts w:eastAsia="方正仿宋_GBK"/>
          <w:highlight w:val="none"/>
        </w:rPr>
      </w:pPr>
      <w:r>
        <w:rPr>
          <w:rFonts w:eastAsia="方正仿宋_GBK"/>
          <w:highlight w:val="none"/>
        </w:rPr>
        <w:t>原承包人在承包期内能够履行合同义务，无违约记录，享有优先承包权</w:t>
      </w:r>
      <w:r>
        <w:rPr>
          <w:rFonts w:hint="eastAsia" w:eastAsia="方正仿宋_GBK"/>
          <w:highlight w:val="none"/>
        </w:rPr>
        <w:t>（</w:t>
      </w:r>
      <w:r>
        <w:rPr>
          <w:rFonts w:eastAsia="方正仿宋_GBK"/>
          <w:highlight w:val="none"/>
        </w:rPr>
        <w:t>存在以下违约行为：</w:t>
      </w:r>
      <w:r>
        <w:rPr>
          <w:rFonts w:hint="eastAsia" w:eastAsia="方正仿宋_GBK"/>
          <w:highlight w:val="none"/>
        </w:rPr>
        <w:t>1.****，2.****，3.****</w:t>
      </w:r>
      <w:r>
        <w:rPr>
          <w:rFonts w:eastAsia="方正仿宋_GBK"/>
          <w:highlight w:val="none"/>
        </w:rPr>
        <w:t xml:space="preserve"> ，不享有优先承包权</w:t>
      </w:r>
      <w:r>
        <w:rPr>
          <w:rFonts w:hint="eastAsia" w:eastAsia="方正仿宋_GBK"/>
          <w:highlight w:val="none"/>
        </w:rPr>
        <w:t>）</w:t>
      </w:r>
    </w:p>
    <w:p w14:paraId="3C83B1A9">
      <w:pPr>
        <w:overflowPunct w:val="0"/>
        <w:spacing w:line="560" w:lineRule="exact"/>
        <w:rPr>
          <w:rFonts w:eastAsia="方正仿宋_GBK"/>
          <w:highlight w:val="none"/>
        </w:rPr>
      </w:pPr>
    </w:p>
    <w:p w14:paraId="5007D738">
      <w:pPr>
        <w:overflowPunct w:val="0"/>
        <w:spacing w:line="560" w:lineRule="exact"/>
        <w:rPr>
          <w:rFonts w:eastAsia="方正仿宋_GBK"/>
          <w:highlight w:val="none"/>
        </w:rPr>
      </w:pPr>
    </w:p>
    <w:p w14:paraId="2177D689">
      <w:pPr>
        <w:overflowPunct w:val="0"/>
        <w:spacing w:line="560" w:lineRule="exact"/>
        <w:rPr>
          <w:rFonts w:eastAsia="方正仿宋_GBK"/>
          <w:highlight w:val="none"/>
        </w:rPr>
      </w:pPr>
    </w:p>
    <w:p w14:paraId="4EC91A04">
      <w:pPr>
        <w:overflowPunct w:val="0"/>
        <w:spacing w:line="560" w:lineRule="exact"/>
        <w:ind w:right="480" w:rightChars="152"/>
        <w:jc w:val="right"/>
        <w:rPr>
          <w:rFonts w:eastAsia="方正仿宋_GBK"/>
          <w:highlight w:val="none"/>
        </w:rPr>
      </w:pPr>
      <w:r>
        <w:rPr>
          <w:rFonts w:hint="eastAsia" w:eastAsia="方正仿宋_GBK"/>
          <w:highlight w:val="none"/>
        </w:rPr>
        <w:t>发包主体（盖章）</w:t>
      </w:r>
    </w:p>
    <w:p w14:paraId="420894EE">
      <w:pPr>
        <w:overflowPunct w:val="0"/>
        <w:spacing w:line="560" w:lineRule="exact"/>
        <w:ind w:right="622" w:rightChars="197"/>
        <w:jc w:val="right"/>
        <w:rPr>
          <w:rFonts w:eastAsia="方正仿宋_GBK"/>
          <w:highlight w:val="none"/>
        </w:rPr>
      </w:pPr>
      <w:r>
        <w:rPr>
          <w:rFonts w:hint="eastAsia" w:eastAsia="方正仿宋_GBK"/>
          <w:highlight w:val="none"/>
        </w:rPr>
        <w:t xml:space="preserve">****年**月**日 </w:t>
      </w:r>
    </w:p>
    <w:p w14:paraId="53B73364">
      <w:pPr>
        <w:rPr>
          <w:rFonts w:eastAsia="方正仿宋_GBK"/>
          <w:highlight w:val="none"/>
        </w:rPr>
      </w:pPr>
      <w:r>
        <w:rPr>
          <w:rFonts w:eastAsia="方正仿宋_GBK"/>
          <w:highlight w:val="none"/>
        </w:rPr>
        <w:br w:type="page"/>
      </w:r>
    </w:p>
    <w:p w14:paraId="3F2BFF8A">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eastAsia" w:ascii="方正黑体_GBK" w:hAnsi="方正黑体_GBK" w:eastAsia="方正黑体_GBK"/>
          <w:highlight w:val="none"/>
          <w:lang w:eastAsia="zh-CN"/>
        </w:rPr>
      </w:pPr>
      <w:r>
        <w:rPr>
          <w:rFonts w:hint="eastAsia" w:ascii="方正黑体_GBK" w:hAnsi="方正黑体_GBK" w:eastAsia="方正黑体_GBK"/>
          <w:highlight w:val="none"/>
        </w:rPr>
        <w:t>附件</w:t>
      </w:r>
      <w:r>
        <w:rPr>
          <w:rFonts w:hint="eastAsia" w:ascii="方正黑体_GBK" w:hAnsi="方正黑体_GBK" w:eastAsia="方正黑体_GBK"/>
          <w:highlight w:val="none"/>
          <w:lang w:val="en-US" w:eastAsia="zh-CN"/>
        </w:rPr>
        <w:t>3</w:t>
      </w:r>
    </w:p>
    <w:p w14:paraId="18F39FB4">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eastAsia" w:ascii="方正黑体_GBK" w:hAnsi="方正黑体_GBK" w:eastAsia="方正黑体_GBK"/>
          <w:highlight w:val="none"/>
        </w:rPr>
      </w:pPr>
    </w:p>
    <w:p w14:paraId="39DCDE38">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原承包人有效投入补偿协议（示范文本）</w:t>
      </w:r>
    </w:p>
    <w:p w14:paraId="7D534491">
      <w:pPr>
        <w:keepNext w:val="0"/>
        <w:keepLines w:val="0"/>
        <w:pageBreakBefore w:val="0"/>
        <w:widowControl w:val="0"/>
        <w:kinsoku/>
        <w:wordWrap/>
        <w:topLinePunct w:val="0"/>
        <w:autoSpaceDE/>
        <w:autoSpaceDN/>
        <w:bidi w:val="0"/>
        <w:adjustRightInd/>
        <w:snapToGrid/>
        <w:spacing w:line="560" w:lineRule="exact"/>
        <w:jc w:val="right"/>
        <w:textAlignment w:val="auto"/>
        <w:rPr>
          <w:rFonts w:hint="eastAsia" w:eastAsia="方正仿宋_GBK"/>
          <w:highlight w:val="none"/>
          <w:lang w:eastAsia="zh-CN"/>
        </w:rPr>
      </w:pPr>
      <w:r>
        <w:rPr>
          <w:rFonts w:hint="eastAsia"/>
          <w:highlight w:val="none"/>
        </w:rPr>
        <w:t>协议编号：〔20</w:t>
      </w:r>
      <w:r>
        <w:rPr>
          <w:rFonts w:hint="eastAsia"/>
          <w:highlight w:val="none"/>
          <w:lang w:val="en-US" w:eastAsia="zh-CN"/>
        </w:rPr>
        <w:t>**</w:t>
      </w:r>
      <w:r>
        <w:rPr>
          <w:rFonts w:hint="eastAsia"/>
          <w:highlight w:val="none"/>
        </w:rPr>
        <w:t>〕</w:t>
      </w:r>
      <w:r>
        <w:rPr>
          <w:rFonts w:hint="eastAsia"/>
          <w:highlight w:val="none"/>
          <w:lang w:val="en-US" w:eastAsia="zh-CN"/>
        </w:rPr>
        <w:t>**</w:t>
      </w:r>
      <w:r>
        <w:rPr>
          <w:rFonts w:hint="eastAsia"/>
          <w:highlight w:val="none"/>
        </w:rPr>
        <w:t>号</w:t>
      </w:r>
    </w:p>
    <w:p w14:paraId="78A4ED44">
      <w:pPr>
        <w:keepNext w:val="0"/>
        <w:keepLines w:val="0"/>
        <w:pageBreakBefore w:val="0"/>
        <w:widowControl w:val="0"/>
        <w:kinsoku/>
        <w:wordWrap/>
        <w:topLinePunct w:val="0"/>
        <w:autoSpaceDE/>
        <w:autoSpaceDN/>
        <w:bidi w:val="0"/>
        <w:adjustRightInd/>
        <w:snapToGrid/>
        <w:spacing w:line="560" w:lineRule="exact"/>
        <w:textAlignment w:val="auto"/>
        <w:rPr>
          <w:rFonts w:hint="eastAsia"/>
          <w:highlight w:val="none"/>
        </w:rPr>
      </w:pPr>
    </w:p>
    <w:p w14:paraId="75BFA09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甲方（原承包人）：___________________________</w:t>
      </w:r>
    </w:p>
    <w:p w14:paraId="7DE75D6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身份证号/统一社会信用代码：_________________________</w:t>
      </w:r>
    </w:p>
    <w:p w14:paraId="10541CE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住址：___________________________</w:t>
      </w:r>
    </w:p>
    <w:p w14:paraId="53B8EC8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联系电话：___________________________</w:t>
      </w:r>
    </w:p>
    <w:p w14:paraId="268FA0A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乙方（新承包人）：___________________________</w:t>
      </w:r>
    </w:p>
    <w:p w14:paraId="63978B7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身份证号/统一社会信用代码：_________________________</w:t>
      </w:r>
    </w:p>
    <w:p w14:paraId="0B78AB7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住址：___________________________</w:t>
      </w:r>
    </w:p>
    <w:p w14:paraId="1AE0E22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联系电话：___________________________</w:t>
      </w:r>
    </w:p>
    <w:p w14:paraId="1D288E0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鉴证方：___________________县（市）自然资源局</w:t>
      </w:r>
    </w:p>
    <w:p w14:paraId="395F663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p>
    <w:p w14:paraId="4190424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鉴于：</w:t>
      </w:r>
    </w:p>
    <w:p w14:paraId="21EB0A8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1.甲方系_______县（市）___________乡（镇）________村______地块（地块编号：_____________________）的原承包人，原承包合同期限为______年____月____日至______年____月____日。</w:t>
      </w:r>
    </w:p>
    <w:p w14:paraId="1B08300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2.上述地块经公开交易，乙方已通过_________方式取得该地块承包经营权，新承包合同期限为______年____月____日至______年____月____日。</w:t>
      </w:r>
    </w:p>
    <w:p w14:paraId="1C03EC8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3.甲方在承包期间对该地块进行了有效投入，依据《中华人民共和国</w:t>
      </w:r>
      <w:r>
        <w:rPr>
          <w:rFonts w:hint="eastAsia"/>
          <w:highlight w:val="none"/>
          <w:lang w:val="en-US" w:eastAsia="zh-CN"/>
        </w:rPr>
        <w:t>民法典</w:t>
      </w:r>
      <w:r>
        <w:rPr>
          <w:rFonts w:hint="eastAsia"/>
          <w:highlight w:val="none"/>
        </w:rPr>
        <w:t>》相关规定，甲方有权获得相应补偿。经甲乙双方平等协商，就甲方有效投入补偿事宜达成如下协议。</w:t>
      </w:r>
    </w:p>
    <w:p w14:paraId="6D6778B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第一条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补偿依据</w:t>
      </w:r>
    </w:p>
    <w:p w14:paraId="4BE5E6A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甲方在承包期间对_______________地块的投入，经_____________县（市）自然资源局会同</w:t>
      </w:r>
      <w:r>
        <w:rPr>
          <w:rFonts w:hint="eastAsia"/>
          <w:highlight w:val="none"/>
          <w:lang w:val="en-US" w:eastAsia="zh-CN"/>
        </w:rPr>
        <w:t>相关单位</w:t>
      </w:r>
      <w:r>
        <w:rPr>
          <w:rFonts w:hint="eastAsia"/>
          <w:highlight w:val="none"/>
        </w:rPr>
        <w:t>审核认定，出具了《原承包人有效投入认定清单》（文号：______________），认定有效投入金额合计___________元（大写：__________元）。甲乙双方对上述认定结果均无异议。</w:t>
      </w:r>
    </w:p>
    <w:p w14:paraId="4B392AA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第二条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补偿金额及支付方式</w:t>
      </w:r>
    </w:p>
    <w:p w14:paraId="0356E5F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2.1补偿总额。双方确认，甲方有效投入补偿总额为人民币_____________________元（大写：_____________________元）。</w:t>
      </w:r>
    </w:p>
    <w:p w14:paraId="695C2A4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2.2支付方式。经双方协商一致，采取分期支付</w:t>
      </w:r>
      <w:r>
        <w:rPr>
          <w:rFonts w:hint="eastAsia"/>
          <w:highlight w:val="none"/>
          <w:lang w:val="en-US" w:eastAsia="zh-CN"/>
        </w:rPr>
        <w:t>/一次性支付</w:t>
      </w:r>
      <w:r>
        <w:rPr>
          <w:rFonts w:hint="eastAsia"/>
          <w:highlight w:val="none"/>
        </w:rPr>
        <w:t>方式，具体如下：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0"/>
      </w:tblGrid>
      <w:tr w14:paraId="4818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5F5CDDF2">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期次</w:t>
            </w:r>
          </w:p>
        </w:tc>
        <w:tc>
          <w:tcPr>
            <w:tcW w:w="3020" w:type="dxa"/>
            <w:vAlign w:val="center"/>
          </w:tcPr>
          <w:p w14:paraId="1116C889">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支付金额（元）</w:t>
            </w:r>
          </w:p>
        </w:tc>
        <w:tc>
          <w:tcPr>
            <w:tcW w:w="3020" w:type="dxa"/>
            <w:vAlign w:val="center"/>
          </w:tcPr>
          <w:p w14:paraId="54EFE5B5">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支付期限</w:t>
            </w:r>
          </w:p>
        </w:tc>
      </w:tr>
      <w:tr w14:paraId="28F0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6079F0B4">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第一期</w:t>
            </w:r>
          </w:p>
        </w:tc>
        <w:tc>
          <w:tcPr>
            <w:tcW w:w="3020" w:type="dxa"/>
            <w:vAlign w:val="center"/>
          </w:tcPr>
          <w:p w14:paraId="0738AE63">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c>
          <w:tcPr>
            <w:tcW w:w="3020" w:type="dxa"/>
            <w:vAlign w:val="center"/>
          </w:tcPr>
          <w:p w14:paraId="3B279B18">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r>
              <w:rPr>
                <w:rFonts w:hint="eastAsia"/>
                <w:highlight w:val="none"/>
              </w:rPr>
              <w:t>____年___月__日前</w:t>
            </w:r>
          </w:p>
        </w:tc>
      </w:tr>
      <w:tr w14:paraId="4508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78B53EF6">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第二期</w:t>
            </w:r>
          </w:p>
        </w:tc>
        <w:tc>
          <w:tcPr>
            <w:tcW w:w="3020" w:type="dxa"/>
            <w:vAlign w:val="center"/>
          </w:tcPr>
          <w:p w14:paraId="4B8A91CA">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c>
          <w:tcPr>
            <w:tcW w:w="3020" w:type="dxa"/>
            <w:vAlign w:val="center"/>
          </w:tcPr>
          <w:p w14:paraId="1D8CD39E">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r>
              <w:rPr>
                <w:rFonts w:hint="eastAsia"/>
                <w:highlight w:val="none"/>
              </w:rPr>
              <w:t>____年___月__日前</w:t>
            </w:r>
          </w:p>
        </w:tc>
      </w:tr>
      <w:tr w14:paraId="0846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64B850C1">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第三期</w:t>
            </w:r>
          </w:p>
        </w:tc>
        <w:tc>
          <w:tcPr>
            <w:tcW w:w="3020" w:type="dxa"/>
            <w:vAlign w:val="center"/>
          </w:tcPr>
          <w:p w14:paraId="67BAE8E0">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c>
          <w:tcPr>
            <w:tcW w:w="3020" w:type="dxa"/>
            <w:vAlign w:val="center"/>
          </w:tcPr>
          <w:p w14:paraId="308C34A8">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r>
              <w:rPr>
                <w:rFonts w:hint="eastAsia"/>
                <w:highlight w:val="none"/>
              </w:rPr>
              <w:t>____年___月__日前</w:t>
            </w:r>
          </w:p>
        </w:tc>
      </w:tr>
      <w:tr w14:paraId="10C4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2BCA2932">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r>
              <w:rPr>
                <w:rFonts w:hint="eastAsia"/>
                <w:highlight w:val="none"/>
                <w:vertAlign w:val="baseline"/>
                <w:lang w:eastAsia="zh-CN"/>
              </w:rPr>
              <w:t>……</w:t>
            </w:r>
          </w:p>
        </w:tc>
        <w:tc>
          <w:tcPr>
            <w:tcW w:w="3020" w:type="dxa"/>
            <w:vAlign w:val="center"/>
          </w:tcPr>
          <w:p w14:paraId="2D26530E">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c>
          <w:tcPr>
            <w:tcW w:w="3020" w:type="dxa"/>
            <w:vAlign w:val="center"/>
          </w:tcPr>
          <w:p w14:paraId="0B52C208">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r>
      <w:tr w14:paraId="6F7E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0" w:type="dxa"/>
            <w:vAlign w:val="center"/>
          </w:tcPr>
          <w:p w14:paraId="4D8CD8DF">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default"/>
                <w:highlight w:val="none"/>
                <w:vertAlign w:val="baseline"/>
                <w:lang w:val="en-US" w:eastAsia="zh-CN"/>
              </w:rPr>
            </w:pPr>
            <w:r>
              <w:rPr>
                <w:rFonts w:hint="eastAsia"/>
                <w:highlight w:val="none"/>
                <w:vertAlign w:val="baseline"/>
                <w:lang w:val="en-US" w:eastAsia="zh-CN"/>
              </w:rPr>
              <w:t>合计</w:t>
            </w:r>
          </w:p>
        </w:tc>
        <w:tc>
          <w:tcPr>
            <w:tcW w:w="3020" w:type="dxa"/>
            <w:vAlign w:val="center"/>
          </w:tcPr>
          <w:p w14:paraId="41E50596">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c>
          <w:tcPr>
            <w:tcW w:w="3020" w:type="dxa"/>
            <w:vAlign w:val="center"/>
          </w:tcPr>
          <w:p w14:paraId="087BDA74">
            <w:pPr>
              <w:keepNext w:val="0"/>
              <w:keepLines w:val="0"/>
              <w:pageBreakBefore w:val="0"/>
              <w:widowControl w:val="0"/>
              <w:kinsoku/>
              <w:wordWrap/>
              <w:overflowPunct w:val="0"/>
              <w:topLinePunct w:val="0"/>
              <w:autoSpaceDE/>
              <w:autoSpaceDN/>
              <w:bidi w:val="0"/>
              <w:adjustRightInd/>
              <w:snapToGrid/>
              <w:spacing w:line="560" w:lineRule="exact"/>
              <w:ind w:firstLine="0" w:firstLineChars="0"/>
              <w:jc w:val="center"/>
              <w:textAlignment w:val="auto"/>
              <w:rPr>
                <w:rFonts w:hint="eastAsia"/>
                <w:highlight w:val="none"/>
                <w:vertAlign w:val="baseline"/>
                <w:lang w:eastAsia="zh-CN"/>
              </w:rPr>
            </w:pPr>
          </w:p>
        </w:tc>
      </w:tr>
    </w:tbl>
    <w:p w14:paraId="181FDF7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2.3分期期限。最后一期支付时间不晚于乙方新承包合同期限届满之日（______年____月____日）。</w:t>
      </w:r>
    </w:p>
    <w:p w14:paraId="73FB8A8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2.4支付账户。乙方应将各期补偿款项支付至甲方指定账户：</w:t>
      </w:r>
    </w:p>
    <w:p w14:paraId="64F848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户名：___________________________</w:t>
      </w:r>
    </w:p>
    <w:p w14:paraId="04CA95D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账号：___________________________</w:t>
      </w:r>
    </w:p>
    <w:p w14:paraId="0E8AEC0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开户行：___________________________</w:t>
      </w:r>
    </w:p>
    <w:p w14:paraId="4A32417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第三条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双方权利义务</w:t>
      </w:r>
    </w:p>
    <w:p w14:paraId="3D99DB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3.1甲方的权利和义务：</w:t>
      </w:r>
    </w:p>
    <w:p w14:paraId="1F6750B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（1）有权按照本协议约定按时足额收取各期补偿款项；</w:t>
      </w:r>
    </w:p>
    <w:p w14:paraId="3756C9F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（2）在补偿款项全部付清前，甲方有权就剩余补偿款项向乙方主张权利；</w:t>
      </w:r>
    </w:p>
    <w:p w14:paraId="6EDD71F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（3）甲方应在第一期补偿款项支付后__</w:t>
      </w:r>
      <w:r>
        <w:rPr>
          <w:rFonts w:hint="eastAsia"/>
          <w:highlight w:val="none"/>
          <w:lang w:val="en-US" w:eastAsia="zh-CN"/>
        </w:rPr>
        <w:t>个自然</w:t>
      </w:r>
      <w:r>
        <w:rPr>
          <w:rFonts w:hint="eastAsia"/>
          <w:highlight w:val="none"/>
        </w:rPr>
        <w:t>日内，将地块及地上附着物、生产设施完整移交给乙方，并配合乙方办理相关交接手续；</w:t>
      </w:r>
    </w:p>
    <w:p w14:paraId="4197AC9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（4）甲方保证其对地块的有效投入真实、合法，不存在权利瑕疵，如有第三方就投入资产主张权利的，由甲方负责处理。</w:t>
      </w:r>
    </w:p>
    <w:p w14:paraId="4C5088B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3.2乙方的权利和义务：</w:t>
      </w:r>
    </w:p>
    <w:p w14:paraId="1CBCD4E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（1）有权按照本协议约定接收地块及地上附着物、生产设施，并自主开展生产经营活动；</w:t>
      </w:r>
    </w:p>
    <w:p w14:paraId="4A7100E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（2）应当按照本协议约定的期限和金额按时足额支付各期补偿款项；</w:t>
      </w:r>
    </w:p>
    <w:p w14:paraId="5297DE9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3）乙方有权在补偿款项付清前对原有生产设施进行必要的维修、更换或升级改造。如乙方拟拆除、更换原有生产设施的，应提前______日书面通知甲方，并附拟处置设施清单、处置原因说明及拟替代方案；甲方应在收到通知后______日内书面答复，逾期未答复的，视为无异议。甲方对处置范围或方式有异议的，双方应协商解决，协商不成的可共同委托评估机构对拟处置设施现状价值进行评估确认。拟处置设施的残值或评估价值，可</w:t>
      </w:r>
      <w:r>
        <w:rPr>
          <w:rFonts w:hint="eastAsia"/>
          <w:highlight w:val="none"/>
          <w:lang w:val="en-US" w:eastAsia="zh-CN"/>
        </w:rPr>
        <w:t>通过签订补充协议的方式，</w:t>
      </w:r>
      <w:r>
        <w:rPr>
          <w:rFonts w:hint="eastAsia"/>
          <w:highlight w:val="none"/>
        </w:rPr>
        <w:t>在剩余补偿款项中予以抵扣。</w:t>
      </w:r>
    </w:p>
    <w:p w14:paraId="6066128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（4）乙方进行设施更换或升级改造的，应确保不低于原有设施的生产功能，不得因此降低地块的生产能力。乙方投入的新设施归乙方所有，承包期满后按承包合同约定处理。</w:t>
      </w:r>
    </w:p>
    <w:p w14:paraId="0DDFB5E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第四条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违约责任</w:t>
      </w:r>
    </w:p>
    <w:p w14:paraId="6B6BBEB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4.1乙方逾期支付补偿款项的，每逾期一日，应按逾期金额的______‰向甲方支付违约金。</w:t>
      </w:r>
    </w:p>
    <w:p w14:paraId="15DF34C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4.2乙方逾期超过______日仍未支付的，甲方有权要求乙方一次性支付剩余全部补偿款项，并有权依法主张权利。</w:t>
      </w:r>
    </w:p>
    <w:p w14:paraId="6C954A1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4.3甲方未按约定移交地块及地上附着物的，每逾期一日，应按补偿总额的______‰向乙方支付违约金。</w:t>
      </w:r>
    </w:p>
    <w:p w14:paraId="52F18F9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lang w:eastAsia="zh-CN"/>
        </w:rPr>
      </w:pPr>
      <w:r>
        <w:rPr>
          <w:rFonts w:hint="eastAsia"/>
          <w:highlight w:val="none"/>
        </w:rPr>
        <w:t>4.4乙方未按3.2（3）约定书面通知甲方或未经协商擅自拆除甲方投入的生产设施的，视为违约，甲方有权要求乙方恢复原状或赔偿相应损失，并可要求乙方提前支付剩余全部补偿款项。乙方擅自处置设施所得收益归甲方所有。</w:t>
      </w:r>
    </w:p>
    <w:p w14:paraId="60BD776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第五条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争议解决</w:t>
      </w:r>
    </w:p>
    <w:p w14:paraId="13A8B01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5.1本协议履行过程中发生争议的，双方应友好协商解决。</w:t>
      </w:r>
    </w:p>
    <w:p w14:paraId="2D5F044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5.2协商不成的，可向______人民政府申请调解。</w:t>
      </w:r>
    </w:p>
    <w:p w14:paraId="1F454A5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5.3调解不成的，任何一方均可依法向有管辖权的人民法院提起诉讼。</w:t>
      </w:r>
    </w:p>
    <w:p w14:paraId="1D50726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rPr>
      </w:pPr>
      <w:r>
        <w:rPr>
          <w:rFonts w:hint="eastAsia" w:ascii="方正黑体_GBK" w:hAnsi="方正黑体_GBK" w:eastAsia="方正黑体_GBK" w:cs="方正黑体_GBK"/>
          <w:highlight w:val="none"/>
        </w:rPr>
        <w:t>第六条</w:t>
      </w:r>
      <w:r>
        <w:rPr>
          <w:rFonts w:hint="eastAsia" w:ascii="方正黑体_GBK" w:hAnsi="方正黑体_GBK" w:eastAsia="方正黑体_GBK" w:cs="方正黑体_GBK"/>
          <w:highlight w:val="none"/>
          <w:lang w:val="en-US" w:eastAsia="zh-CN"/>
        </w:rPr>
        <w:t xml:space="preserve"> </w:t>
      </w:r>
      <w:r>
        <w:rPr>
          <w:rFonts w:hint="eastAsia" w:ascii="方正黑体_GBK" w:hAnsi="方正黑体_GBK" w:eastAsia="方正黑体_GBK" w:cs="方正黑体_GBK"/>
          <w:highlight w:val="none"/>
        </w:rPr>
        <w:t>其他约定</w:t>
      </w:r>
    </w:p>
    <w:p w14:paraId="58D2226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6.1本协议未尽事宜，双方可另行签订补充协议，补充协议与本协议具有同等法律效力。</w:t>
      </w:r>
    </w:p>
    <w:p w14:paraId="71B385E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6.2本协议附件《原承包人有效投入认定清单》为本协议不可分割的组成部分。</w:t>
      </w:r>
    </w:p>
    <w:p w14:paraId="604396D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6.3本协议一式______份，甲乙双方各执______份，鉴证方留存______份，____________备案______份，各份具有同等法律效力。</w:t>
      </w:r>
    </w:p>
    <w:p w14:paraId="0BABC0D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6.4本协议自甲乙双方签字盖章并经鉴证方鉴证之日起生效。</w:t>
      </w:r>
    </w:p>
    <w:p w14:paraId="4F91C0B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p>
    <w:p w14:paraId="7FCD59F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p>
    <w:p w14:paraId="29D6362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甲方（签字/盖章）：___________________________</w:t>
      </w:r>
    </w:p>
    <w:p w14:paraId="3132B03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日期：______年____月____日</w:t>
      </w:r>
    </w:p>
    <w:p w14:paraId="137D19D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p>
    <w:p w14:paraId="665D4D1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p>
    <w:p w14:paraId="7598077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乙方（签字/盖章）：___________________________</w:t>
      </w:r>
    </w:p>
    <w:p w14:paraId="3111861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日期：______年____月____日</w:t>
      </w:r>
    </w:p>
    <w:p w14:paraId="452DBF2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p>
    <w:p w14:paraId="35BA47E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p>
    <w:p w14:paraId="19BFE45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鉴证方（盖章）：_____________县（市）自然资源局</w:t>
      </w:r>
    </w:p>
    <w:p w14:paraId="0BACFF8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日期：______年____月____日</w:t>
      </w:r>
    </w:p>
    <w:p w14:paraId="4D5D86CC">
      <w:pPr>
        <w:keepNext w:val="0"/>
        <w:keepLines w:val="0"/>
        <w:pageBreakBefore w:val="0"/>
        <w:widowControl w:val="0"/>
        <w:kinsoku/>
        <w:wordWrap/>
        <w:topLinePunct w:val="0"/>
        <w:autoSpaceDE/>
        <w:autoSpaceDN/>
        <w:bidi w:val="0"/>
        <w:adjustRightInd/>
        <w:snapToGrid/>
        <w:spacing w:line="560" w:lineRule="exact"/>
        <w:textAlignment w:val="auto"/>
        <w:rPr>
          <w:rFonts w:hint="eastAsia" w:eastAsia="方正仿宋_GBK"/>
          <w:highlight w:val="none"/>
          <w:lang w:eastAsia="zh-CN"/>
        </w:rPr>
      </w:pPr>
    </w:p>
    <w:p w14:paraId="51D87E9B">
      <w:pPr>
        <w:keepNext w:val="0"/>
        <w:keepLines w:val="0"/>
        <w:pageBreakBefore w:val="0"/>
        <w:widowControl w:val="0"/>
        <w:kinsoku/>
        <w:wordWrap/>
        <w:topLinePunct w:val="0"/>
        <w:autoSpaceDE/>
        <w:autoSpaceDN/>
        <w:bidi w:val="0"/>
        <w:adjustRightInd/>
        <w:snapToGrid/>
        <w:spacing w:line="560" w:lineRule="exact"/>
        <w:textAlignment w:val="auto"/>
        <w:rPr>
          <w:rFonts w:hint="eastAsia" w:eastAsia="方正仿宋_GBK"/>
          <w:highlight w:val="none"/>
          <w:lang w:eastAsia="zh-CN"/>
        </w:rPr>
      </w:pPr>
    </w:p>
    <w:p w14:paraId="27FAA079">
      <w:pPr>
        <w:keepNext w:val="0"/>
        <w:keepLines w:val="0"/>
        <w:pageBreakBefore w:val="0"/>
        <w:widowControl w:val="0"/>
        <w:kinsoku/>
        <w:wordWrap/>
        <w:topLinePunct w:val="0"/>
        <w:autoSpaceDE/>
        <w:autoSpaceDN/>
        <w:bidi w:val="0"/>
        <w:adjustRightInd/>
        <w:snapToGrid/>
        <w:spacing w:line="560" w:lineRule="exact"/>
        <w:textAlignment w:val="auto"/>
        <w:rPr>
          <w:rFonts w:hint="eastAsia" w:eastAsia="方正仿宋_GBK"/>
          <w:highlight w:val="none"/>
          <w:lang w:eastAsia="zh-CN"/>
        </w:rPr>
      </w:pPr>
    </w:p>
    <w:p w14:paraId="41995BD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方正黑体_GBK" w:hAnsi="方正黑体_GBK" w:eastAsia="方正黑体_GBK" w:cs="方正黑体_GBK"/>
          <w:highlight w:val="none"/>
          <w:lang w:eastAsia="zh-CN"/>
        </w:rPr>
      </w:pPr>
      <w:r>
        <w:rPr>
          <w:rFonts w:hint="eastAsia" w:ascii="方正黑体_GBK" w:hAnsi="方正黑体_GBK" w:eastAsia="方正黑体_GBK" w:cs="方正黑体_GBK"/>
          <w:highlight w:val="none"/>
        </w:rPr>
        <w:t>使用说明</w:t>
      </w:r>
    </w:p>
    <w:p w14:paraId="64ED2C8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rPr>
        <w:t>1.本协议适用于国有农用地公开交易中，原承包人未继续承包时，其有效投入由新承包人给予补偿的情形。</w:t>
      </w:r>
    </w:p>
    <w:p w14:paraId="17B84AE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highlight w:val="none"/>
        </w:rPr>
      </w:pPr>
      <w:r>
        <w:rPr>
          <w:rFonts w:hint="eastAsia"/>
          <w:highlight w:val="none"/>
        </w:rPr>
        <w:t>2.签订本协议前，应确保已完成原承包人有效投入的</w:t>
      </w:r>
      <w:r>
        <w:rPr>
          <w:rFonts w:hint="eastAsia"/>
          <w:highlight w:val="none"/>
          <w:lang w:val="en-US" w:eastAsia="zh-CN"/>
        </w:rPr>
        <w:t>评估和</w:t>
      </w:r>
      <w:r>
        <w:rPr>
          <w:rFonts w:hint="eastAsia"/>
          <w:highlight w:val="none"/>
        </w:rPr>
        <w:t>审核认定，并取得《原承包人有效投入认定清单》。</w:t>
      </w:r>
    </w:p>
    <w:p w14:paraId="1C8B633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eastAsia="方正仿宋_GBK"/>
          <w:highlight w:val="none"/>
          <w:lang w:val="en-US" w:eastAsia="zh-CN"/>
        </w:rPr>
      </w:pPr>
      <w:r>
        <w:rPr>
          <w:rFonts w:hint="eastAsia"/>
          <w:highlight w:val="none"/>
          <w:lang w:val="en-US" w:eastAsia="zh-CN"/>
        </w:rPr>
        <w:t>3.本协议甲方确认同意后的草拟稿（除乙方信息外，其余部分已填写）应作为国有农用地公开交易公告的必要附件。</w:t>
      </w:r>
    </w:p>
    <w:p w14:paraId="7FD909A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lang w:val="en-US" w:eastAsia="zh-CN"/>
        </w:rPr>
        <w:t>4</w:t>
      </w:r>
      <w:r>
        <w:rPr>
          <w:rFonts w:hint="eastAsia"/>
          <w:highlight w:val="none"/>
        </w:rPr>
        <w:t>.补偿分期期限不得超过新承包人承包期限。最后一期支付时间不得晚于新承包合同约定的承包期限届满之日。</w:t>
      </w:r>
    </w:p>
    <w:p w14:paraId="33C08B5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lang w:val="en-US" w:eastAsia="zh-CN"/>
        </w:rPr>
        <w:t>5</w:t>
      </w:r>
      <w:r>
        <w:rPr>
          <w:rFonts w:hint="eastAsia"/>
          <w:highlight w:val="none"/>
        </w:rPr>
        <w:t>.分期支付的期次和每期金额由双方协商确定，可在协议第二条的表格中逐期填写。如分期超过三期的，可自行增加表格行数或另附支付计划表。</w:t>
      </w:r>
    </w:p>
    <w:p w14:paraId="3C3FE85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lang w:val="en-US" w:eastAsia="zh-CN"/>
        </w:rPr>
        <w:t>6</w:t>
      </w:r>
      <w:r>
        <w:rPr>
          <w:rFonts w:hint="eastAsia"/>
          <w:highlight w:val="none"/>
        </w:rPr>
        <w:t>.如双方协商采取一次性支付方式的，可在第二条中选择一次性支付方式，删除分期支付表格。</w:t>
      </w:r>
    </w:p>
    <w:p w14:paraId="757C91B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lang w:val="en-US" w:eastAsia="zh-CN"/>
        </w:rPr>
        <w:t>7</w:t>
      </w:r>
      <w:r>
        <w:rPr>
          <w:rFonts w:hint="eastAsia"/>
          <w:highlight w:val="none"/>
        </w:rPr>
        <w:t>.协议中空白处应由双方协商一致后填写，不得留有空白。违约金比例建议控制在合理范围内（如每日万分之五），避免因约定过高被法院调减。</w:t>
      </w:r>
    </w:p>
    <w:p w14:paraId="5B6826F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eastAsia="方正仿宋_GBK"/>
          <w:highlight w:val="none"/>
          <w:lang w:eastAsia="zh-CN"/>
        </w:rPr>
      </w:pPr>
      <w:r>
        <w:rPr>
          <w:rFonts w:hint="eastAsia"/>
          <w:highlight w:val="none"/>
          <w:lang w:val="en-US" w:eastAsia="zh-CN"/>
        </w:rPr>
        <w:t>8</w:t>
      </w:r>
      <w:r>
        <w:rPr>
          <w:rFonts w:hint="eastAsia"/>
          <w:highlight w:val="none"/>
        </w:rPr>
        <w:t>.本协议签订后应及时报县市自然资源部门备案。</w:t>
      </w:r>
    </w:p>
    <w:p w14:paraId="71DCE8DF">
      <w:pPr>
        <w:keepNext w:val="0"/>
        <w:keepLines w:val="0"/>
        <w:pageBreakBefore w:val="0"/>
        <w:widowControl w:val="0"/>
        <w:kinsoku/>
        <w:wordWrap/>
        <w:overflowPunct w:val="0"/>
        <w:topLinePunct w:val="0"/>
        <w:autoSpaceDE/>
        <w:autoSpaceDN/>
        <w:bidi w:val="0"/>
        <w:adjustRightInd/>
        <w:snapToGrid/>
        <w:spacing w:line="560" w:lineRule="exact"/>
        <w:ind w:firstLine="632" w:firstLineChars="200"/>
        <w:textAlignment w:val="auto"/>
        <w:rPr>
          <w:rFonts w:eastAsia="方正仿宋_GBK"/>
          <w:highlight w:val="none"/>
        </w:rPr>
      </w:pPr>
    </w:p>
    <w:sectPr>
      <w:footerReference r:id="rId3" w:type="default"/>
      <w:pgSz w:w="11906" w:h="16838"/>
      <w:pgMar w:top="1984" w:right="1531" w:bottom="1701" w:left="1531" w:header="851" w:footer="1400" w:gutter="0"/>
      <w:pgNumType w:fmt="decimal"/>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4C1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posOffset>2502535</wp:posOffset>
              </wp:positionH>
              <wp:positionV relativeFrom="paragraph">
                <wp:posOffset>-228600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5064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7.05pt;margin-top:-18pt;height:144pt;width:144pt;mso-position-horizontal-relative:margin;mso-wrap-style:none;z-index:251659264;mso-width-relative:page;mso-height-relative:page;" filled="f" stroked="f" coordsize="21600,21600" o:gfxdata="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glORd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76A5064C">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07"/>
    <w:rsid w:val="000336B9"/>
    <w:rsid w:val="0006024C"/>
    <w:rsid w:val="00061A35"/>
    <w:rsid w:val="00080B3E"/>
    <w:rsid w:val="000B03F2"/>
    <w:rsid w:val="000B21FF"/>
    <w:rsid w:val="000D755B"/>
    <w:rsid w:val="00103A0E"/>
    <w:rsid w:val="00126164"/>
    <w:rsid w:val="001841F9"/>
    <w:rsid w:val="00195CE1"/>
    <w:rsid w:val="001B5E91"/>
    <w:rsid w:val="001C2B2E"/>
    <w:rsid w:val="001F2A3F"/>
    <w:rsid w:val="001F67A4"/>
    <w:rsid w:val="00240216"/>
    <w:rsid w:val="002C0B64"/>
    <w:rsid w:val="002C47F6"/>
    <w:rsid w:val="002D3711"/>
    <w:rsid w:val="003142B8"/>
    <w:rsid w:val="00315754"/>
    <w:rsid w:val="003A10FC"/>
    <w:rsid w:val="003A2AED"/>
    <w:rsid w:val="003A3990"/>
    <w:rsid w:val="00446874"/>
    <w:rsid w:val="004A10B4"/>
    <w:rsid w:val="005244C5"/>
    <w:rsid w:val="00526097"/>
    <w:rsid w:val="00534190"/>
    <w:rsid w:val="005926C2"/>
    <w:rsid w:val="005A4A6A"/>
    <w:rsid w:val="005D2210"/>
    <w:rsid w:val="005E1AC8"/>
    <w:rsid w:val="005F0E12"/>
    <w:rsid w:val="00607250"/>
    <w:rsid w:val="006235A4"/>
    <w:rsid w:val="0067371B"/>
    <w:rsid w:val="00683D1C"/>
    <w:rsid w:val="0068719D"/>
    <w:rsid w:val="006A16A2"/>
    <w:rsid w:val="006E4EB8"/>
    <w:rsid w:val="006F708F"/>
    <w:rsid w:val="0075006C"/>
    <w:rsid w:val="00784EFE"/>
    <w:rsid w:val="007B3630"/>
    <w:rsid w:val="007D17B4"/>
    <w:rsid w:val="007F7546"/>
    <w:rsid w:val="00802469"/>
    <w:rsid w:val="008049EF"/>
    <w:rsid w:val="008531B3"/>
    <w:rsid w:val="00897702"/>
    <w:rsid w:val="008A7534"/>
    <w:rsid w:val="008E6BF3"/>
    <w:rsid w:val="00970AE4"/>
    <w:rsid w:val="00997A8C"/>
    <w:rsid w:val="009A115A"/>
    <w:rsid w:val="009B6AF1"/>
    <w:rsid w:val="009C74AE"/>
    <w:rsid w:val="00A1608F"/>
    <w:rsid w:val="00A5232D"/>
    <w:rsid w:val="00A5411D"/>
    <w:rsid w:val="00A61903"/>
    <w:rsid w:val="00A9005E"/>
    <w:rsid w:val="00AC3B07"/>
    <w:rsid w:val="00B62210"/>
    <w:rsid w:val="00B71386"/>
    <w:rsid w:val="00B82505"/>
    <w:rsid w:val="00BB6201"/>
    <w:rsid w:val="00BC2AFF"/>
    <w:rsid w:val="00BD4DBF"/>
    <w:rsid w:val="00BE47B1"/>
    <w:rsid w:val="00C032D8"/>
    <w:rsid w:val="00C13671"/>
    <w:rsid w:val="00C46137"/>
    <w:rsid w:val="00C46F99"/>
    <w:rsid w:val="00C86DCF"/>
    <w:rsid w:val="00CD4A92"/>
    <w:rsid w:val="00D21EB1"/>
    <w:rsid w:val="00D5631E"/>
    <w:rsid w:val="00D759B0"/>
    <w:rsid w:val="00E03F5F"/>
    <w:rsid w:val="00E12FE0"/>
    <w:rsid w:val="00E233D9"/>
    <w:rsid w:val="00E5014B"/>
    <w:rsid w:val="00E56610"/>
    <w:rsid w:val="00E70D3E"/>
    <w:rsid w:val="00E71770"/>
    <w:rsid w:val="00E96D4B"/>
    <w:rsid w:val="00ED4B2F"/>
    <w:rsid w:val="00EF1B81"/>
    <w:rsid w:val="00F37100"/>
    <w:rsid w:val="00F90530"/>
    <w:rsid w:val="00FA55A5"/>
    <w:rsid w:val="0CA73408"/>
    <w:rsid w:val="1606211C"/>
    <w:rsid w:val="181A1410"/>
    <w:rsid w:val="1D476FA1"/>
    <w:rsid w:val="1E40742E"/>
    <w:rsid w:val="20DD5AF8"/>
    <w:rsid w:val="24677E99"/>
    <w:rsid w:val="30B97FFD"/>
    <w:rsid w:val="34A714EC"/>
    <w:rsid w:val="35265182"/>
    <w:rsid w:val="35833459"/>
    <w:rsid w:val="36825B67"/>
    <w:rsid w:val="3EF764A3"/>
    <w:rsid w:val="4C432253"/>
    <w:rsid w:val="57D0331F"/>
    <w:rsid w:val="5A30075B"/>
    <w:rsid w:val="5AFF6F99"/>
    <w:rsid w:val="5D7057ED"/>
    <w:rsid w:val="5DC76F53"/>
    <w:rsid w:val="68F100BA"/>
    <w:rsid w:val="6C2A6602"/>
    <w:rsid w:val="7646608F"/>
    <w:rsid w:val="7A5F16D0"/>
    <w:rsid w:val="7EFA3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semiHidden/>
    <w:unhideWhenUsed/>
    <w:qFormat/>
    <w:uiPriority w:val="99"/>
    <w:pPr>
      <w:tabs>
        <w:tab w:val="center" w:pos="4153"/>
        <w:tab w:val="right" w:pos="8306"/>
      </w:tabs>
      <w:snapToGrid w:val="0"/>
      <w:jc w:val="left"/>
    </w:pPr>
    <w:rPr>
      <w:sz w:val="18"/>
    </w:rPr>
  </w:style>
  <w:style w:type="paragraph" w:styleId="12">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5823</Words>
  <Characters>5968</Characters>
  <Lines>273</Lines>
  <Paragraphs>253</Paragraphs>
  <TotalTime>9</TotalTime>
  <ScaleCrop>false</ScaleCrop>
  <LinksUpToDate>false</LinksUpToDate>
  <CharactersWithSpaces>6026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2026-07-20T15:29:00Z</dcterms:created>
  <dc:creator>卡米 kamaljan</dc:creator>
  <cp:lastModifiedBy>自然资源所有者权益和开发利用科</cp:lastModifiedBy>
  <cp:lastPrinted>2026-08-24T16:48:00Z</cp:lastPrinted>
  <dcterms:modified xsi:type="dcterms:W3CDTF">2026-08-24T17:10:48Z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2A49A4781F294D4F9F88954DD8081BAD_13</vt:lpwstr>
  </property>
</Properties>
</file>