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E101F">
      <w:pPr>
        <w:keepNext w:val="0"/>
        <w:keepLines w:val="0"/>
        <w:pageBreakBefore w:val="0"/>
        <w:widowControl w:val="0"/>
        <w:kinsoku/>
        <w:wordWrap/>
        <w:overflowPunct w:val="0"/>
        <w:topLinePunct w:val="0"/>
        <w:autoSpaceDE/>
        <w:autoSpaceDN/>
        <w:bidi w:val="0"/>
        <w:adjustRightInd/>
        <w:snapToGrid/>
        <w:spacing w:line="570" w:lineRule="exact"/>
        <w:ind w:firstLine="0" w:firstLineChars="0"/>
        <w:jc w:val="center"/>
        <w:textAlignment w:val="auto"/>
        <w:rPr>
          <w:rFonts w:ascii="Times New Roman" w:hAnsi="Times New Roman" w:eastAsia="方正小标宋_GBK"/>
          <w:color w:val="auto"/>
          <w:sz w:val="44"/>
          <w:szCs w:val="44"/>
        </w:rPr>
      </w:pPr>
      <w:bookmarkStart w:id="0" w:name="_GoBack"/>
      <w:bookmarkEnd w:id="0"/>
      <w:r>
        <w:rPr>
          <w:rFonts w:hint="eastAsia" w:eastAsia="方正小标宋_GBK"/>
          <w:color w:val="auto"/>
          <w:sz w:val="44"/>
          <w:szCs w:val="44"/>
          <w:lang w:val="en-US" w:eastAsia="zh-CN"/>
        </w:rPr>
        <w:t>前期</w:t>
      </w:r>
      <w:r>
        <w:rPr>
          <w:rFonts w:ascii="Times New Roman" w:hAnsi="Times New Roman" w:eastAsia="方正小标宋_GBK"/>
          <w:color w:val="auto"/>
          <w:sz w:val="44"/>
          <w:szCs w:val="44"/>
        </w:rPr>
        <w:t>征求意见建议汇总表</w:t>
      </w:r>
    </w:p>
    <w:tbl>
      <w:tblPr>
        <w:tblStyle w:val="7"/>
        <w:tblpPr w:leftFromText="180" w:rightFromText="180" w:vertAnchor="text" w:horzAnchor="page" w:tblpX="1653" w:tblpY="1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290"/>
        <w:gridCol w:w="5194"/>
        <w:gridCol w:w="864"/>
        <w:gridCol w:w="1139"/>
      </w:tblGrid>
      <w:tr w14:paraId="7AF6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5" w:type="dxa"/>
            <w:noWrap w:val="0"/>
            <w:vAlign w:val="center"/>
          </w:tcPr>
          <w:p w14:paraId="798C23B5">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序号</w:t>
            </w:r>
          </w:p>
        </w:tc>
        <w:tc>
          <w:tcPr>
            <w:tcW w:w="1290" w:type="dxa"/>
            <w:noWrap w:val="0"/>
            <w:vAlign w:val="center"/>
          </w:tcPr>
          <w:p w14:paraId="3E8CAD71">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lang w:val="en-US" w:eastAsia="zh-CN"/>
              </w:rPr>
            </w:pPr>
            <w:r>
              <w:rPr>
                <w:rFonts w:hint="eastAsia" w:eastAsia="方正黑体_GBK" w:cs="Times New Roman"/>
                <w:color w:val="auto"/>
                <w:sz w:val="24"/>
                <w:lang w:val="en-US" w:eastAsia="zh-CN"/>
              </w:rPr>
              <w:t>意见来源</w:t>
            </w:r>
          </w:p>
        </w:tc>
        <w:tc>
          <w:tcPr>
            <w:tcW w:w="5194" w:type="dxa"/>
            <w:noWrap w:val="0"/>
            <w:vAlign w:val="center"/>
          </w:tcPr>
          <w:p w14:paraId="591C64BD">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意见建议</w:t>
            </w:r>
          </w:p>
        </w:tc>
        <w:tc>
          <w:tcPr>
            <w:tcW w:w="864" w:type="dxa"/>
            <w:noWrap w:val="0"/>
            <w:vAlign w:val="center"/>
          </w:tcPr>
          <w:p w14:paraId="2DCB5B6B">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是否</w:t>
            </w:r>
          </w:p>
          <w:p w14:paraId="2DB87B8D">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采纳</w:t>
            </w:r>
          </w:p>
        </w:tc>
        <w:tc>
          <w:tcPr>
            <w:tcW w:w="1139" w:type="dxa"/>
            <w:noWrap w:val="0"/>
            <w:vAlign w:val="center"/>
          </w:tcPr>
          <w:p w14:paraId="32BF536F">
            <w:pPr>
              <w:keepNext w:val="0"/>
              <w:keepLines w:val="0"/>
              <w:pageBreakBefore w:val="0"/>
              <w:kinsoku/>
              <w:wordWrap/>
              <w:overflowPunct w:val="0"/>
              <w:topLinePunct w:val="0"/>
              <w:autoSpaceDE/>
              <w:autoSpaceDN/>
              <w:bidi w:val="0"/>
              <w:adjustRightInd/>
              <w:spacing w:line="280" w:lineRule="exact"/>
              <w:jc w:val="center"/>
              <w:textAlignment w:val="center"/>
              <w:rPr>
                <w:rFonts w:hint="default" w:ascii="Times New Roman" w:hAnsi="Times New Roman" w:eastAsia="方正黑体_GBK" w:cs="Times New Roman"/>
                <w:color w:val="auto"/>
                <w:sz w:val="24"/>
              </w:rPr>
            </w:pPr>
            <w:r>
              <w:rPr>
                <w:rFonts w:hint="default" w:ascii="Times New Roman" w:hAnsi="Times New Roman" w:eastAsia="方正黑体_GBK" w:cs="Times New Roman"/>
                <w:color w:val="auto"/>
                <w:sz w:val="24"/>
              </w:rPr>
              <w:t>未采纳原因</w:t>
            </w:r>
          </w:p>
        </w:tc>
      </w:tr>
      <w:tr w14:paraId="574E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6" w:hRule="exact"/>
        </w:trPr>
        <w:tc>
          <w:tcPr>
            <w:tcW w:w="465" w:type="dxa"/>
            <w:noWrap w:val="0"/>
            <w:vAlign w:val="center"/>
          </w:tcPr>
          <w:p w14:paraId="7BC34162">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1</w:t>
            </w:r>
          </w:p>
        </w:tc>
        <w:tc>
          <w:tcPr>
            <w:tcW w:w="1290" w:type="dxa"/>
            <w:noWrap w:val="0"/>
            <w:vAlign w:val="center"/>
          </w:tcPr>
          <w:p w14:paraId="0AA3A328">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880"/>
                <w:kern w:val="0"/>
                <w:sz w:val="24"/>
                <w:fitText w:val="1120" w:id="374170679"/>
                <w:lang w:val="en-US" w:eastAsia="zh-CN" w:bidi="ar"/>
              </w:rPr>
            </w:pPr>
            <w:r>
              <w:rPr>
                <w:rFonts w:hint="eastAsia" w:eastAsia="方正仿宋_GBK" w:cs="Times New Roman"/>
                <w:color w:val="auto"/>
                <w:kern w:val="0"/>
                <w:sz w:val="24"/>
                <w:lang w:val="en-US" w:eastAsia="zh-CN" w:bidi="ar"/>
              </w:rPr>
              <w:t>电子邮箱（2775273356）</w:t>
            </w:r>
          </w:p>
        </w:tc>
        <w:tc>
          <w:tcPr>
            <w:tcW w:w="5194" w:type="dxa"/>
            <w:noWrap w:val="0"/>
            <w:vAlign w:val="center"/>
          </w:tcPr>
          <w:p w14:paraId="7C355ABE">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jc w:val="both"/>
              <w:textAlignment w:val="auto"/>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对原承包户的有效投入补偿是合理的，但是补偿金额由原承包户和新承包方协商，协商不成的由县市自然资源部门委托具有资质的评估机构进行评估此程序不合理，一是原承包合同终止后，新承包事项的交易结果已通过公示确认，原承包方与新承包方互不隶属，若双方就补偿金额无法协商一致，新承包方无法使用地上资产，将直接影响新承包户对国有农用地的种植经营；二是县市自然资源部门作为国有农用地交易的组织监管方，直接介入委托评估环节，既不符合“裁判员不参赛”的监管定位，也容易引发交易双方对公正性的质疑。建议调整为：方案一：原承包户参与竞价活动未能中标的，成交公示之日起发包主体组织原承包人与中标人进行洽谈协商投入补偿，协商不成的，原承包人与中标人共同向县市自然资源局提交评估申请，申请书须明确说明双方都认可评估结果。由县市自然资源部门从本地国有农用地评估机构名录中随机抽选具备对应资质的机构开展评估，根据最终评估报告双方签订补偿协议，以保障程序公正性，压缩争议处置时长，推动交易项目顺利落地。原承包人不参与竞价活动的，由原承包人向县市自然资源部门提交投入评估申请，申请书须明确说明认可评估结果并放弃竞价承诺，由县市自然资源部门从本地国有农用地评估机构名录中随机抽选具备对应资质的机构开展评估，县市产权交易中心根据出具的评估报告进行挂网公示征集意向报名方。</w:t>
            </w:r>
          </w:p>
          <w:p w14:paraId="30D06A5A">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jc w:val="both"/>
              <w:textAlignment w:val="auto"/>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还有一种情况，原承包人未中标，原承包人不愿委托评估公司或对评估结果一直不认可，漫天要价你，中标人无法种植该土地，纠纷特别大。</w:t>
            </w:r>
          </w:p>
        </w:tc>
        <w:tc>
          <w:tcPr>
            <w:tcW w:w="864" w:type="dxa"/>
            <w:noWrap w:val="0"/>
            <w:vAlign w:val="center"/>
          </w:tcPr>
          <w:p w14:paraId="54735104">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1A00AD36">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7050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1" w:hRule="exact"/>
        </w:trPr>
        <w:tc>
          <w:tcPr>
            <w:tcW w:w="465" w:type="dxa"/>
            <w:noWrap w:val="0"/>
            <w:vAlign w:val="center"/>
          </w:tcPr>
          <w:p w14:paraId="444A31B6">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2</w:t>
            </w:r>
          </w:p>
        </w:tc>
        <w:tc>
          <w:tcPr>
            <w:tcW w:w="1290" w:type="dxa"/>
            <w:noWrap w:val="0"/>
            <w:vAlign w:val="center"/>
          </w:tcPr>
          <w:p w14:paraId="2CE93ED6">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8"/>
                <w:szCs w:val="28"/>
              </w:rPr>
            </w:pPr>
            <w:r>
              <w:rPr>
                <w:rFonts w:hint="eastAsia" w:eastAsia="方正仿宋_GBK" w:cs="Times New Roman"/>
                <w:color w:val="auto"/>
                <w:kern w:val="0"/>
                <w:sz w:val="24"/>
                <w:lang w:val="en-US" w:eastAsia="zh-CN" w:bidi="ar"/>
              </w:rPr>
              <w:t>电子邮箱（2775273356）</w:t>
            </w:r>
          </w:p>
        </w:tc>
        <w:tc>
          <w:tcPr>
            <w:tcW w:w="5194" w:type="dxa"/>
            <w:noWrap w:val="0"/>
            <w:vAlign w:val="center"/>
          </w:tcPr>
          <w:p w14:paraId="15E5B606">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jc w:val="both"/>
              <w:textAlignment w:val="auto"/>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各县市历年来实施的高标准农田项目将国有农用地、集体土地、30年承包地实施在一起，不能将各类权属土地分开发包，建议将国有农用地发包与《新疆维吾尔自治区社会投资主体通过流转取得农村土地经营权审批实施办法（实行）》等相关管理办法相结合，并与公共资源交易中心、农业农村等部门进行征求意见，保障交易符合相关法律法规的前提下，符合喀什地区实际情况。</w:t>
            </w:r>
          </w:p>
        </w:tc>
        <w:tc>
          <w:tcPr>
            <w:tcW w:w="864" w:type="dxa"/>
            <w:noWrap w:val="0"/>
            <w:vAlign w:val="center"/>
          </w:tcPr>
          <w:p w14:paraId="2E94DD3A">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78598AFB">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6BF3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exact"/>
        </w:trPr>
        <w:tc>
          <w:tcPr>
            <w:tcW w:w="465" w:type="dxa"/>
            <w:noWrap w:val="0"/>
            <w:vAlign w:val="center"/>
          </w:tcPr>
          <w:p w14:paraId="7FA9E9A5">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lang w:val="en-US" w:eastAsia="zh-CN"/>
              </w:rPr>
              <w:t>3</w:t>
            </w:r>
          </w:p>
        </w:tc>
        <w:tc>
          <w:tcPr>
            <w:tcW w:w="1290" w:type="dxa"/>
            <w:noWrap w:val="0"/>
            <w:vAlign w:val="center"/>
          </w:tcPr>
          <w:p w14:paraId="05EF218A">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52CCB682">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textAlignment w:val="auto"/>
              <w:rPr>
                <w:rFonts w:hint="default" w:ascii="Times New Roman" w:hAnsi="Times New Roman" w:eastAsia="方正仿宋_GBK" w:cs="Times New Roman"/>
                <w:color w:val="auto"/>
                <w:spacing w:val="-11"/>
                <w:sz w:val="24"/>
                <w:szCs w:val="24"/>
              </w:rPr>
            </w:pPr>
            <w:r>
              <w:rPr>
                <w:rFonts w:hint="default" w:ascii="Times New Roman" w:hAnsi="Times New Roman" w:eastAsia="方正仿宋_GBK" w:cs="Times New Roman"/>
                <w:color w:val="auto"/>
                <w:spacing w:val="-11"/>
                <w:sz w:val="24"/>
                <w:szCs w:val="24"/>
              </w:rPr>
              <w:t>建议将第五条“经审批同意公开交易的国有农用地，由交易平台统一发布面向全社会的交易公告”内容修改为：经审批同意公开交易的国有农用地，应当统一进入喀什地区农村综合产权交易平台开展公开交易，由地区交易中心统一发布面向全社会的交易公告。</w:t>
            </w:r>
          </w:p>
        </w:tc>
        <w:tc>
          <w:tcPr>
            <w:tcW w:w="864" w:type="dxa"/>
            <w:noWrap w:val="0"/>
            <w:vAlign w:val="center"/>
          </w:tcPr>
          <w:p w14:paraId="6E72A944">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0F750332">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7ECB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8" w:hRule="exact"/>
        </w:trPr>
        <w:tc>
          <w:tcPr>
            <w:tcW w:w="465" w:type="dxa"/>
            <w:noWrap w:val="0"/>
            <w:vAlign w:val="center"/>
          </w:tcPr>
          <w:p w14:paraId="2C9D145F">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4</w:t>
            </w:r>
          </w:p>
        </w:tc>
        <w:tc>
          <w:tcPr>
            <w:tcW w:w="1290" w:type="dxa"/>
            <w:noWrap w:val="0"/>
            <w:vAlign w:val="center"/>
          </w:tcPr>
          <w:p w14:paraId="4BABD9B7">
            <w:pPr>
              <w:keepNext w:val="0"/>
              <w:keepLines w:val="0"/>
              <w:pageBreakBefore w:val="0"/>
              <w:kinsoku/>
              <w:wordWrap/>
              <w:overflowPunct w:val="0"/>
              <w:topLinePunct w:val="0"/>
              <w:autoSpaceDE/>
              <w:autoSpaceDN/>
              <w:bidi w:val="0"/>
              <w:adjustRightInd/>
              <w:spacing w:line="280" w:lineRule="exact"/>
              <w:rPr>
                <w:rFonts w:hint="eastAsia" w:eastAsia="方正仿宋_GBK" w:cs="Times New Roman"/>
                <w:color w:val="auto"/>
                <w:sz w:val="28"/>
                <w:szCs w:val="28"/>
                <w:lang w:val="en-US" w:eastAsia="zh-CN"/>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045D1D1F">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textAlignment w:val="auto"/>
              <w:rPr>
                <w:rFonts w:hint="default" w:ascii="Times New Roman" w:hAnsi="Times New Roman" w:eastAsia="方正仿宋_GBK" w:cs="Times New Roman"/>
                <w:color w:val="auto"/>
                <w:spacing w:val="-11"/>
                <w:sz w:val="24"/>
                <w:szCs w:val="24"/>
              </w:rPr>
            </w:pPr>
            <w:r>
              <w:rPr>
                <w:rFonts w:hint="default" w:ascii="Times New Roman" w:hAnsi="Times New Roman" w:eastAsia="方正仿宋_GBK" w:cs="Times New Roman"/>
                <w:color w:val="auto"/>
                <w:spacing w:val="-11"/>
                <w:sz w:val="24"/>
                <w:szCs w:val="24"/>
              </w:rPr>
              <w:t>建议将第十一条第（二）项“协议或协商发包的也需参照本流程报人民政府批准后执行”内容修改为：采取协议或协商方式发包的国有农用地，须经县市人民政府批准后，统一进入农村产权交易平台履行信息公示、交易鉴证程序，纳入平台统一监管与档案管理。</w:t>
            </w:r>
          </w:p>
        </w:tc>
        <w:tc>
          <w:tcPr>
            <w:tcW w:w="864" w:type="dxa"/>
            <w:noWrap w:val="0"/>
            <w:vAlign w:val="center"/>
          </w:tcPr>
          <w:p w14:paraId="1B51BDA3">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16A5DE51">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4788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exact"/>
        </w:trPr>
        <w:tc>
          <w:tcPr>
            <w:tcW w:w="465" w:type="dxa"/>
            <w:noWrap w:val="0"/>
            <w:vAlign w:val="center"/>
          </w:tcPr>
          <w:p w14:paraId="429D3341">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5</w:t>
            </w:r>
          </w:p>
        </w:tc>
        <w:tc>
          <w:tcPr>
            <w:tcW w:w="1290" w:type="dxa"/>
            <w:noWrap w:val="0"/>
            <w:vAlign w:val="center"/>
          </w:tcPr>
          <w:p w14:paraId="16603281">
            <w:pPr>
              <w:keepNext w:val="0"/>
              <w:keepLines w:val="0"/>
              <w:pageBreakBefore w:val="0"/>
              <w:kinsoku/>
              <w:wordWrap/>
              <w:overflowPunct w:val="0"/>
              <w:topLinePunct w:val="0"/>
              <w:autoSpaceDE/>
              <w:autoSpaceDN/>
              <w:bidi w:val="0"/>
              <w:adjustRightInd/>
              <w:spacing w:line="280" w:lineRule="exact"/>
              <w:rPr>
                <w:rFonts w:hint="eastAsia" w:eastAsia="方正仿宋_GBK" w:cs="Times New Roman"/>
                <w:color w:val="auto"/>
                <w:sz w:val="28"/>
                <w:szCs w:val="28"/>
                <w:lang w:val="en-US" w:eastAsia="zh-CN"/>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48FD2A28">
            <w:pPr>
              <w:keepNext w:val="0"/>
              <w:keepLines w:val="0"/>
              <w:pageBreakBefore w:val="0"/>
              <w:widowControl w:val="0"/>
              <w:kinsoku/>
              <w:wordWrap/>
              <w:overflowPunct w:val="0"/>
              <w:topLinePunct w:val="0"/>
              <w:autoSpaceDE/>
              <w:autoSpaceDN/>
              <w:bidi w:val="0"/>
              <w:adjustRightInd/>
              <w:snapToGrid/>
              <w:spacing w:line="360" w:lineRule="exact"/>
              <w:ind w:firstLine="446" w:firstLineChars="200"/>
              <w:textAlignment w:val="auto"/>
              <w:rPr>
                <w:rFonts w:hint="default" w:ascii="Times New Roman" w:hAnsi="Times New Roman" w:eastAsia="方正仿宋_GBK" w:cs="Times New Roman"/>
                <w:color w:val="auto"/>
                <w:spacing w:val="-11"/>
                <w:sz w:val="24"/>
                <w:szCs w:val="24"/>
              </w:rPr>
            </w:pPr>
            <w:r>
              <w:rPr>
                <w:rFonts w:hint="default" w:ascii="Times New Roman" w:hAnsi="Times New Roman" w:eastAsia="方正仿宋_GBK" w:cs="Times New Roman"/>
                <w:color w:val="auto"/>
                <w:spacing w:val="-11"/>
                <w:sz w:val="24"/>
                <w:szCs w:val="24"/>
              </w:rPr>
              <w:t>建议将第六条“具体操作规则以交易平台规定为准”内容修改为：原受让人优先承包权的具体行权规则、操作流程由喀什地区农村综合产权交易中心统一制定并向社会公示，全地区各级交易站点统一执行。</w:t>
            </w:r>
          </w:p>
        </w:tc>
        <w:tc>
          <w:tcPr>
            <w:tcW w:w="864" w:type="dxa"/>
            <w:noWrap w:val="0"/>
            <w:vAlign w:val="center"/>
          </w:tcPr>
          <w:p w14:paraId="5AF7FC17">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0A316D5E">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1F6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exact"/>
        </w:trPr>
        <w:tc>
          <w:tcPr>
            <w:tcW w:w="465" w:type="dxa"/>
            <w:noWrap w:val="0"/>
            <w:vAlign w:val="center"/>
          </w:tcPr>
          <w:p w14:paraId="7CF27DDE">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6</w:t>
            </w:r>
          </w:p>
        </w:tc>
        <w:tc>
          <w:tcPr>
            <w:tcW w:w="1290" w:type="dxa"/>
            <w:noWrap w:val="0"/>
            <w:vAlign w:val="center"/>
          </w:tcPr>
          <w:p w14:paraId="7E295A40">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kern w:val="0"/>
                <w:sz w:val="24"/>
                <w:lang w:val="en-US" w:eastAsia="zh-CN" w:bidi="ar"/>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775599B0">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spacing w:val="880"/>
                <w:w w:val="100"/>
                <w:kern w:val="0"/>
                <w:sz w:val="24"/>
                <w:szCs w:val="21"/>
                <w:fitText w:val="1120" w:id="889944158"/>
                <w:lang w:val="en-US" w:eastAsia="zh-CN" w:bidi="ar"/>
              </w:rPr>
            </w:pPr>
            <w:r>
              <w:rPr>
                <w:rFonts w:hint="eastAsia" w:ascii="仿宋" w:hAnsi="仿宋" w:eastAsia="仿宋" w:cs="仿宋"/>
                <w:sz w:val="24"/>
                <w:szCs w:val="24"/>
              </w:rPr>
              <w:t>建议在第六条、第八条相关资金条款中整合补充“交易保证金、成交承包费、原受让人有效投入补偿资金均实行场内统一结算，由交易平台开设专用账户进行专户管理、专账核算，按照交易流程约定时限定向划转”。</w:t>
            </w:r>
          </w:p>
        </w:tc>
        <w:tc>
          <w:tcPr>
            <w:tcW w:w="864" w:type="dxa"/>
            <w:noWrap w:val="0"/>
            <w:vAlign w:val="center"/>
          </w:tcPr>
          <w:p w14:paraId="74637DCE">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095DCF1C">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0C5D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8" w:hRule="exact"/>
        </w:trPr>
        <w:tc>
          <w:tcPr>
            <w:tcW w:w="465" w:type="dxa"/>
            <w:noWrap w:val="0"/>
            <w:vAlign w:val="center"/>
          </w:tcPr>
          <w:p w14:paraId="65BB4F5C">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7</w:t>
            </w:r>
          </w:p>
        </w:tc>
        <w:tc>
          <w:tcPr>
            <w:tcW w:w="1290" w:type="dxa"/>
            <w:noWrap w:val="0"/>
            <w:vAlign w:val="center"/>
          </w:tcPr>
          <w:p w14:paraId="7785684F">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kern w:val="0"/>
                <w:sz w:val="24"/>
                <w:lang w:val="en-US" w:eastAsia="zh-CN" w:bidi="ar"/>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0F6B23E1">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default" w:ascii="Times New Roman" w:hAnsi="Times New Roman" w:eastAsia="方正仿宋_GBK" w:cs="Times New Roman"/>
                <w:color w:val="auto"/>
                <w:kern w:val="0"/>
                <w:sz w:val="24"/>
                <w:szCs w:val="21"/>
                <w:lang w:val="en-US" w:eastAsia="zh-CN" w:bidi="ar"/>
              </w:rPr>
              <w:t>建议将第八条“原承包人有效投入补偿”章节中“补偿金额由原承包人与新承包方协商确定，协商不成的，由县市自然资源部门委托具有资质的评估机构进行评估”内容修改为：原受让人有效投入补偿金额以第三方专业评估结果为准，由国有农用地管理实施机构在交易公告发布前完成评估并明确固定补偿金额，作为交易公告必备内容向社会公示。评估统一采用重置成本法，计算公式为：评估值=重置全价×综合成新率×年期修正系数（仅当设施物理寿命＞剩余流转年限时适用）；其中综合成新率由年限法成新率与现场勘查成新率加权测算确定，年期修正系数按剩余流转年限与设施尚可物理使用年限的比值计算。</w:t>
            </w:r>
          </w:p>
        </w:tc>
        <w:tc>
          <w:tcPr>
            <w:tcW w:w="864" w:type="dxa"/>
            <w:noWrap w:val="0"/>
            <w:vAlign w:val="center"/>
          </w:tcPr>
          <w:p w14:paraId="75184B93">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311A67D9">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3D04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3" w:hRule="exact"/>
        </w:trPr>
        <w:tc>
          <w:tcPr>
            <w:tcW w:w="465" w:type="dxa"/>
            <w:noWrap w:val="0"/>
            <w:vAlign w:val="center"/>
          </w:tcPr>
          <w:p w14:paraId="342E408E">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8</w:t>
            </w:r>
          </w:p>
        </w:tc>
        <w:tc>
          <w:tcPr>
            <w:tcW w:w="1290" w:type="dxa"/>
            <w:noWrap w:val="0"/>
            <w:vAlign w:val="center"/>
          </w:tcPr>
          <w:p w14:paraId="570C43A6">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default" w:ascii="Times New Roman" w:hAnsi="Times New Roman" w:eastAsia="方正仿宋_GBK" w:cs="Times New Roman"/>
                <w:color w:val="auto"/>
                <w:spacing w:val="-20"/>
                <w:kern w:val="0"/>
                <w:sz w:val="24"/>
                <w:lang w:val="en-US" w:eastAsia="zh-CN" w:bidi="ar"/>
              </w:rPr>
              <w:t>电子邮箱（喀什地区农村综合产权交易中心）</w:t>
            </w:r>
          </w:p>
        </w:tc>
        <w:tc>
          <w:tcPr>
            <w:tcW w:w="5194" w:type="dxa"/>
            <w:noWrap w:val="0"/>
            <w:vAlign w:val="center"/>
          </w:tcPr>
          <w:p w14:paraId="3BA281D8">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default" w:ascii="Times New Roman" w:hAnsi="Times New Roman" w:eastAsia="方正仿宋_GBK" w:cs="Times New Roman"/>
                <w:color w:val="auto"/>
                <w:kern w:val="0"/>
                <w:sz w:val="24"/>
                <w:szCs w:val="21"/>
                <w:lang w:val="en-US" w:eastAsia="zh-CN" w:bidi="ar"/>
              </w:rPr>
              <w:t>建议统一规范全文法律术语表述。将开篇“为规范国有农用地承发包、经营权流转等经营活动”修改为“为规范国有农用地经营权流转交易等活动”；全文“承包人”“原承包人”统一修改为“受让人”“原受让人”；“发包主体”统一修改为“国有农用地管理实施机构”。</w:t>
            </w:r>
          </w:p>
        </w:tc>
        <w:tc>
          <w:tcPr>
            <w:tcW w:w="864" w:type="dxa"/>
            <w:noWrap w:val="0"/>
            <w:vAlign w:val="center"/>
          </w:tcPr>
          <w:p w14:paraId="79B6C9D6">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否</w:t>
            </w:r>
          </w:p>
        </w:tc>
        <w:tc>
          <w:tcPr>
            <w:tcW w:w="1139" w:type="dxa"/>
            <w:noWrap w:val="0"/>
            <w:vAlign w:val="center"/>
          </w:tcPr>
          <w:p w14:paraId="6F2CCD71">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w:t>
            </w:r>
            <w:r>
              <w:rPr>
                <w:rFonts w:hint="eastAsia" w:eastAsia="方正仿宋_GBK" w:cs="Times New Roman"/>
                <w:color w:val="auto"/>
                <w:spacing w:val="-11"/>
                <w:sz w:val="18"/>
                <w:szCs w:val="18"/>
                <w:lang w:val="en-US" w:eastAsia="zh-CN"/>
              </w:rPr>
              <w:t>中华人民共和国民法典》第三百四十三条规定“</w:t>
            </w:r>
            <w:r>
              <w:rPr>
                <w:rFonts w:hint="eastAsia" w:eastAsia="方正仿宋_GBK" w:cs="Times New Roman"/>
                <w:b/>
                <w:bCs/>
                <w:color w:val="auto"/>
                <w:spacing w:val="-11"/>
                <w:sz w:val="18"/>
                <w:szCs w:val="18"/>
                <w:lang w:val="en-US" w:eastAsia="zh-CN"/>
              </w:rPr>
              <w:t>国家所有的农用地实行承包经营的</w:t>
            </w:r>
            <w:r>
              <w:rPr>
                <w:rFonts w:hint="eastAsia" w:eastAsia="方正仿宋_GBK" w:cs="Times New Roman"/>
                <w:color w:val="auto"/>
                <w:spacing w:val="-11"/>
                <w:sz w:val="18"/>
                <w:szCs w:val="18"/>
                <w:lang w:val="en-US" w:eastAsia="zh-CN"/>
              </w:rPr>
              <w:t>，参照适用本编的有关规定”；《中华人民共和国土地管理法》第十三条规定“国家所有依法用于农业的土地</w:t>
            </w:r>
            <w:r>
              <w:rPr>
                <w:rFonts w:hint="eastAsia" w:eastAsia="方正仿宋_GBK" w:cs="Times New Roman"/>
                <w:b/>
                <w:bCs/>
                <w:color w:val="auto"/>
                <w:spacing w:val="-11"/>
                <w:sz w:val="18"/>
                <w:szCs w:val="18"/>
                <w:lang w:val="en-US" w:eastAsia="zh-CN"/>
              </w:rPr>
              <w:t>可以由单位或者个人承包经营</w:t>
            </w:r>
            <w:r>
              <w:rPr>
                <w:rFonts w:hint="eastAsia" w:eastAsia="方正仿宋_GBK" w:cs="Times New Roman"/>
                <w:color w:val="auto"/>
                <w:spacing w:val="-11"/>
                <w:sz w:val="18"/>
                <w:szCs w:val="18"/>
                <w:lang w:val="en-US" w:eastAsia="zh-CN"/>
              </w:rPr>
              <w:t>”；因此权力类型及权力主体名称确需为“承包人、原承包人”。《新疆维吾尔自治区人民政府办公厅关于加强和规范国有农用地管理的指导意见》规定“</w:t>
            </w:r>
            <w:r>
              <w:rPr>
                <w:rFonts w:hint="eastAsia" w:eastAsia="方正仿宋_GBK" w:cs="Times New Roman"/>
                <w:b/>
                <w:bCs/>
                <w:color w:val="auto"/>
                <w:spacing w:val="-11"/>
                <w:sz w:val="18"/>
                <w:szCs w:val="18"/>
                <w:lang w:val="en-US" w:eastAsia="zh-CN"/>
              </w:rPr>
              <w:t>发包主体</w:t>
            </w:r>
            <w:r>
              <w:rPr>
                <w:rFonts w:hint="eastAsia" w:eastAsia="方正仿宋_GBK" w:cs="Times New Roman"/>
                <w:color w:val="auto"/>
                <w:spacing w:val="-11"/>
                <w:sz w:val="18"/>
                <w:szCs w:val="18"/>
                <w:lang w:val="en-US" w:eastAsia="zh-CN"/>
              </w:rPr>
              <w:t>与承包主体应当签订国有农用地承包合同，明确双方权利义务”</w:t>
            </w:r>
          </w:p>
        </w:tc>
      </w:tr>
      <w:tr w14:paraId="4B4E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465" w:type="dxa"/>
            <w:noWrap w:val="0"/>
            <w:vAlign w:val="center"/>
          </w:tcPr>
          <w:p w14:paraId="40A53B6C">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z w:val="24"/>
                <w:lang w:val="en-US" w:eastAsia="zh-CN"/>
              </w:rPr>
            </w:pPr>
            <w:r>
              <w:rPr>
                <w:rFonts w:hint="eastAsia" w:eastAsia="方正仿宋_GBK" w:cs="Times New Roman"/>
                <w:color w:val="auto"/>
                <w:sz w:val="24"/>
                <w:lang w:val="en-US" w:eastAsia="zh-CN"/>
              </w:rPr>
              <w:t>9</w:t>
            </w:r>
          </w:p>
        </w:tc>
        <w:tc>
          <w:tcPr>
            <w:tcW w:w="1290" w:type="dxa"/>
            <w:noWrap w:val="0"/>
            <w:vAlign w:val="center"/>
          </w:tcPr>
          <w:p w14:paraId="795980A4">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eastAsia" w:eastAsia="方正仿宋_GBK" w:cs="Times New Roman"/>
                <w:color w:val="auto"/>
                <w:kern w:val="0"/>
                <w:sz w:val="24"/>
                <w:lang w:val="en-US" w:eastAsia="zh-CN" w:bidi="ar"/>
              </w:rPr>
              <w:t>电话反馈（匿名）</w:t>
            </w:r>
          </w:p>
        </w:tc>
        <w:tc>
          <w:tcPr>
            <w:tcW w:w="5194" w:type="dxa"/>
            <w:noWrap w:val="0"/>
            <w:vAlign w:val="center"/>
          </w:tcPr>
          <w:p w14:paraId="3A6B9567">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eastAsia" w:eastAsia="方正仿宋_GBK" w:cs="Times New Roman"/>
                <w:color w:val="auto"/>
                <w:kern w:val="0"/>
                <w:sz w:val="24"/>
                <w:szCs w:val="21"/>
                <w:lang w:val="en-US" w:eastAsia="zh-CN" w:bidi="ar"/>
              </w:rPr>
              <w:t>目前公开交易的国有农用地承包期限多为2年期，不利于承包人进行长期稳定投资，建议明确将承包期限调整至5年以上。</w:t>
            </w:r>
          </w:p>
        </w:tc>
        <w:tc>
          <w:tcPr>
            <w:tcW w:w="864" w:type="dxa"/>
            <w:noWrap w:val="0"/>
            <w:vAlign w:val="center"/>
          </w:tcPr>
          <w:p w14:paraId="52B2C5A0">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default" w:ascii="Times New Roman" w:hAnsi="Times New Roman" w:eastAsia="方正仿宋_GBK" w:cs="Times New Roman"/>
                <w:color w:val="auto"/>
                <w:spacing w:val="-11"/>
                <w:sz w:val="24"/>
                <w:szCs w:val="24"/>
                <w:lang w:val="en-US" w:eastAsia="zh-CN"/>
              </w:rPr>
              <w:t>是</w:t>
            </w:r>
          </w:p>
        </w:tc>
        <w:tc>
          <w:tcPr>
            <w:tcW w:w="1139" w:type="dxa"/>
            <w:noWrap w:val="0"/>
            <w:vAlign w:val="center"/>
          </w:tcPr>
          <w:p w14:paraId="03F86DBC">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76D3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465" w:type="dxa"/>
            <w:noWrap w:val="0"/>
            <w:vAlign w:val="center"/>
          </w:tcPr>
          <w:p w14:paraId="2B6E97D2">
            <w:pPr>
              <w:keepNext w:val="0"/>
              <w:keepLines w:val="0"/>
              <w:pageBreakBefore w:val="0"/>
              <w:kinsoku/>
              <w:wordWrap/>
              <w:overflowPunct w:val="0"/>
              <w:topLinePunct w:val="0"/>
              <w:autoSpaceDE/>
              <w:autoSpaceDN/>
              <w:bidi w:val="0"/>
              <w:adjustRightInd/>
              <w:spacing w:line="280" w:lineRule="exact"/>
              <w:jc w:val="center"/>
              <w:rPr>
                <w:rFonts w:hint="default" w:eastAsia="方正仿宋_GBK" w:cs="Times New Roman"/>
                <w:color w:val="auto"/>
                <w:sz w:val="24"/>
                <w:lang w:val="en-US" w:eastAsia="zh-CN"/>
              </w:rPr>
            </w:pPr>
            <w:r>
              <w:rPr>
                <w:rFonts w:hint="eastAsia" w:eastAsia="方正仿宋_GBK" w:cs="Times New Roman"/>
                <w:color w:val="auto"/>
                <w:sz w:val="24"/>
                <w:lang w:val="en-US" w:eastAsia="zh-CN"/>
              </w:rPr>
              <w:t>10</w:t>
            </w:r>
          </w:p>
        </w:tc>
        <w:tc>
          <w:tcPr>
            <w:tcW w:w="1290" w:type="dxa"/>
            <w:noWrap w:val="0"/>
            <w:vAlign w:val="center"/>
          </w:tcPr>
          <w:p w14:paraId="55BF396E">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eastAsia" w:eastAsia="方正仿宋_GBK" w:cs="Times New Roman"/>
                <w:color w:val="auto"/>
                <w:kern w:val="0"/>
                <w:sz w:val="24"/>
                <w:lang w:val="en-US" w:eastAsia="zh-CN" w:bidi="ar"/>
              </w:rPr>
              <w:t>电话反馈（匿名）</w:t>
            </w:r>
          </w:p>
        </w:tc>
        <w:tc>
          <w:tcPr>
            <w:tcW w:w="5194" w:type="dxa"/>
            <w:noWrap w:val="0"/>
            <w:vAlign w:val="center"/>
          </w:tcPr>
          <w:p w14:paraId="071A7427">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eastAsia" w:eastAsia="方正仿宋_GBK" w:cs="Times New Roman"/>
                <w:color w:val="auto"/>
                <w:kern w:val="0"/>
                <w:sz w:val="24"/>
                <w:szCs w:val="21"/>
                <w:lang w:val="en-US" w:eastAsia="zh-CN" w:bidi="ar"/>
              </w:rPr>
              <w:t>目前签订的承包合同都是以自然年为周期，合同到期时，地上还存有承包人未能收获的作物，建议明确承包期限应与作物生长周期相匹配。</w:t>
            </w:r>
          </w:p>
        </w:tc>
        <w:tc>
          <w:tcPr>
            <w:tcW w:w="864" w:type="dxa"/>
            <w:noWrap w:val="0"/>
            <w:vAlign w:val="center"/>
          </w:tcPr>
          <w:p w14:paraId="1BE165DA">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17F13457">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487F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trPr>
        <w:tc>
          <w:tcPr>
            <w:tcW w:w="465" w:type="dxa"/>
            <w:noWrap w:val="0"/>
            <w:vAlign w:val="center"/>
          </w:tcPr>
          <w:p w14:paraId="2680E10B">
            <w:pPr>
              <w:keepNext w:val="0"/>
              <w:keepLines w:val="0"/>
              <w:pageBreakBefore w:val="0"/>
              <w:kinsoku/>
              <w:wordWrap/>
              <w:overflowPunct w:val="0"/>
              <w:topLinePunct w:val="0"/>
              <w:autoSpaceDE/>
              <w:autoSpaceDN/>
              <w:bidi w:val="0"/>
              <w:adjustRightInd/>
              <w:spacing w:line="280" w:lineRule="exact"/>
              <w:jc w:val="center"/>
              <w:rPr>
                <w:rFonts w:hint="default" w:eastAsia="方正仿宋_GBK" w:cs="Times New Roman"/>
                <w:color w:val="auto"/>
                <w:sz w:val="24"/>
                <w:lang w:val="en-US" w:eastAsia="zh-CN"/>
              </w:rPr>
            </w:pPr>
            <w:r>
              <w:rPr>
                <w:rFonts w:hint="eastAsia" w:eastAsia="方正仿宋_GBK" w:cs="Times New Roman"/>
                <w:color w:val="auto"/>
                <w:sz w:val="24"/>
                <w:lang w:val="en-US" w:eastAsia="zh-CN"/>
              </w:rPr>
              <w:t>11</w:t>
            </w:r>
          </w:p>
        </w:tc>
        <w:tc>
          <w:tcPr>
            <w:tcW w:w="1290" w:type="dxa"/>
            <w:noWrap w:val="0"/>
            <w:vAlign w:val="center"/>
          </w:tcPr>
          <w:p w14:paraId="7ED3BCDB">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eastAsia" w:eastAsia="方正仿宋_GBK" w:cs="Times New Roman"/>
                <w:color w:val="auto"/>
                <w:kern w:val="0"/>
                <w:sz w:val="24"/>
                <w:lang w:val="en-US" w:eastAsia="zh-CN" w:bidi="ar"/>
              </w:rPr>
              <w:t>电话反馈（匿名）</w:t>
            </w:r>
          </w:p>
        </w:tc>
        <w:tc>
          <w:tcPr>
            <w:tcW w:w="5194" w:type="dxa"/>
            <w:noWrap w:val="0"/>
            <w:vAlign w:val="center"/>
          </w:tcPr>
          <w:p w14:paraId="0588F312">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eastAsia" w:eastAsia="方正仿宋_GBK" w:cs="Times New Roman"/>
                <w:color w:val="auto"/>
                <w:kern w:val="0"/>
                <w:sz w:val="24"/>
                <w:szCs w:val="21"/>
                <w:lang w:val="en-US" w:eastAsia="zh-CN" w:bidi="ar"/>
              </w:rPr>
              <w:t>请地区自然资源局制定《原承包人有效投入补偿协议》的示范文本，方便群众使用和借鉴。</w:t>
            </w:r>
          </w:p>
        </w:tc>
        <w:tc>
          <w:tcPr>
            <w:tcW w:w="864" w:type="dxa"/>
            <w:noWrap w:val="0"/>
            <w:vAlign w:val="center"/>
          </w:tcPr>
          <w:p w14:paraId="01D66E8C">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782A3ACC">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6195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trPr>
        <w:tc>
          <w:tcPr>
            <w:tcW w:w="465" w:type="dxa"/>
            <w:noWrap w:val="0"/>
            <w:vAlign w:val="center"/>
          </w:tcPr>
          <w:p w14:paraId="3DB4B1B7">
            <w:pPr>
              <w:keepNext w:val="0"/>
              <w:keepLines w:val="0"/>
              <w:pageBreakBefore w:val="0"/>
              <w:kinsoku/>
              <w:wordWrap/>
              <w:overflowPunct w:val="0"/>
              <w:topLinePunct w:val="0"/>
              <w:autoSpaceDE/>
              <w:autoSpaceDN/>
              <w:bidi w:val="0"/>
              <w:adjustRightInd/>
              <w:spacing w:line="280" w:lineRule="exact"/>
              <w:jc w:val="center"/>
              <w:rPr>
                <w:rFonts w:hint="default" w:eastAsia="方正仿宋_GBK" w:cs="Times New Roman"/>
                <w:color w:val="auto"/>
                <w:sz w:val="24"/>
                <w:lang w:val="en-US" w:eastAsia="zh-CN"/>
              </w:rPr>
            </w:pPr>
            <w:r>
              <w:rPr>
                <w:rFonts w:hint="eastAsia" w:eastAsia="方正仿宋_GBK" w:cs="Times New Roman"/>
                <w:color w:val="auto"/>
                <w:sz w:val="24"/>
                <w:lang w:val="en-US" w:eastAsia="zh-CN"/>
              </w:rPr>
              <w:t>12</w:t>
            </w:r>
          </w:p>
        </w:tc>
        <w:tc>
          <w:tcPr>
            <w:tcW w:w="1290" w:type="dxa"/>
            <w:noWrap w:val="0"/>
            <w:vAlign w:val="center"/>
          </w:tcPr>
          <w:p w14:paraId="03ED5A00">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eastAsia" w:eastAsia="方正仿宋_GBK" w:cs="Times New Roman"/>
                <w:color w:val="auto"/>
                <w:kern w:val="0"/>
                <w:sz w:val="24"/>
                <w:lang w:val="en-US" w:eastAsia="zh-CN" w:bidi="ar"/>
              </w:rPr>
              <w:t>电话反馈（匿名）</w:t>
            </w:r>
          </w:p>
        </w:tc>
        <w:tc>
          <w:tcPr>
            <w:tcW w:w="5194" w:type="dxa"/>
            <w:noWrap w:val="0"/>
            <w:vAlign w:val="center"/>
          </w:tcPr>
          <w:p w14:paraId="75987B03">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eastAsia" w:eastAsia="方正仿宋_GBK" w:cs="Times New Roman"/>
                <w:color w:val="auto"/>
                <w:kern w:val="0"/>
                <w:sz w:val="24"/>
                <w:szCs w:val="21"/>
                <w:lang w:val="en-US" w:eastAsia="zh-CN" w:bidi="ar"/>
              </w:rPr>
              <w:t>部分表述建议修改。</w:t>
            </w:r>
          </w:p>
        </w:tc>
        <w:tc>
          <w:tcPr>
            <w:tcW w:w="864" w:type="dxa"/>
            <w:noWrap w:val="0"/>
            <w:vAlign w:val="center"/>
          </w:tcPr>
          <w:p w14:paraId="209BA2F4">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0904E503">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r w14:paraId="0C78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exact"/>
        </w:trPr>
        <w:tc>
          <w:tcPr>
            <w:tcW w:w="465" w:type="dxa"/>
            <w:noWrap w:val="0"/>
            <w:vAlign w:val="center"/>
          </w:tcPr>
          <w:p w14:paraId="0F89E379">
            <w:pPr>
              <w:keepNext w:val="0"/>
              <w:keepLines w:val="0"/>
              <w:pageBreakBefore w:val="0"/>
              <w:kinsoku/>
              <w:wordWrap/>
              <w:overflowPunct w:val="0"/>
              <w:topLinePunct w:val="0"/>
              <w:autoSpaceDE/>
              <w:autoSpaceDN/>
              <w:bidi w:val="0"/>
              <w:adjustRightInd/>
              <w:spacing w:line="280" w:lineRule="exact"/>
              <w:jc w:val="center"/>
              <w:rPr>
                <w:rFonts w:hint="default" w:eastAsia="方正仿宋_GBK" w:cs="Times New Roman"/>
                <w:color w:val="auto"/>
                <w:sz w:val="24"/>
                <w:lang w:val="en-US" w:eastAsia="zh-CN"/>
              </w:rPr>
            </w:pPr>
            <w:r>
              <w:rPr>
                <w:rFonts w:hint="eastAsia" w:eastAsia="方正仿宋_GBK" w:cs="Times New Roman"/>
                <w:color w:val="auto"/>
                <w:sz w:val="24"/>
                <w:lang w:val="en-US" w:eastAsia="zh-CN"/>
              </w:rPr>
              <w:t>13</w:t>
            </w:r>
          </w:p>
        </w:tc>
        <w:tc>
          <w:tcPr>
            <w:tcW w:w="1290" w:type="dxa"/>
            <w:noWrap w:val="0"/>
            <w:vAlign w:val="center"/>
          </w:tcPr>
          <w:p w14:paraId="164D249B">
            <w:pPr>
              <w:keepNext w:val="0"/>
              <w:keepLines w:val="0"/>
              <w:pageBreakBefore w:val="0"/>
              <w:kinsoku/>
              <w:wordWrap/>
              <w:overflowPunct w:val="0"/>
              <w:topLinePunct w:val="0"/>
              <w:autoSpaceDE/>
              <w:autoSpaceDN/>
              <w:bidi w:val="0"/>
              <w:adjustRightInd/>
              <w:spacing w:line="280" w:lineRule="exact"/>
              <w:rPr>
                <w:rFonts w:hint="default" w:ascii="Times New Roman" w:hAnsi="Times New Roman" w:eastAsia="方正仿宋_GBK" w:cs="Times New Roman"/>
                <w:color w:val="auto"/>
                <w:kern w:val="0"/>
                <w:sz w:val="24"/>
                <w:lang w:val="en-US" w:eastAsia="zh-CN" w:bidi="ar"/>
              </w:rPr>
            </w:pPr>
            <w:r>
              <w:rPr>
                <w:rFonts w:hint="eastAsia" w:eastAsia="方正仿宋_GBK" w:cs="Times New Roman"/>
                <w:color w:val="auto"/>
                <w:kern w:val="0"/>
                <w:sz w:val="24"/>
                <w:lang w:val="en-US" w:eastAsia="zh-CN" w:bidi="ar"/>
              </w:rPr>
              <w:t>电话反馈（匿名）</w:t>
            </w:r>
          </w:p>
        </w:tc>
        <w:tc>
          <w:tcPr>
            <w:tcW w:w="5194" w:type="dxa"/>
            <w:noWrap w:val="0"/>
            <w:vAlign w:val="center"/>
          </w:tcPr>
          <w:p w14:paraId="234E521B">
            <w:pPr>
              <w:keepNext w:val="0"/>
              <w:keepLines w:val="0"/>
              <w:pageBreakBefore w:val="0"/>
              <w:widowControl w:val="0"/>
              <w:kinsoku/>
              <w:wordWrap/>
              <w:overflowPunct w:val="0"/>
              <w:topLinePunct w:val="0"/>
              <w:autoSpaceDE/>
              <w:autoSpaceDN/>
              <w:bidi w:val="0"/>
              <w:adjustRightInd/>
              <w:snapToGrid/>
              <w:spacing w:line="280" w:lineRule="exact"/>
              <w:ind w:firstLine="490" w:firstLineChars="200"/>
              <w:textAlignment w:val="auto"/>
              <w:rPr>
                <w:rFonts w:hint="default" w:ascii="Times New Roman" w:hAnsi="Times New Roman" w:eastAsia="方正仿宋_GBK" w:cs="Times New Roman"/>
                <w:color w:val="auto"/>
                <w:kern w:val="0"/>
                <w:sz w:val="24"/>
                <w:szCs w:val="21"/>
                <w:lang w:val="en-US" w:eastAsia="zh-CN" w:bidi="ar"/>
              </w:rPr>
            </w:pPr>
            <w:r>
              <w:rPr>
                <w:rFonts w:hint="eastAsia" w:eastAsia="方正仿宋_GBK" w:cs="Times New Roman"/>
                <w:color w:val="auto"/>
                <w:kern w:val="0"/>
                <w:sz w:val="24"/>
                <w:szCs w:val="21"/>
                <w:lang w:val="en-US" w:eastAsia="zh-CN" w:bidi="ar"/>
              </w:rPr>
              <w:t>建议明确有效投入评估费用的承担主体，防止出现推诿扯皮。</w:t>
            </w:r>
          </w:p>
        </w:tc>
        <w:tc>
          <w:tcPr>
            <w:tcW w:w="864" w:type="dxa"/>
            <w:noWrap w:val="0"/>
            <w:vAlign w:val="center"/>
          </w:tcPr>
          <w:p w14:paraId="5FBA3EDE">
            <w:pPr>
              <w:keepNext w:val="0"/>
              <w:keepLines w:val="0"/>
              <w:pageBreakBefore w:val="0"/>
              <w:kinsoku/>
              <w:wordWrap/>
              <w:overflowPunct w:val="0"/>
              <w:topLinePunct w:val="0"/>
              <w:autoSpaceDE/>
              <w:autoSpaceDN/>
              <w:bidi w:val="0"/>
              <w:adjustRightInd/>
              <w:spacing w:line="280" w:lineRule="exact"/>
              <w:jc w:val="center"/>
              <w:rPr>
                <w:rFonts w:hint="default" w:ascii="Times New Roman" w:hAnsi="Times New Roman" w:eastAsia="方正仿宋_GBK" w:cs="Times New Roman"/>
                <w:color w:val="auto"/>
                <w:spacing w:val="-11"/>
                <w:sz w:val="24"/>
                <w:szCs w:val="24"/>
                <w:lang w:val="en-US" w:eastAsia="zh-CN"/>
              </w:rPr>
            </w:pPr>
            <w:r>
              <w:rPr>
                <w:rFonts w:hint="eastAsia" w:eastAsia="方正仿宋_GBK" w:cs="Times New Roman"/>
                <w:color w:val="auto"/>
                <w:spacing w:val="-11"/>
                <w:sz w:val="24"/>
                <w:szCs w:val="24"/>
                <w:lang w:val="en-US" w:eastAsia="zh-CN"/>
              </w:rPr>
              <w:t>是</w:t>
            </w:r>
          </w:p>
        </w:tc>
        <w:tc>
          <w:tcPr>
            <w:tcW w:w="1139" w:type="dxa"/>
            <w:noWrap w:val="0"/>
            <w:vAlign w:val="center"/>
          </w:tcPr>
          <w:p w14:paraId="73D7868F">
            <w:pPr>
              <w:keepNext w:val="0"/>
              <w:keepLines w:val="0"/>
              <w:pageBreakBefore w:val="0"/>
              <w:widowControl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pacing w:val="-11"/>
                <w:sz w:val="24"/>
                <w:szCs w:val="24"/>
                <w:lang w:val="en-US" w:eastAsia="zh-CN"/>
              </w:rPr>
            </w:pPr>
          </w:p>
        </w:tc>
      </w:tr>
    </w:tbl>
    <w:p w14:paraId="3A7DF9EE">
      <w:pPr>
        <w:pStyle w:val="2"/>
        <w:ind w:left="0" w:leftChars="0" w:firstLine="0" w:firstLineChars="0"/>
        <w:rPr>
          <w:color w:val="auto"/>
        </w:rPr>
      </w:pPr>
    </w:p>
    <w:p w14:paraId="62BDE59A">
      <w:pPr>
        <w:rPr>
          <w:color w:val="auto"/>
        </w:rPr>
      </w:pPr>
    </w:p>
    <w:sectPr>
      <w:footerReference r:id="rId3" w:type="default"/>
      <w:pgSz w:w="11907" w:h="16840"/>
      <w:pgMar w:top="1984" w:right="1531" w:bottom="1701" w:left="1531" w:header="851" w:footer="850" w:gutter="0"/>
      <w:cols w:space="720" w:num="1"/>
      <w:rtlGutter w:val="0"/>
      <w:docGrid w:type="linesAndChars" w:linePitch="315" w:charSpace="11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46607">
    <w:pPr>
      <w:pStyle w:val="6"/>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7382E9">
                          <w:pPr>
                            <w:pStyle w:val="6"/>
                            <w:jc w:val="cente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6QcO7+IBAADMAwAADgAA&#10;AAAAAAABACAAAAAeAQAAZHJzL2Uyb0RvYy54bWxQSwUGAAAAAAYABgBZAQAAcgUAAAAA&#10;">
              <v:fill on="f" focussize="0,0"/>
              <v:stroke on="f"/>
              <v:imagedata o:title=""/>
              <o:lock v:ext="edit" aspectratio="f"/>
              <v:textbox inset="0mm,0mm,0mm,0mm" style="mso-fit-shape-to-text:t;">
                <w:txbxContent>
                  <w:p w14:paraId="3F7382E9">
                    <w:pPr>
                      <w:pStyle w:val="6"/>
                      <w:jc w:val="cente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6FF5DA4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4F62B6"/>
    <w:multiLevelType w:val="singleLevel"/>
    <w:tmpl w:val="654F62B6"/>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639DA"/>
    <w:rsid w:val="1FCC6FA0"/>
    <w:rsid w:val="254E5FEF"/>
    <w:rsid w:val="32A83F5F"/>
    <w:rsid w:val="3DFC12D8"/>
    <w:rsid w:val="57E3453E"/>
    <w:rsid w:val="703104CB"/>
    <w:rsid w:val="7DE05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4"/>
    <w:qFormat/>
    <w:uiPriority w:val="0"/>
    <w:pPr>
      <w:ind w:firstLine="420" w:firstLineChars="200"/>
    </w:pPr>
  </w:style>
  <w:style w:type="paragraph" w:styleId="4">
    <w:name w:val="Plain Text"/>
    <w:basedOn w:val="1"/>
    <w:next w:val="5"/>
    <w:qFormat/>
    <w:uiPriority w:val="0"/>
    <w:pPr>
      <w:spacing w:line="365" w:lineRule="atLeast"/>
      <w:ind w:left="1"/>
      <w:textAlignment w:val="bottom"/>
    </w:pPr>
    <w:rPr>
      <w:rFonts w:ascii="宋体" w:hAnsi="Courier New" w:cs="Courier New"/>
      <w:kern w:val="0"/>
      <w:sz w:val="20"/>
      <w:szCs w:val="21"/>
    </w:rPr>
  </w:style>
  <w:style w:type="paragraph" w:styleId="5">
    <w:name w:val="List Number 5"/>
    <w:basedOn w:val="1"/>
    <w:qFormat/>
    <w:uiPriority w:val="0"/>
    <w:pPr>
      <w:numPr>
        <w:ilvl w:val="0"/>
        <w:numId w:val="1"/>
      </w:numPr>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Heading2"/>
    <w:basedOn w:val="1"/>
    <w:next w:val="1"/>
    <w:qFormat/>
    <w:uiPriority w:val="0"/>
    <w:pPr>
      <w:spacing w:before="100" w:beforeAutospacing="1" w:after="100" w:afterAutospacing="1"/>
      <w:jc w:val="left"/>
      <w:textAlignment w:val="baseline"/>
    </w:pPr>
    <w:rPr>
      <w:rFonts w:ascii="宋体" w:hAnsi="宋体" w:eastAsia="宋体" w:cs="宋体"/>
      <w:b/>
      <w:bCs/>
      <w:kern w:val="2"/>
      <w:sz w:val="28"/>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2026-08-21T12:28:00Z</dcterms:created>
  <dc:creator>Administrator</dc:creator>
  <cp:lastModifiedBy>自然资源所有者权益和开发利用科</cp:lastModifiedBy>
  <cp:lastPrinted>2026-08-24T16:39:21Z</cp:lastPrinted>
  <dcterms:modified xsi:type="dcterms:W3CDTF">2026-08-24T16:53:19Z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B6E49B49BDDA4B8D8F87168E4D6B7041_13</vt:lpwstr>
  </property>
</Properties>
</file>