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hint="eastAsia" w:ascii="方正小标宋_GBK" w:hAnsi="方正小标宋_GBK" w:eastAsia="方正小标宋_GBK" w:cs="方正小标宋_GBK"/>
          <w:b/>
          <w:bCs w:val="0"/>
          <w:color w:val="auto"/>
          <w:highlight w:val="none"/>
        </w:rPr>
      </w:pPr>
      <w:r>
        <w:rPr>
          <w:rFonts w:hint="eastAsia"/>
          <w:color w:val="auto"/>
          <w:highlight w:val="none"/>
        </w:rPr>
        <w:t xml:space="preserve"> </w:t>
      </w:r>
      <w:bookmarkStart w:id="0" w:name="_Toc32450"/>
      <w:bookmarkStart w:id="1" w:name="_Toc9049"/>
      <w:bookmarkStart w:id="2" w:name="_Toc18"/>
      <w:bookmarkStart w:id="3" w:name="_Toc22098"/>
      <w:bookmarkStart w:id="4" w:name="_Toc20346"/>
      <w:bookmarkStart w:id="5" w:name="_Toc24068"/>
    </w:p>
    <w:bookmarkEnd w:id="0"/>
    <w:bookmarkEnd w:id="1"/>
    <w:bookmarkEnd w:id="2"/>
    <w:bookmarkEnd w:id="3"/>
    <w:bookmarkEnd w:id="4"/>
    <w:bookmarkEnd w:id="5"/>
    <w:p>
      <w:pPr>
        <w:pStyle w:val="14"/>
        <w:bidi w:val="0"/>
        <w:rPr>
          <w:rFonts w:hint="eastAsia" w:ascii="方正小标宋_GBK" w:hAnsi="方正小标宋_GBK" w:eastAsia="方正小标宋_GBK" w:cs="方正小标宋_GBK"/>
          <w:b/>
          <w:bCs w:val="0"/>
          <w:color w:val="auto"/>
          <w:highlight w:val="none"/>
        </w:rPr>
      </w:pPr>
      <w:bookmarkStart w:id="6" w:name="_Toc13025"/>
      <w:bookmarkStart w:id="7" w:name="_Toc24612"/>
      <w:bookmarkStart w:id="8" w:name="_Toc16656"/>
      <w:bookmarkStart w:id="9" w:name="_Toc25422"/>
      <w:bookmarkStart w:id="10" w:name="_Toc12468"/>
      <w:bookmarkStart w:id="11" w:name="_Toc31846"/>
      <w:bookmarkStart w:id="12" w:name="_Toc5051"/>
      <w:bookmarkStart w:id="13" w:name="_Toc27379"/>
      <w:bookmarkStart w:id="14" w:name="_Toc2153"/>
      <w:r>
        <w:rPr>
          <w:rFonts w:hint="eastAsia" w:ascii="方正小标宋_GBK" w:hAnsi="方正小标宋_GBK" w:eastAsia="方正小标宋_GBK" w:cs="方正小标宋_GBK"/>
          <w:b/>
          <w:bCs w:val="0"/>
          <w:color w:val="auto"/>
          <w:highlight w:val="none"/>
        </w:rPr>
        <w:t>喀什地区</w:t>
      </w:r>
      <w:r>
        <w:rPr>
          <w:rFonts w:hint="eastAsia" w:ascii="方正小标宋_GBK" w:hAnsi="方正小标宋_GBK" w:eastAsia="方正小标宋_GBK" w:cs="方正小标宋_GBK"/>
          <w:b/>
          <w:bCs w:val="0"/>
          <w:color w:val="auto"/>
          <w:highlight w:val="none"/>
          <w:lang w:eastAsia="zh-CN"/>
        </w:rPr>
        <w:t>“</w:t>
      </w:r>
      <w:r>
        <w:rPr>
          <w:rFonts w:hint="eastAsia" w:ascii="方正小标宋_GBK" w:hAnsi="方正小标宋_GBK" w:eastAsia="方正小标宋_GBK" w:cs="方正小标宋_GBK"/>
          <w:b/>
          <w:bCs w:val="0"/>
          <w:color w:val="auto"/>
          <w:highlight w:val="none"/>
        </w:rPr>
        <w:t>十五五</w:t>
      </w:r>
      <w:r>
        <w:rPr>
          <w:rFonts w:hint="eastAsia" w:ascii="方正小标宋_GBK" w:hAnsi="方正小标宋_GBK" w:eastAsia="方正小标宋_GBK" w:cs="方正小标宋_GBK"/>
          <w:b/>
          <w:bCs w:val="0"/>
          <w:color w:val="auto"/>
          <w:highlight w:val="none"/>
          <w:lang w:eastAsia="zh-CN"/>
        </w:rPr>
        <w:t>”</w:t>
      </w:r>
      <w:r>
        <w:rPr>
          <w:rFonts w:hint="eastAsia" w:ascii="方正小标宋_GBK" w:hAnsi="方正小标宋_GBK" w:eastAsia="方正小标宋_GBK" w:cs="方正小标宋_GBK"/>
          <w:b/>
          <w:bCs w:val="0"/>
          <w:color w:val="auto"/>
          <w:highlight w:val="none"/>
        </w:rPr>
        <w:t>水安全保障规划</w:t>
      </w:r>
      <w:bookmarkEnd w:id="6"/>
      <w:bookmarkEnd w:id="7"/>
      <w:bookmarkEnd w:id="8"/>
      <w:bookmarkEnd w:id="9"/>
      <w:bookmarkEnd w:id="10"/>
      <w:bookmarkEnd w:id="11"/>
      <w:bookmarkEnd w:id="12"/>
      <w:bookmarkEnd w:id="13"/>
      <w:bookmarkEnd w:id="14"/>
    </w:p>
    <w:p>
      <w:pPr>
        <w:pStyle w:val="14"/>
        <w:bidi w:val="0"/>
        <w:rPr>
          <w:rFonts w:hint="default" w:ascii="方正小标宋_GBK" w:hAnsi="方正小标宋_GBK" w:eastAsia="方正小标宋_GBK" w:cs="方正小标宋_GBK"/>
          <w:b w:val="0"/>
          <w:bCs/>
          <w:color w:val="auto"/>
          <w:sz w:val="44"/>
          <w:szCs w:val="22"/>
          <w:highlight w:val="none"/>
          <w:lang w:val="en-US" w:eastAsia="zh-CN"/>
        </w:rPr>
      </w:pPr>
      <w:r>
        <w:rPr>
          <w:rFonts w:hint="eastAsia" w:ascii="方正小标宋_GBK" w:hAnsi="方正小标宋_GBK" w:eastAsia="方正小标宋_GBK" w:cs="方正小标宋_GBK"/>
          <w:b w:val="0"/>
          <w:bCs/>
          <w:color w:val="auto"/>
          <w:sz w:val="44"/>
          <w:szCs w:val="22"/>
          <w:highlight w:val="none"/>
          <w:lang w:val="en-US" w:eastAsia="zh-CN"/>
        </w:rPr>
        <w:t>(征求意见稿)</w:t>
      </w:r>
    </w:p>
    <w:p>
      <w:pPr>
        <w:bidi w:val="0"/>
        <w:rPr>
          <w:b w:val="0"/>
          <w:bCs/>
          <w:color w:val="auto"/>
          <w:highlight w:val="none"/>
        </w:rPr>
      </w:pPr>
    </w:p>
    <w:p>
      <w:pPr>
        <w:bidi w:val="0"/>
        <w:rPr>
          <w:rFonts w:hint="eastAsia" w:eastAsia="方正仿宋_GBK"/>
          <w:b w:val="0"/>
          <w:bCs/>
          <w:color w:val="auto"/>
          <w:highlight w:val="none"/>
          <w:lang w:val="en-US" w:eastAsia="zh-CN"/>
        </w:rPr>
      </w:pPr>
    </w:p>
    <w:p>
      <w:pPr>
        <w:bidi w:val="0"/>
        <w:rPr>
          <w:rFonts w:hint="eastAsia"/>
          <w:b w:val="0"/>
          <w:bCs/>
          <w:color w:val="auto"/>
          <w:highlight w:val="none"/>
        </w:rPr>
      </w:pPr>
    </w:p>
    <w:p>
      <w:pPr>
        <w:bidi w:val="0"/>
        <w:rPr>
          <w:rFonts w:hint="eastAsia"/>
          <w:b w:val="0"/>
          <w:bCs/>
          <w:color w:val="auto"/>
          <w:highlight w:val="none"/>
        </w:rPr>
      </w:pPr>
    </w:p>
    <w:p>
      <w:pPr>
        <w:bidi w:val="0"/>
        <w:rPr>
          <w:rFonts w:hint="eastAsia"/>
          <w:b w:val="0"/>
          <w:bCs/>
          <w:color w:val="auto"/>
          <w:highlight w:val="none"/>
        </w:rPr>
      </w:pPr>
    </w:p>
    <w:p>
      <w:pPr>
        <w:bidi w:val="0"/>
        <w:rPr>
          <w:rFonts w:hint="eastAsia"/>
          <w:b w:val="0"/>
          <w:bCs/>
          <w:color w:val="auto"/>
          <w:highlight w:val="none"/>
        </w:rPr>
      </w:pPr>
    </w:p>
    <w:p>
      <w:pPr>
        <w:bidi w:val="0"/>
        <w:rPr>
          <w:rFonts w:hint="eastAsia"/>
          <w:b w:val="0"/>
          <w:bCs/>
          <w:color w:val="auto"/>
          <w:highlight w:val="none"/>
        </w:rPr>
      </w:pPr>
    </w:p>
    <w:p>
      <w:pPr>
        <w:bidi w:val="0"/>
        <w:rPr>
          <w:rFonts w:hint="eastAsia"/>
          <w:b w:val="0"/>
          <w:bCs/>
          <w:color w:val="auto"/>
          <w:highlight w:val="none"/>
        </w:rPr>
      </w:pPr>
    </w:p>
    <w:p>
      <w:pPr>
        <w:pStyle w:val="16"/>
        <w:rPr>
          <w:rFonts w:hint="eastAsia"/>
          <w:b w:val="0"/>
          <w:bCs/>
          <w:color w:val="auto"/>
          <w:highlight w:val="none"/>
        </w:rPr>
      </w:pPr>
    </w:p>
    <w:p>
      <w:pPr>
        <w:pStyle w:val="15"/>
        <w:rPr>
          <w:rFonts w:hint="eastAsia"/>
          <w:color w:val="auto"/>
          <w:highlight w:val="none"/>
        </w:rPr>
      </w:pPr>
    </w:p>
    <w:p>
      <w:pPr>
        <w:bidi w:val="0"/>
        <w:rPr>
          <w:rFonts w:hint="eastAsia"/>
          <w:b w:val="0"/>
          <w:bCs/>
          <w:color w:val="auto"/>
          <w:highlight w:val="none"/>
        </w:rPr>
      </w:pPr>
    </w:p>
    <w:p>
      <w:pPr>
        <w:bidi w:val="0"/>
        <w:rPr>
          <w:rFonts w:hint="eastAsia"/>
          <w:b w:val="0"/>
          <w:bCs/>
          <w:color w:val="auto"/>
          <w:highlight w:val="none"/>
        </w:rPr>
      </w:pPr>
    </w:p>
    <w:p>
      <w:pPr>
        <w:bidi w:val="0"/>
        <w:rPr>
          <w:rFonts w:hint="eastAsia"/>
          <w:b w:val="0"/>
          <w:bCs/>
          <w:color w:val="auto"/>
          <w:highlight w:val="none"/>
        </w:rPr>
      </w:pPr>
    </w:p>
    <w:p>
      <w:pPr>
        <w:pStyle w:val="14"/>
        <w:bidi w:val="0"/>
        <w:spacing w:line="240" w:lineRule="auto"/>
        <w:rPr>
          <w:rFonts w:hint="eastAsia" w:ascii="方正小标宋_GBK" w:hAnsi="方正小标宋_GBK" w:eastAsia="方正小标宋_GBK" w:cs="方正小标宋_GBK"/>
          <w:b w:val="0"/>
          <w:bCs/>
          <w:color w:val="auto"/>
          <w:sz w:val="36"/>
          <w:szCs w:val="36"/>
          <w:highlight w:val="none"/>
        </w:rPr>
      </w:pPr>
      <w:bookmarkStart w:id="15" w:name="_Toc25468"/>
      <w:bookmarkStart w:id="16" w:name="_Toc12895"/>
      <w:bookmarkStart w:id="17" w:name="_Toc17040"/>
      <w:bookmarkStart w:id="18" w:name="_Toc4945"/>
      <w:bookmarkStart w:id="19" w:name="_Toc5620"/>
      <w:bookmarkStart w:id="20" w:name="_Toc3830"/>
      <w:bookmarkStart w:id="21" w:name="_Toc31262"/>
      <w:bookmarkStart w:id="22" w:name="_Toc16146"/>
      <w:bookmarkStart w:id="23" w:name="_Toc9693"/>
      <w:r>
        <w:rPr>
          <w:rFonts w:hint="eastAsia" w:ascii="方正小标宋_GBK" w:hAnsi="方正小标宋_GBK" w:eastAsia="方正小标宋_GBK" w:cs="方正小标宋_GBK"/>
          <w:b w:val="0"/>
          <w:bCs/>
          <w:color w:val="auto"/>
          <w:sz w:val="36"/>
          <w:szCs w:val="36"/>
          <w:highlight w:val="none"/>
        </w:rPr>
        <w:t>喀什地区水利局</w:t>
      </w:r>
      <w:bookmarkEnd w:id="15"/>
      <w:bookmarkEnd w:id="16"/>
      <w:bookmarkEnd w:id="17"/>
      <w:bookmarkEnd w:id="18"/>
      <w:bookmarkEnd w:id="19"/>
      <w:bookmarkEnd w:id="20"/>
      <w:bookmarkEnd w:id="21"/>
      <w:bookmarkEnd w:id="22"/>
      <w:bookmarkEnd w:id="23"/>
    </w:p>
    <w:p>
      <w:pPr>
        <w:pStyle w:val="14"/>
        <w:bidi w:val="0"/>
        <w:spacing w:line="240" w:lineRule="auto"/>
        <w:rPr>
          <w:rFonts w:hint="eastAsia" w:ascii="方正小标宋_GBK" w:hAnsi="方正小标宋_GBK" w:eastAsia="方正小标宋_GBK" w:cs="方正小标宋_GBK"/>
          <w:b w:val="0"/>
          <w:bCs/>
          <w:color w:val="auto"/>
          <w:sz w:val="36"/>
          <w:szCs w:val="36"/>
          <w:highlight w:val="none"/>
        </w:rPr>
      </w:pPr>
      <w:bookmarkStart w:id="24" w:name="_Toc11776"/>
      <w:bookmarkStart w:id="25" w:name="_Toc9532"/>
      <w:bookmarkStart w:id="26" w:name="_Toc5583"/>
      <w:bookmarkStart w:id="27" w:name="_Toc21398"/>
      <w:bookmarkStart w:id="28" w:name="_Toc17542"/>
      <w:bookmarkStart w:id="29" w:name="_Toc8539"/>
      <w:bookmarkStart w:id="30" w:name="_Toc9433"/>
      <w:bookmarkStart w:id="31" w:name="_Toc18832"/>
      <w:bookmarkStart w:id="32" w:name="_Toc4407"/>
      <w:bookmarkStart w:id="33" w:name="_Toc10489"/>
      <w:bookmarkStart w:id="34" w:name="_Toc11562"/>
      <w:bookmarkStart w:id="35" w:name="_Toc22988"/>
      <w:bookmarkStart w:id="36" w:name="_Toc30274"/>
      <w:bookmarkStart w:id="37" w:name="_Toc11224"/>
      <w:r>
        <w:rPr>
          <w:rFonts w:hint="eastAsia" w:ascii="方正小标宋_GBK" w:hAnsi="方正小标宋_GBK" w:eastAsia="方正小标宋_GBK" w:cs="方正小标宋_GBK"/>
          <w:b w:val="0"/>
          <w:bCs/>
          <w:color w:val="auto"/>
          <w:sz w:val="36"/>
          <w:szCs w:val="36"/>
          <w:highlight w:val="none"/>
        </w:rPr>
        <w:t>新疆疆南水利勘测设计研究院有限责任公司</w:t>
      </w:r>
      <w:bookmarkEnd w:id="24"/>
      <w:bookmarkEnd w:id="25"/>
      <w:bookmarkEnd w:id="26"/>
      <w:bookmarkEnd w:id="27"/>
      <w:bookmarkEnd w:id="28"/>
      <w:bookmarkEnd w:id="29"/>
      <w:bookmarkEnd w:id="30"/>
      <w:bookmarkEnd w:id="31"/>
      <w:bookmarkEnd w:id="32"/>
      <w:bookmarkEnd w:id="33"/>
      <w:bookmarkEnd w:id="34"/>
      <w:bookmarkEnd w:id="35"/>
      <w:bookmarkEnd w:id="36"/>
      <w:bookmarkEnd w:id="37"/>
    </w:p>
    <w:p>
      <w:pPr>
        <w:pStyle w:val="14"/>
        <w:bidi w:val="0"/>
        <w:spacing w:line="240" w:lineRule="auto"/>
        <w:rPr>
          <w:rFonts w:hint="eastAsia" w:ascii="方正小标宋_GBK" w:hAnsi="方正小标宋_GBK" w:eastAsia="方正小标宋_GBK" w:cs="方正小标宋_GBK"/>
          <w:b w:val="0"/>
          <w:bCs/>
          <w:color w:val="auto"/>
          <w:sz w:val="36"/>
          <w:szCs w:val="36"/>
          <w:highlight w:val="none"/>
        </w:rPr>
      </w:pPr>
      <w:bookmarkStart w:id="38" w:name="_Toc3655"/>
      <w:bookmarkStart w:id="39" w:name="_Toc20847"/>
      <w:bookmarkStart w:id="40" w:name="_Toc9627"/>
      <w:bookmarkStart w:id="41" w:name="_Toc32272"/>
      <w:bookmarkStart w:id="42" w:name="_Toc17443"/>
      <w:bookmarkStart w:id="43" w:name="_Toc28783"/>
      <w:bookmarkStart w:id="44" w:name="_Toc17877"/>
      <w:bookmarkStart w:id="45" w:name="_Toc12098"/>
      <w:bookmarkStart w:id="46" w:name="_Toc14754"/>
      <w:r>
        <w:rPr>
          <w:rFonts w:hint="eastAsia" w:ascii="方正小标宋_GBK" w:hAnsi="方正小标宋_GBK" w:eastAsia="方正小标宋_GBK" w:cs="方正小标宋_GBK"/>
          <w:b w:val="0"/>
          <w:bCs/>
          <w:color w:val="auto"/>
          <w:sz w:val="36"/>
          <w:szCs w:val="36"/>
          <w:highlight w:val="none"/>
        </w:rPr>
        <w:t>202</w:t>
      </w:r>
      <w:r>
        <w:rPr>
          <w:rFonts w:hint="eastAsia" w:ascii="方正小标宋_GBK" w:hAnsi="方正小标宋_GBK" w:eastAsia="方正小标宋_GBK" w:cs="方正小标宋_GBK"/>
          <w:b w:val="0"/>
          <w:bCs/>
          <w:color w:val="auto"/>
          <w:sz w:val="36"/>
          <w:szCs w:val="36"/>
          <w:highlight w:val="none"/>
          <w:lang w:val="en-US" w:eastAsia="zh-CN"/>
        </w:rPr>
        <w:t>6</w:t>
      </w:r>
      <w:r>
        <w:rPr>
          <w:rFonts w:hint="eastAsia" w:ascii="方正小标宋_GBK" w:hAnsi="方正小标宋_GBK" w:eastAsia="方正小标宋_GBK" w:cs="方正小标宋_GBK"/>
          <w:b w:val="0"/>
          <w:bCs/>
          <w:color w:val="auto"/>
          <w:sz w:val="36"/>
          <w:szCs w:val="36"/>
          <w:highlight w:val="none"/>
        </w:rPr>
        <w:t>年</w:t>
      </w:r>
      <w:r>
        <w:rPr>
          <w:rFonts w:hint="eastAsia" w:ascii="方正小标宋_GBK" w:hAnsi="方正小标宋_GBK" w:eastAsia="方正小标宋_GBK" w:cs="方正小标宋_GBK"/>
          <w:b w:val="0"/>
          <w:bCs/>
          <w:color w:val="auto"/>
          <w:sz w:val="36"/>
          <w:szCs w:val="36"/>
          <w:highlight w:val="none"/>
          <w:lang w:val="en-US" w:eastAsia="zh-CN"/>
        </w:rPr>
        <w:t>9</w:t>
      </w:r>
      <w:r>
        <w:rPr>
          <w:rFonts w:hint="eastAsia" w:ascii="方正小标宋_GBK" w:hAnsi="方正小标宋_GBK" w:eastAsia="方正小标宋_GBK" w:cs="方正小标宋_GBK"/>
          <w:b w:val="0"/>
          <w:bCs/>
          <w:color w:val="auto"/>
          <w:sz w:val="36"/>
          <w:szCs w:val="36"/>
          <w:highlight w:val="none"/>
        </w:rPr>
        <w:t>月</w:t>
      </w:r>
      <w:bookmarkEnd w:id="38"/>
      <w:bookmarkEnd w:id="39"/>
      <w:bookmarkEnd w:id="40"/>
      <w:bookmarkEnd w:id="41"/>
      <w:bookmarkEnd w:id="42"/>
      <w:bookmarkEnd w:id="43"/>
      <w:bookmarkEnd w:id="44"/>
      <w:bookmarkEnd w:id="45"/>
      <w:bookmarkEnd w:id="46"/>
    </w:p>
    <w:p>
      <w:pPr>
        <w:bidi w:val="0"/>
        <w:spacing w:line="240" w:lineRule="auto"/>
        <w:rPr>
          <w:rFonts w:hint="eastAsia"/>
          <w:color w:val="auto"/>
          <w:sz w:val="44"/>
          <w:szCs w:val="44"/>
          <w:highlight w:val="none"/>
        </w:rPr>
        <w:sectPr>
          <w:headerReference r:id="rId7" w:type="first"/>
          <w:footerReference r:id="rId10" w:type="first"/>
          <w:headerReference r:id="rId5" w:type="default"/>
          <w:footerReference r:id="rId8" w:type="default"/>
          <w:headerReference r:id="rId6" w:type="even"/>
          <w:footerReference r:id="rId9" w:type="even"/>
          <w:pgSz w:w="11907" w:h="16840"/>
          <w:pgMar w:top="1616" w:right="1418" w:bottom="1616" w:left="1418" w:header="907" w:footer="1304" w:gutter="0"/>
          <w:pgNumType w:fmt="decimal" w:start="1"/>
          <w:cols w:space="720" w:num="1"/>
          <w:titlePg/>
          <w:docGrid w:type="lines" w:linePitch="381" w:charSpace="0"/>
        </w:sectPr>
      </w:pPr>
    </w:p>
    <w:p>
      <w:pPr>
        <w:bidi w:val="0"/>
        <w:ind w:left="0" w:leftChars="0" w:firstLine="0" w:firstLineChars="0"/>
        <w:jc w:val="center"/>
        <w:rPr>
          <w:rFonts w:hint="eastAsia" w:ascii="Times New Roman" w:hAnsi="Times New Roman" w:eastAsia="方正仿宋_GBK" w:cs="Times New Roman"/>
          <w:color w:val="auto"/>
          <w:kern w:val="2"/>
          <w:sz w:val="28"/>
          <w:szCs w:val="28"/>
          <w:highlight w:val="none"/>
          <w:lang w:val="en-US" w:eastAsia="zh-CN" w:bidi="ar-SA"/>
        </w:rPr>
      </w:pPr>
      <w:bookmarkStart w:id="47" w:name="_Toc16630"/>
      <w:bookmarkStart w:id="48" w:name="_Toc15566"/>
      <w:r>
        <w:rPr>
          <w:rFonts w:ascii="Times New Roman" w:hAnsi="Times New Roman" w:eastAsia="黑体" w:cs="Times New Roman"/>
          <w:b/>
          <w:bCs/>
          <w:color w:val="auto"/>
          <w:kern w:val="44"/>
          <w:sz w:val="36"/>
          <w:szCs w:val="28"/>
          <w:highlight w:val="none"/>
          <w:lang w:val="en-US" w:eastAsia="zh-CN" w:bidi="ar-SA"/>
        </w:rPr>
        <w:t>目</w:t>
      </w:r>
      <w:r>
        <w:rPr>
          <w:rFonts w:hint="eastAsia" w:ascii="Times New Roman" w:hAnsi="Times New Roman" w:eastAsia="黑体" w:cs="Times New Roman"/>
          <w:b/>
          <w:bCs/>
          <w:color w:val="auto"/>
          <w:kern w:val="44"/>
          <w:sz w:val="36"/>
          <w:szCs w:val="28"/>
          <w:highlight w:val="none"/>
          <w:lang w:val="en-US" w:eastAsia="zh-CN" w:bidi="ar-SA"/>
        </w:rPr>
        <w:t xml:space="preserve">   </w:t>
      </w:r>
      <w:r>
        <w:rPr>
          <w:rFonts w:ascii="Times New Roman" w:hAnsi="Times New Roman" w:eastAsia="黑体" w:cs="Times New Roman"/>
          <w:b/>
          <w:bCs/>
          <w:color w:val="auto"/>
          <w:kern w:val="44"/>
          <w:sz w:val="36"/>
          <w:szCs w:val="28"/>
          <w:highlight w:val="none"/>
          <w:lang w:val="en-US" w:eastAsia="zh-CN" w:bidi="ar-SA"/>
        </w:rPr>
        <w:t>录</w:t>
      </w:r>
      <w:bookmarkEnd w:id="47"/>
      <w:bookmarkEnd w:id="48"/>
      <w:r>
        <w:rPr>
          <w:rFonts w:hint="eastAsia"/>
          <w:color w:val="auto"/>
          <w:highlight w:val="none"/>
          <w:lang w:val="en-US" w:eastAsia="zh-CN"/>
        </w:rPr>
        <w:fldChar w:fldCharType="begin"/>
      </w:r>
      <w:r>
        <w:rPr>
          <w:rFonts w:hint="eastAsia"/>
          <w:color w:val="auto"/>
          <w:highlight w:val="none"/>
          <w:lang w:val="en-US" w:eastAsia="zh-CN"/>
        </w:rPr>
        <w:instrText xml:space="preserve">TOC \o "1-2" \h \u </w:instrText>
      </w:r>
      <w:r>
        <w:rPr>
          <w:rFonts w:hint="eastAsia"/>
          <w:color w:val="auto"/>
          <w:highlight w:val="none"/>
          <w:lang w:val="en-US" w:eastAsia="zh-CN"/>
        </w:rPr>
        <w:fldChar w:fldCharType="separate"/>
      </w:r>
    </w:p>
    <w:p>
      <w:pPr>
        <w:pStyle w:val="11"/>
        <w:tabs>
          <w:tab w:val="right" w:leader="dot" w:pos="9072"/>
        </w:tabs>
        <w:jc w:val="center"/>
        <w:rPr>
          <w:highlight w:val="none"/>
        </w:rPr>
      </w:pPr>
    </w:p>
    <w:p>
      <w:pPr>
        <w:pStyle w:val="12"/>
        <w:tabs>
          <w:tab w:val="right" w:leader="dot" w:pos="9072"/>
        </w:tabs>
        <w:ind w:left="0" w:leftChars="0" w:firstLine="0" w:firstLineChars="0"/>
        <w:jc w:val="both"/>
        <w:rPr>
          <w:highlight w:val="none"/>
        </w:rPr>
      </w:pPr>
      <w:r>
        <w:rPr>
          <w:rFonts w:hint="eastAsia"/>
          <w:color w:val="auto"/>
          <w:highlight w:val="none"/>
          <w:lang w:val="en-US" w:eastAsia="zh-CN"/>
        </w:rPr>
        <w:fldChar w:fldCharType="begin"/>
      </w:r>
      <w:r>
        <w:rPr>
          <w:rFonts w:hint="eastAsia"/>
          <w:highlight w:val="none"/>
          <w:lang w:val="en-US" w:eastAsia="zh-CN"/>
        </w:rPr>
        <w:instrText xml:space="preserve"> HYPERLINK \l _Toc18943 </w:instrText>
      </w:r>
      <w:r>
        <w:rPr>
          <w:rFonts w:hint="eastAsia"/>
          <w:highlight w:val="none"/>
          <w:lang w:val="en-US" w:eastAsia="zh-CN"/>
        </w:rPr>
        <w:fldChar w:fldCharType="separate"/>
      </w:r>
      <w:r>
        <w:rPr>
          <w:rFonts w:hint="eastAsia"/>
          <w:highlight w:val="none"/>
          <w:lang w:val="en-US" w:eastAsia="zh-CN"/>
        </w:rPr>
        <w:t>一、总体要求</w:t>
      </w:r>
      <w:r>
        <w:rPr>
          <w:highlight w:val="none"/>
        </w:rPr>
        <w:tab/>
      </w:r>
      <w:r>
        <w:rPr>
          <w:highlight w:val="none"/>
        </w:rPr>
        <w:fldChar w:fldCharType="begin"/>
      </w:r>
      <w:r>
        <w:rPr>
          <w:highlight w:val="none"/>
        </w:rPr>
        <w:instrText xml:space="preserve"> PAGEREF _Toc18943 \h </w:instrText>
      </w:r>
      <w:r>
        <w:rPr>
          <w:highlight w:val="none"/>
        </w:rPr>
        <w:fldChar w:fldCharType="separate"/>
      </w:r>
      <w:r>
        <w:rPr>
          <w:highlight w:val="none"/>
        </w:rPr>
        <w:t>1</w:t>
      </w:r>
      <w:r>
        <w:rPr>
          <w:highlight w:val="none"/>
        </w:rPr>
        <w:fldChar w:fldCharType="end"/>
      </w:r>
      <w:r>
        <w:rPr>
          <w:rFonts w:hint="eastAsia"/>
          <w:color w:val="auto"/>
          <w:highlight w:val="none"/>
          <w:lang w:val="en-US" w:eastAsia="zh-CN"/>
        </w:rPr>
        <w:fldChar w:fldCharType="end"/>
      </w:r>
    </w:p>
    <w:p>
      <w:pPr>
        <w:pStyle w:val="12"/>
        <w:tabs>
          <w:tab w:val="right" w:leader="dot" w:pos="9072"/>
        </w:tabs>
        <w:ind w:left="0" w:leftChars="0" w:firstLine="0" w:firstLineChars="0"/>
        <w:jc w:val="both"/>
        <w:rPr>
          <w:highlight w:val="none"/>
        </w:rPr>
      </w:pPr>
      <w:r>
        <w:rPr>
          <w:rFonts w:hint="eastAsia"/>
          <w:color w:val="auto"/>
          <w:highlight w:val="none"/>
          <w:lang w:val="en-US" w:eastAsia="zh-CN"/>
        </w:rPr>
        <w:fldChar w:fldCharType="begin"/>
      </w:r>
      <w:r>
        <w:rPr>
          <w:rFonts w:hint="eastAsia"/>
          <w:highlight w:val="none"/>
          <w:lang w:val="en-US" w:eastAsia="zh-CN"/>
        </w:rPr>
        <w:instrText xml:space="preserve"> HYPERLINK \l _Toc30882 </w:instrText>
      </w:r>
      <w:r>
        <w:rPr>
          <w:rFonts w:hint="eastAsia"/>
          <w:highlight w:val="none"/>
          <w:lang w:val="en-US" w:eastAsia="zh-CN"/>
        </w:rPr>
        <w:fldChar w:fldCharType="separate"/>
      </w:r>
      <w:r>
        <w:rPr>
          <w:rFonts w:hint="eastAsia"/>
          <w:highlight w:val="none"/>
          <w:lang w:val="en-US" w:eastAsia="zh-CN"/>
        </w:rPr>
        <w:t>二、落实水资源刚性约束制度</w:t>
      </w:r>
      <w:r>
        <w:rPr>
          <w:highlight w:val="none"/>
        </w:rPr>
        <w:tab/>
      </w:r>
      <w:r>
        <w:rPr>
          <w:highlight w:val="none"/>
        </w:rPr>
        <w:fldChar w:fldCharType="begin"/>
      </w:r>
      <w:r>
        <w:rPr>
          <w:highlight w:val="none"/>
        </w:rPr>
        <w:instrText xml:space="preserve"> PAGEREF _Toc30882 \h </w:instrText>
      </w:r>
      <w:r>
        <w:rPr>
          <w:highlight w:val="none"/>
        </w:rPr>
        <w:fldChar w:fldCharType="separate"/>
      </w:r>
      <w:r>
        <w:rPr>
          <w:highlight w:val="none"/>
        </w:rPr>
        <w:t>2</w:t>
      </w:r>
      <w:r>
        <w:rPr>
          <w:highlight w:val="none"/>
        </w:rPr>
        <w:fldChar w:fldCharType="end"/>
      </w:r>
      <w:r>
        <w:rPr>
          <w:rFonts w:hint="eastAsia"/>
          <w:color w:val="auto"/>
          <w:highlight w:val="none"/>
          <w:lang w:val="en-US" w:eastAsia="zh-CN"/>
        </w:rPr>
        <w:fldChar w:fldCharType="end"/>
      </w:r>
    </w:p>
    <w:p>
      <w:pPr>
        <w:pStyle w:val="12"/>
        <w:tabs>
          <w:tab w:val="right" w:leader="dot" w:pos="9072"/>
        </w:tabs>
        <w:ind w:left="0" w:leftChars="0" w:firstLine="0" w:firstLineChars="0"/>
        <w:jc w:val="both"/>
        <w:rPr>
          <w:highlight w:val="none"/>
        </w:rPr>
      </w:pPr>
      <w:r>
        <w:rPr>
          <w:rFonts w:hint="eastAsia"/>
          <w:color w:val="auto"/>
          <w:highlight w:val="none"/>
          <w:lang w:val="en-US" w:eastAsia="zh-CN"/>
        </w:rPr>
        <w:fldChar w:fldCharType="begin"/>
      </w:r>
      <w:r>
        <w:rPr>
          <w:rFonts w:hint="eastAsia"/>
          <w:highlight w:val="none"/>
          <w:lang w:val="en-US" w:eastAsia="zh-CN"/>
        </w:rPr>
        <w:instrText xml:space="preserve"> HYPERLINK \l _Toc6469 </w:instrText>
      </w:r>
      <w:r>
        <w:rPr>
          <w:rFonts w:hint="eastAsia"/>
          <w:highlight w:val="none"/>
          <w:lang w:val="en-US" w:eastAsia="zh-CN"/>
        </w:rPr>
        <w:fldChar w:fldCharType="separate"/>
      </w:r>
      <w:r>
        <w:rPr>
          <w:rFonts w:hint="eastAsia"/>
          <w:highlight w:val="none"/>
          <w:lang w:val="en-US" w:eastAsia="zh-CN"/>
        </w:rPr>
        <w:t>三、建设安全韧性现代水网</w:t>
      </w:r>
      <w:r>
        <w:rPr>
          <w:highlight w:val="none"/>
        </w:rPr>
        <w:tab/>
      </w:r>
      <w:r>
        <w:rPr>
          <w:highlight w:val="none"/>
        </w:rPr>
        <w:fldChar w:fldCharType="begin"/>
      </w:r>
      <w:r>
        <w:rPr>
          <w:highlight w:val="none"/>
        </w:rPr>
        <w:instrText xml:space="preserve"> PAGEREF _Toc6469 \h </w:instrText>
      </w:r>
      <w:r>
        <w:rPr>
          <w:highlight w:val="none"/>
        </w:rPr>
        <w:fldChar w:fldCharType="separate"/>
      </w:r>
      <w:r>
        <w:rPr>
          <w:highlight w:val="none"/>
        </w:rPr>
        <w:t>10</w:t>
      </w:r>
      <w:r>
        <w:rPr>
          <w:highlight w:val="none"/>
        </w:rPr>
        <w:fldChar w:fldCharType="end"/>
      </w:r>
      <w:r>
        <w:rPr>
          <w:rFonts w:hint="eastAsia"/>
          <w:color w:val="auto"/>
          <w:highlight w:val="none"/>
          <w:lang w:val="en-US" w:eastAsia="zh-CN"/>
        </w:rPr>
        <w:fldChar w:fldCharType="end"/>
      </w:r>
    </w:p>
    <w:p>
      <w:pPr>
        <w:pStyle w:val="12"/>
        <w:tabs>
          <w:tab w:val="right" w:leader="dot" w:pos="9072"/>
        </w:tabs>
        <w:ind w:left="0" w:leftChars="0" w:firstLine="0" w:firstLineChars="0"/>
        <w:jc w:val="both"/>
        <w:rPr>
          <w:highlight w:val="none"/>
        </w:rPr>
      </w:pPr>
      <w:r>
        <w:rPr>
          <w:rFonts w:hint="eastAsia"/>
          <w:color w:val="auto"/>
          <w:highlight w:val="none"/>
          <w:lang w:val="en-US" w:eastAsia="zh-CN"/>
        </w:rPr>
        <w:fldChar w:fldCharType="begin"/>
      </w:r>
      <w:r>
        <w:rPr>
          <w:rFonts w:hint="eastAsia"/>
          <w:highlight w:val="none"/>
          <w:lang w:val="en-US" w:eastAsia="zh-CN"/>
        </w:rPr>
        <w:instrText xml:space="preserve"> HYPERLINK \l _Toc31718 </w:instrText>
      </w:r>
      <w:r>
        <w:rPr>
          <w:rFonts w:hint="eastAsia"/>
          <w:highlight w:val="none"/>
          <w:lang w:val="en-US" w:eastAsia="zh-CN"/>
        </w:rPr>
        <w:fldChar w:fldCharType="separate"/>
      </w:r>
      <w:r>
        <w:rPr>
          <w:rFonts w:hint="eastAsia"/>
          <w:highlight w:val="none"/>
          <w:lang w:val="en-US" w:eastAsia="zh-CN"/>
        </w:rPr>
        <w:t>四、提升水旱灾害防御能力</w:t>
      </w:r>
      <w:r>
        <w:rPr>
          <w:highlight w:val="none"/>
        </w:rPr>
        <w:tab/>
      </w:r>
      <w:r>
        <w:rPr>
          <w:highlight w:val="none"/>
        </w:rPr>
        <w:fldChar w:fldCharType="begin"/>
      </w:r>
      <w:r>
        <w:rPr>
          <w:highlight w:val="none"/>
        </w:rPr>
        <w:instrText xml:space="preserve"> PAGEREF _Toc31718 \h </w:instrText>
      </w:r>
      <w:r>
        <w:rPr>
          <w:highlight w:val="none"/>
        </w:rPr>
        <w:fldChar w:fldCharType="separate"/>
      </w:r>
      <w:r>
        <w:rPr>
          <w:highlight w:val="none"/>
        </w:rPr>
        <w:t>13</w:t>
      </w:r>
      <w:r>
        <w:rPr>
          <w:highlight w:val="none"/>
        </w:rPr>
        <w:fldChar w:fldCharType="end"/>
      </w:r>
      <w:r>
        <w:rPr>
          <w:rFonts w:hint="eastAsia"/>
          <w:color w:val="auto"/>
          <w:highlight w:val="none"/>
          <w:lang w:val="en-US" w:eastAsia="zh-CN"/>
        </w:rPr>
        <w:fldChar w:fldCharType="end"/>
      </w:r>
    </w:p>
    <w:p>
      <w:pPr>
        <w:pStyle w:val="12"/>
        <w:tabs>
          <w:tab w:val="right" w:leader="dot" w:pos="9072"/>
        </w:tabs>
        <w:ind w:left="0" w:leftChars="0" w:firstLine="0" w:firstLineChars="0"/>
        <w:jc w:val="both"/>
        <w:rPr>
          <w:highlight w:val="none"/>
        </w:rPr>
      </w:pPr>
      <w:r>
        <w:rPr>
          <w:rFonts w:hint="eastAsia"/>
          <w:color w:val="auto"/>
          <w:highlight w:val="none"/>
          <w:lang w:val="en-US" w:eastAsia="zh-CN"/>
        </w:rPr>
        <w:fldChar w:fldCharType="begin"/>
      </w:r>
      <w:r>
        <w:rPr>
          <w:rFonts w:hint="eastAsia"/>
          <w:highlight w:val="none"/>
          <w:lang w:val="en-US" w:eastAsia="zh-CN"/>
        </w:rPr>
        <w:instrText xml:space="preserve"> HYPERLINK \l _Toc26583 </w:instrText>
      </w:r>
      <w:r>
        <w:rPr>
          <w:rFonts w:hint="eastAsia"/>
          <w:highlight w:val="none"/>
          <w:lang w:val="en-US" w:eastAsia="zh-CN"/>
        </w:rPr>
        <w:fldChar w:fldCharType="separate"/>
      </w:r>
      <w:r>
        <w:rPr>
          <w:rFonts w:hint="eastAsia"/>
          <w:highlight w:val="none"/>
          <w:lang w:val="en-US" w:eastAsia="zh-CN"/>
        </w:rPr>
        <w:t>五、综合治理河湖生态环境</w:t>
      </w:r>
      <w:r>
        <w:rPr>
          <w:highlight w:val="none"/>
        </w:rPr>
        <w:tab/>
      </w:r>
      <w:r>
        <w:rPr>
          <w:highlight w:val="none"/>
        </w:rPr>
        <w:fldChar w:fldCharType="begin"/>
      </w:r>
      <w:r>
        <w:rPr>
          <w:highlight w:val="none"/>
        </w:rPr>
        <w:instrText xml:space="preserve"> PAGEREF _Toc26583 \h </w:instrText>
      </w:r>
      <w:r>
        <w:rPr>
          <w:highlight w:val="none"/>
        </w:rPr>
        <w:fldChar w:fldCharType="separate"/>
      </w:r>
      <w:r>
        <w:rPr>
          <w:highlight w:val="none"/>
        </w:rPr>
        <w:t>16</w:t>
      </w:r>
      <w:r>
        <w:rPr>
          <w:highlight w:val="none"/>
        </w:rPr>
        <w:fldChar w:fldCharType="end"/>
      </w:r>
      <w:r>
        <w:rPr>
          <w:rFonts w:hint="eastAsia"/>
          <w:color w:val="auto"/>
          <w:highlight w:val="none"/>
          <w:lang w:val="en-US" w:eastAsia="zh-CN"/>
        </w:rPr>
        <w:fldChar w:fldCharType="end"/>
      </w:r>
    </w:p>
    <w:p>
      <w:pPr>
        <w:pStyle w:val="12"/>
        <w:tabs>
          <w:tab w:val="right" w:leader="dot" w:pos="9072"/>
        </w:tabs>
        <w:ind w:left="0" w:leftChars="0" w:firstLine="0" w:firstLineChars="0"/>
        <w:jc w:val="both"/>
        <w:rPr>
          <w:rFonts w:hint="default"/>
          <w:highlight w:val="none"/>
          <w:lang w:val="en-US"/>
        </w:rPr>
      </w:pPr>
      <w:r>
        <w:rPr>
          <w:rFonts w:hint="eastAsia"/>
          <w:color w:val="auto"/>
          <w:highlight w:val="none"/>
          <w:lang w:val="en-US" w:eastAsia="zh-CN"/>
        </w:rPr>
        <w:fldChar w:fldCharType="begin"/>
      </w:r>
      <w:r>
        <w:rPr>
          <w:rFonts w:hint="eastAsia"/>
          <w:highlight w:val="none"/>
          <w:lang w:val="en-US" w:eastAsia="zh-CN"/>
        </w:rPr>
        <w:instrText xml:space="preserve"> HYPERLINK \l _Toc1082 </w:instrText>
      </w:r>
      <w:r>
        <w:rPr>
          <w:rFonts w:hint="eastAsia"/>
          <w:highlight w:val="none"/>
          <w:lang w:val="en-US" w:eastAsia="zh-CN"/>
        </w:rPr>
        <w:fldChar w:fldCharType="separate"/>
      </w:r>
      <w:r>
        <w:rPr>
          <w:rFonts w:hint="eastAsia"/>
          <w:highlight w:val="none"/>
          <w:lang w:val="en-US" w:eastAsia="zh-CN"/>
        </w:rPr>
        <w:t>六、推进智慧水利建设</w:t>
      </w:r>
      <w:r>
        <w:rPr>
          <w:highlight w:val="none"/>
        </w:rPr>
        <w:tab/>
      </w:r>
      <w:r>
        <w:rPr>
          <w:rFonts w:hint="eastAsia"/>
          <w:highlight w:val="none"/>
          <w:lang w:val="en-US" w:eastAsia="zh-CN"/>
        </w:rPr>
        <w:t>2</w:t>
      </w:r>
      <w:r>
        <w:rPr>
          <w:rFonts w:hint="eastAsia"/>
          <w:color w:val="auto"/>
          <w:highlight w:val="none"/>
          <w:lang w:val="en-US" w:eastAsia="zh-CN"/>
        </w:rPr>
        <w:fldChar w:fldCharType="end"/>
      </w:r>
      <w:r>
        <w:rPr>
          <w:rFonts w:hint="eastAsia"/>
          <w:color w:val="auto"/>
          <w:highlight w:val="none"/>
          <w:lang w:val="en-US" w:eastAsia="zh-CN"/>
        </w:rPr>
        <w:t>1</w:t>
      </w:r>
    </w:p>
    <w:p>
      <w:pPr>
        <w:pStyle w:val="12"/>
        <w:tabs>
          <w:tab w:val="right" w:leader="dot" w:pos="9072"/>
        </w:tabs>
        <w:ind w:left="0" w:leftChars="0" w:firstLine="0" w:firstLineChars="0"/>
        <w:jc w:val="both"/>
        <w:rPr>
          <w:rFonts w:hint="default"/>
          <w:highlight w:val="none"/>
          <w:lang w:val="en-US"/>
        </w:rPr>
      </w:pPr>
      <w:r>
        <w:rPr>
          <w:rFonts w:hint="eastAsia"/>
          <w:color w:val="auto"/>
          <w:highlight w:val="none"/>
          <w:lang w:val="en-US" w:eastAsia="zh-CN"/>
        </w:rPr>
        <w:fldChar w:fldCharType="begin"/>
      </w:r>
      <w:r>
        <w:rPr>
          <w:rFonts w:hint="eastAsia"/>
          <w:highlight w:val="none"/>
          <w:lang w:val="en-US" w:eastAsia="zh-CN"/>
        </w:rPr>
        <w:instrText xml:space="preserve"> HYPERLINK \l _Toc31582 </w:instrText>
      </w:r>
      <w:r>
        <w:rPr>
          <w:rFonts w:hint="eastAsia"/>
          <w:highlight w:val="none"/>
          <w:lang w:val="en-US" w:eastAsia="zh-CN"/>
        </w:rPr>
        <w:fldChar w:fldCharType="separate"/>
      </w:r>
      <w:r>
        <w:rPr>
          <w:rFonts w:hint="eastAsia"/>
          <w:highlight w:val="none"/>
          <w:lang w:val="en-US" w:eastAsia="zh-CN"/>
        </w:rPr>
        <w:t>七、提升水利治理能力法治效能</w:t>
      </w:r>
      <w:r>
        <w:rPr>
          <w:highlight w:val="none"/>
        </w:rPr>
        <w:tab/>
      </w:r>
      <w:r>
        <w:rPr>
          <w:rFonts w:hint="eastAsia"/>
          <w:highlight w:val="none"/>
          <w:lang w:val="en-US" w:eastAsia="zh-CN"/>
        </w:rPr>
        <w:t>2</w:t>
      </w:r>
      <w:r>
        <w:rPr>
          <w:rFonts w:hint="eastAsia"/>
          <w:color w:val="auto"/>
          <w:highlight w:val="none"/>
          <w:lang w:val="en-US" w:eastAsia="zh-CN"/>
        </w:rPr>
        <w:fldChar w:fldCharType="end"/>
      </w:r>
      <w:r>
        <w:rPr>
          <w:rFonts w:hint="eastAsia"/>
          <w:color w:val="auto"/>
          <w:highlight w:val="none"/>
          <w:lang w:val="en-US" w:eastAsia="zh-CN"/>
        </w:rPr>
        <w:t>2</w:t>
      </w:r>
    </w:p>
    <w:p>
      <w:pPr>
        <w:pStyle w:val="12"/>
        <w:tabs>
          <w:tab w:val="right" w:leader="dot" w:pos="9072"/>
        </w:tabs>
        <w:ind w:left="0" w:leftChars="0" w:firstLine="0" w:firstLineChars="0"/>
        <w:jc w:val="both"/>
        <w:rPr>
          <w:rFonts w:hint="default"/>
          <w:highlight w:val="none"/>
          <w:lang w:val="en-US"/>
        </w:rPr>
      </w:pPr>
      <w:r>
        <w:rPr>
          <w:rFonts w:hint="eastAsia"/>
          <w:color w:val="auto"/>
          <w:highlight w:val="none"/>
          <w:lang w:val="en-US" w:eastAsia="zh-CN"/>
        </w:rPr>
        <w:fldChar w:fldCharType="begin"/>
      </w:r>
      <w:r>
        <w:rPr>
          <w:rFonts w:hint="eastAsia"/>
          <w:highlight w:val="none"/>
          <w:lang w:val="en-US" w:eastAsia="zh-CN"/>
        </w:rPr>
        <w:instrText xml:space="preserve"> HYPERLINK \l _Toc10811 </w:instrText>
      </w:r>
      <w:r>
        <w:rPr>
          <w:rFonts w:hint="eastAsia"/>
          <w:highlight w:val="none"/>
          <w:lang w:val="en-US" w:eastAsia="zh-CN"/>
        </w:rPr>
        <w:fldChar w:fldCharType="separate"/>
      </w:r>
      <w:r>
        <w:rPr>
          <w:rFonts w:hint="eastAsia"/>
          <w:highlight w:val="none"/>
          <w:lang w:val="en-US" w:eastAsia="zh-CN"/>
        </w:rPr>
        <w:t>八、环境影响评价</w:t>
      </w:r>
      <w:r>
        <w:rPr>
          <w:highlight w:val="none"/>
        </w:rPr>
        <w:tab/>
      </w:r>
      <w:r>
        <w:rPr>
          <w:rFonts w:hint="eastAsia"/>
          <w:highlight w:val="none"/>
          <w:lang w:val="en-US" w:eastAsia="zh-CN"/>
        </w:rPr>
        <w:t>2</w:t>
      </w:r>
      <w:r>
        <w:rPr>
          <w:rFonts w:hint="eastAsia"/>
          <w:color w:val="auto"/>
          <w:highlight w:val="none"/>
          <w:lang w:val="en-US" w:eastAsia="zh-CN"/>
        </w:rPr>
        <w:fldChar w:fldCharType="end"/>
      </w:r>
      <w:r>
        <w:rPr>
          <w:rFonts w:hint="eastAsia"/>
          <w:color w:val="auto"/>
          <w:highlight w:val="none"/>
          <w:lang w:val="en-US" w:eastAsia="zh-CN"/>
        </w:rPr>
        <w:t>9</w:t>
      </w:r>
    </w:p>
    <w:p>
      <w:pPr>
        <w:pStyle w:val="12"/>
        <w:tabs>
          <w:tab w:val="right" w:leader="dot" w:pos="9072"/>
        </w:tabs>
        <w:ind w:left="0" w:leftChars="0" w:firstLine="0" w:firstLineChars="0"/>
        <w:jc w:val="both"/>
        <w:rPr>
          <w:rFonts w:hint="default"/>
          <w:highlight w:val="none"/>
          <w:lang w:val="en-US"/>
        </w:rPr>
      </w:pPr>
      <w:r>
        <w:rPr>
          <w:rFonts w:hint="eastAsia"/>
          <w:color w:val="auto"/>
          <w:highlight w:val="none"/>
          <w:lang w:val="en-US" w:eastAsia="zh-CN"/>
        </w:rPr>
        <w:fldChar w:fldCharType="begin"/>
      </w:r>
      <w:r>
        <w:rPr>
          <w:rFonts w:hint="eastAsia"/>
          <w:highlight w:val="none"/>
          <w:lang w:val="en-US" w:eastAsia="zh-CN"/>
        </w:rPr>
        <w:instrText xml:space="preserve"> HYPERLINK \l _Toc13621 </w:instrText>
      </w:r>
      <w:r>
        <w:rPr>
          <w:rFonts w:hint="eastAsia"/>
          <w:highlight w:val="none"/>
          <w:lang w:val="en-US" w:eastAsia="zh-CN"/>
        </w:rPr>
        <w:fldChar w:fldCharType="separate"/>
      </w:r>
      <w:r>
        <w:rPr>
          <w:rFonts w:hint="eastAsia"/>
          <w:highlight w:val="none"/>
          <w:lang w:val="en-US" w:eastAsia="zh-CN"/>
        </w:rPr>
        <w:t>九、保障措施</w:t>
      </w:r>
      <w:r>
        <w:rPr>
          <w:highlight w:val="none"/>
        </w:rPr>
        <w:tab/>
      </w:r>
      <w:r>
        <w:rPr>
          <w:rFonts w:hint="eastAsia"/>
          <w:highlight w:val="none"/>
          <w:lang w:val="en-US" w:eastAsia="zh-CN"/>
        </w:rPr>
        <w:t>3</w:t>
      </w:r>
      <w:r>
        <w:rPr>
          <w:rFonts w:hint="eastAsia"/>
          <w:color w:val="auto"/>
          <w:highlight w:val="none"/>
          <w:lang w:val="en-US" w:eastAsia="zh-CN"/>
        </w:rPr>
        <w:fldChar w:fldCharType="end"/>
      </w:r>
      <w:r>
        <w:rPr>
          <w:rFonts w:hint="eastAsia"/>
          <w:color w:val="auto"/>
          <w:highlight w:val="none"/>
          <w:lang w:val="en-US" w:eastAsia="zh-CN"/>
        </w:rPr>
        <w:t>4</w:t>
      </w:r>
    </w:p>
    <w:p>
      <w:pPr>
        <w:pStyle w:val="2"/>
        <w:bidi w:val="0"/>
        <w:ind w:left="0" w:leftChars="0" w:firstLine="0" w:firstLineChars="0"/>
        <w:jc w:val="both"/>
        <w:rPr>
          <w:rFonts w:hint="eastAsia"/>
          <w:color w:val="auto"/>
          <w:highlight w:val="none"/>
          <w:lang w:val="en-US" w:eastAsia="zh-CN"/>
        </w:rPr>
        <w:sectPr>
          <w:headerReference r:id="rId11" w:type="default"/>
          <w:footerReference r:id="rId12" w:type="default"/>
          <w:pgSz w:w="11906" w:h="16838"/>
          <w:pgMar w:top="1616" w:right="1417" w:bottom="1616" w:left="1417" w:header="850" w:footer="992" w:gutter="0"/>
          <w:pgNumType w:fmt="decimal"/>
          <w:cols w:space="720" w:num="1"/>
          <w:docGrid w:type="lines" w:linePitch="312" w:charSpace="0"/>
        </w:sectPr>
      </w:pPr>
    </w:p>
    <w:p>
      <w:pPr>
        <w:pStyle w:val="2"/>
        <w:bidi w:val="0"/>
        <w:ind w:left="0" w:leftChars="0" w:firstLine="0" w:firstLineChars="0"/>
        <w:jc w:val="both"/>
        <w:rPr>
          <w:rFonts w:hint="default" w:ascii="Times New Roman" w:hAnsi="Times New Roman" w:eastAsia="黑体" w:cs="Times New Roman"/>
          <w:color w:val="auto"/>
          <w:kern w:val="2"/>
          <w:sz w:val="32"/>
          <w:szCs w:val="28"/>
          <w:highlight w:val="none"/>
          <w:lang w:val="en-US" w:eastAsia="zh-CN" w:bidi="ar-SA"/>
        </w:rPr>
      </w:pPr>
      <w:r>
        <w:rPr>
          <w:rFonts w:hint="eastAsia"/>
          <w:color w:val="auto"/>
          <w:highlight w:val="none"/>
          <w:lang w:val="en-US" w:eastAsia="zh-CN"/>
        </w:rPr>
        <w:fldChar w:fldCharType="end"/>
      </w:r>
      <w:bookmarkStart w:id="49" w:name="_Toc9279"/>
      <w:bookmarkStart w:id="50" w:name="_Toc8503"/>
      <w:bookmarkStart w:id="51" w:name="_Toc1695873632_WPSOffice_Level1"/>
      <w:bookmarkStart w:id="52" w:name="_Toc195289560"/>
      <w:bookmarkStart w:id="53" w:name="_Toc18943"/>
      <w:r>
        <w:rPr>
          <w:rFonts w:hint="eastAsia" w:ascii="Times New Roman" w:hAnsi="Times New Roman" w:eastAsia="黑体" w:cs="Times New Roman"/>
          <w:color w:val="auto"/>
          <w:kern w:val="2"/>
          <w:sz w:val="32"/>
          <w:szCs w:val="28"/>
          <w:highlight w:val="none"/>
          <w:lang w:val="en-US" w:eastAsia="zh-CN" w:bidi="ar-SA"/>
        </w:rPr>
        <w:t>一、总体</w:t>
      </w:r>
      <w:bookmarkEnd w:id="49"/>
      <w:bookmarkEnd w:id="50"/>
      <w:bookmarkEnd w:id="51"/>
      <w:bookmarkEnd w:id="52"/>
      <w:r>
        <w:rPr>
          <w:rFonts w:hint="eastAsia" w:ascii="Times New Roman" w:hAnsi="Times New Roman" w:eastAsia="黑体" w:cs="Times New Roman"/>
          <w:color w:val="auto"/>
          <w:kern w:val="2"/>
          <w:sz w:val="32"/>
          <w:szCs w:val="28"/>
          <w:highlight w:val="none"/>
          <w:lang w:val="en-US" w:eastAsia="zh-CN" w:bidi="ar-SA"/>
        </w:rPr>
        <w:t>要求</w:t>
      </w:r>
      <w:bookmarkEnd w:id="53"/>
    </w:p>
    <w:p>
      <w:pPr>
        <w:bidi w:val="0"/>
        <w:rPr>
          <w:rFonts w:hint="eastAsia"/>
          <w:color w:val="auto"/>
          <w:highlight w:val="none"/>
          <w:lang w:val="en-US" w:eastAsia="zh-CN"/>
        </w:rPr>
      </w:pPr>
      <w:bookmarkStart w:id="54" w:name="_Toc4662"/>
      <w:bookmarkStart w:id="55" w:name="_Toc3943"/>
      <w:bookmarkStart w:id="56" w:name="_Toc195289562"/>
      <w:bookmarkStart w:id="57" w:name="_Toc680871094_WPSOffice_Level2"/>
      <w:r>
        <w:rPr>
          <w:rFonts w:hint="eastAsia"/>
          <w:color w:val="auto"/>
          <w:highlight w:val="none"/>
          <w:lang w:val="en-US" w:eastAsia="zh-CN"/>
        </w:rPr>
        <w:t>坚持以习近平新时代中国特色社会主义思想为指导，深入贯彻党的二十大和二十届历次全会精神，坚定不移践行习近平总书记“节水优先、空间均衡、系统治理、两手发力”治水思路和关于治水重要论述精神，锚定推动水利高质量发展、保障水安全目标，完整准确全面贯彻新发展理念，以水利改革创新为根本动力，以满足人民日益增长的水利需求为根本目的，以全面从严治党为根本保障，全面提升水旱灾害防御能力、水资源节约集约利用能力、水资源优化配置能力、河湖生态保护治理能力，推动事关中国式现代化全局的水安全战略任务取得重大突破，为确保基本实现社会主义现代化取得决定性进展作出水利贡献。</w:t>
      </w:r>
    </w:p>
    <w:bookmarkEnd w:id="54"/>
    <w:bookmarkEnd w:id="55"/>
    <w:bookmarkEnd w:id="56"/>
    <w:bookmarkEnd w:id="57"/>
    <w:p>
      <w:pPr>
        <w:pStyle w:val="26"/>
        <w:bidi w:val="0"/>
        <w:rPr>
          <w:rFonts w:hint="eastAsia" w:eastAsia="黑体"/>
          <w:color w:val="auto"/>
          <w:highlight w:val="none"/>
          <w:lang w:val="en-US" w:eastAsia="zh-CN"/>
        </w:rPr>
      </w:pPr>
      <w:r>
        <w:rPr>
          <w:rFonts w:hint="eastAsia"/>
          <w:color w:val="auto"/>
          <w:highlight w:val="none"/>
          <w:lang w:val="en-US" w:eastAsia="zh-CN"/>
        </w:rPr>
        <w:t xml:space="preserve">   </w:t>
      </w:r>
      <w:r>
        <w:rPr>
          <w:rFonts w:hint="eastAsia"/>
          <w:color w:val="auto"/>
          <w:highlight w:val="none"/>
        </w:rPr>
        <w:t>表2-</w:t>
      </w:r>
      <w:r>
        <w:rPr>
          <w:rFonts w:hint="eastAsia"/>
          <w:color w:val="auto"/>
          <w:highlight w:val="none"/>
          <w:lang w:val="en-US" w:eastAsia="zh-CN"/>
        </w:rPr>
        <w:t xml:space="preserve">1    </w:t>
      </w:r>
      <w:r>
        <w:rPr>
          <w:rFonts w:hint="eastAsia"/>
          <w:color w:val="auto"/>
          <w:highlight w:val="none"/>
          <w:lang w:eastAsia="zh-CN"/>
        </w:rPr>
        <w:t>“</w:t>
      </w:r>
      <w:r>
        <w:rPr>
          <w:rFonts w:hint="eastAsia"/>
          <w:color w:val="auto"/>
          <w:highlight w:val="none"/>
        </w:rPr>
        <w:t>十五五</w:t>
      </w:r>
      <w:r>
        <w:rPr>
          <w:rFonts w:hint="eastAsia"/>
          <w:color w:val="auto"/>
          <w:highlight w:val="none"/>
          <w:lang w:eastAsia="zh-CN"/>
        </w:rPr>
        <w:t>”</w:t>
      </w:r>
      <w:r>
        <w:rPr>
          <w:rFonts w:hint="eastAsia"/>
          <w:color w:val="auto"/>
          <w:highlight w:val="none"/>
        </w:rPr>
        <w:t>水安全保障规划主要指标</w:t>
      </w:r>
      <w:r>
        <w:rPr>
          <w:rFonts w:hint="eastAsia"/>
          <w:color w:val="auto"/>
          <w:highlight w:val="none"/>
          <w:lang w:val="en-US" w:eastAsia="zh-CN"/>
        </w:rPr>
        <w:t>表</w:t>
      </w:r>
    </w:p>
    <w:tbl>
      <w:tblPr>
        <w:tblStyle w:val="1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8"/>
        <w:gridCol w:w="1353"/>
        <w:gridCol w:w="1240"/>
        <w:gridCol w:w="1189"/>
        <w:gridCol w:w="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2450" w:type="pct"/>
            <w:vAlign w:val="center"/>
          </w:tcPr>
          <w:p>
            <w:pPr>
              <w:pStyle w:val="25"/>
              <w:bidi w:val="0"/>
              <w:ind w:firstLine="0" w:firstLineChars="0"/>
              <w:jc w:val="center"/>
              <w:rPr>
                <w:rFonts w:hint="default" w:ascii="Times New Roman" w:hAnsi="Times New Roman" w:cs="Times New Roman"/>
                <w:b w:val="0"/>
                <w:bCs w:val="0"/>
                <w:color w:val="auto"/>
                <w:highlight w:val="none"/>
                <w:lang w:val="en-US" w:eastAsia="zh-CN"/>
              </w:rPr>
            </w:pPr>
            <w:r>
              <w:rPr>
                <w:rFonts w:hint="eastAsia" w:ascii="Times New Roman" w:hAnsi="Times New Roman" w:cs="Times New Roman"/>
                <w:b w:val="0"/>
                <w:bCs w:val="0"/>
                <w:color w:val="auto"/>
                <w:highlight w:val="none"/>
                <w:lang w:val="en-US" w:eastAsia="zh-CN"/>
              </w:rPr>
              <w:t>主要指标</w:t>
            </w:r>
          </w:p>
        </w:tc>
        <w:tc>
          <w:tcPr>
            <w:tcW w:w="728" w:type="pct"/>
            <w:vAlign w:val="center"/>
          </w:tcPr>
          <w:p>
            <w:pPr>
              <w:pStyle w:val="25"/>
              <w:bidi w:val="0"/>
              <w:ind w:firstLine="0" w:firstLineChars="0"/>
              <w:jc w:val="center"/>
              <w:rPr>
                <w:rFonts w:hint="eastAsia" w:ascii="Times New Roman" w:hAnsi="Times New Roman" w:eastAsia="方正仿宋_GBK" w:cs="Times New Roman"/>
                <w:b w:val="0"/>
                <w:bCs w:val="0"/>
                <w:color w:val="auto"/>
                <w:highlight w:val="none"/>
                <w:lang w:val="en-US" w:eastAsia="zh-CN"/>
              </w:rPr>
            </w:pPr>
            <w:r>
              <w:rPr>
                <w:rFonts w:hint="eastAsia" w:ascii="Times New Roman" w:hAnsi="Times New Roman" w:cs="Times New Roman"/>
                <w:b w:val="0"/>
                <w:bCs w:val="0"/>
                <w:color w:val="auto"/>
                <w:highlight w:val="none"/>
                <w:lang w:val="en-US" w:eastAsia="zh-CN"/>
              </w:rPr>
              <w:t>单位</w:t>
            </w:r>
          </w:p>
        </w:tc>
        <w:tc>
          <w:tcPr>
            <w:tcW w:w="668"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b w:val="0"/>
                <w:bCs w:val="0"/>
                <w:color w:val="auto"/>
                <w:highlight w:val="none"/>
                <w:lang w:val="en-US" w:eastAsia="zh-CN"/>
              </w:rPr>
              <w:t>2025年现状值</w:t>
            </w:r>
          </w:p>
        </w:tc>
        <w:tc>
          <w:tcPr>
            <w:tcW w:w="640"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b w:val="0"/>
                <w:bCs w:val="0"/>
                <w:color w:val="auto"/>
                <w:highlight w:val="none"/>
              </w:rPr>
              <w:t>十五五规划目标</w:t>
            </w:r>
          </w:p>
        </w:tc>
        <w:tc>
          <w:tcPr>
            <w:tcW w:w="512"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b w:val="0"/>
                <w:bCs w:val="0"/>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450" w:type="pct"/>
            <w:vAlign w:val="center"/>
          </w:tcPr>
          <w:p>
            <w:pPr>
              <w:pStyle w:val="25"/>
              <w:bidi w:val="0"/>
              <w:ind w:firstLine="0" w:firstLineChars="0"/>
              <w:jc w:val="center"/>
              <w:rPr>
                <w:rFonts w:hint="default" w:ascii="Times New Roman" w:hAnsi="Times New Roman" w:cs="Times New Roman"/>
                <w:b w:val="0"/>
                <w:bCs w:val="0"/>
                <w:color w:val="auto"/>
                <w:highlight w:val="none"/>
                <w:lang w:val="en-US" w:eastAsia="zh-CN"/>
              </w:rPr>
            </w:pPr>
            <w:r>
              <w:rPr>
                <w:rFonts w:hint="eastAsia" w:ascii="Times New Roman" w:hAnsi="Times New Roman" w:cs="Times New Roman"/>
                <w:b w:val="0"/>
                <w:bCs w:val="0"/>
                <w:color w:val="auto"/>
                <w:highlight w:val="none"/>
                <w:lang w:val="en-US" w:eastAsia="zh-CN"/>
              </w:rPr>
              <w:t>1、万元国内生产总值用水量下降率</w:t>
            </w:r>
          </w:p>
        </w:tc>
        <w:tc>
          <w:tcPr>
            <w:tcW w:w="728"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color w:val="auto"/>
                <w:highlight w:val="none"/>
              </w:rPr>
              <w:t>%</w:t>
            </w:r>
          </w:p>
        </w:tc>
        <w:tc>
          <w:tcPr>
            <w:tcW w:w="668"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cs="Times New Roman"/>
                <w:b w:val="0"/>
                <w:bCs w:val="0"/>
                <w:color w:val="auto"/>
                <w:highlight w:val="none"/>
                <w:lang w:val="en-US" w:eastAsia="zh-CN"/>
              </w:rPr>
              <w:t>【28.53】</w:t>
            </w:r>
          </w:p>
        </w:tc>
        <w:tc>
          <w:tcPr>
            <w:tcW w:w="640" w:type="pct"/>
            <w:vAlign w:val="center"/>
          </w:tcPr>
          <w:p>
            <w:pPr>
              <w:pStyle w:val="25"/>
              <w:bidi w:val="0"/>
              <w:ind w:firstLine="0" w:firstLineChars="0"/>
              <w:jc w:val="center"/>
              <w:rPr>
                <w:rFonts w:hint="default" w:ascii="Times New Roman" w:hAnsi="Times New Roman" w:eastAsia="宋体" w:cs="Times New Roman"/>
                <w:b w:val="0"/>
                <w:bCs w:val="0"/>
                <w:color w:val="auto"/>
                <w:highlight w:val="none"/>
                <w:lang w:val="en-US" w:eastAsia="zh-CN"/>
              </w:rPr>
            </w:pPr>
            <w:r>
              <w:rPr>
                <w:rFonts w:hint="eastAsia" w:ascii="宋体" w:hAnsi="宋体" w:eastAsia="宋体" w:cs="宋体"/>
                <w:b w:val="0"/>
                <w:bCs w:val="0"/>
                <w:color w:val="auto"/>
                <w:highlight w:val="none"/>
                <w:lang w:eastAsia="zh-CN"/>
              </w:rPr>
              <w:t>【</w:t>
            </w:r>
            <w:r>
              <w:rPr>
                <w:rFonts w:hint="eastAsia" w:ascii="宋体" w:hAnsi="宋体" w:eastAsia="宋体" w:cs="宋体"/>
                <w:b w:val="0"/>
                <w:bCs w:val="0"/>
                <w:color w:val="auto"/>
                <w:highlight w:val="none"/>
                <w:lang w:val="en-US" w:eastAsia="zh-CN"/>
              </w:rPr>
              <w:t>10】</w:t>
            </w:r>
          </w:p>
        </w:tc>
        <w:tc>
          <w:tcPr>
            <w:tcW w:w="512" w:type="pct"/>
            <w:vAlign w:val="center"/>
          </w:tcPr>
          <w:p>
            <w:pPr>
              <w:pStyle w:val="25"/>
              <w:bidi w:val="0"/>
              <w:ind w:firstLine="0" w:firstLineChars="0"/>
              <w:rPr>
                <w:rFonts w:hint="eastAsia" w:ascii="Times New Roman" w:hAnsi="Times New Roman" w:cs="Times New Roman"/>
                <w:b/>
                <w:bCs/>
                <w:color w:val="auto"/>
                <w:highlight w:val="none"/>
              </w:rPr>
            </w:pPr>
            <w:r>
              <w:rPr>
                <w:rFonts w:hint="eastAsia"/>
                <w:b/>
                <w:bCs/>
                <w:color w:val="auto"/>
                <w:highlight w:val="none"/>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2450" w:type="pct"/>
            <w:vAlign w:val="center"/>
          </w:tcPr>
          <w:p>
            <w:pPr>
              <w:pStyle w:val="25"/>
              <w:bidi w:val="0"/>
              <w:ind w:firstLine="0" w:firstLineChars="0"/>
              <w:jc w:val="center"/>
              <w:rPr>
                <w:rFonts w:hint="default" w:ascii="Times New Roman" w:hAnsi="Times New Roman" w:cs="Times New Roman"/>
                <w:b w:val="0"/>
                <w:bCs w:val="0"/>
                <w:color w:val="auto"/>
                <w:highlight w:val="none"/>
                <w:lang w:val="en-US" w:eastAsia="zh-CN"/>
              </w:rPr>
            </w:pPr>
            <w:r>
              <w:rPr>
                <w:rFonts w:hint="eastAsia" w:ascii="Times New Roman" w:hAnsi="Times New Roman" w:cs="Times New Roman"/>
                <w:b w:val="0"/>
                <w:bCs w:val="0"/>
                <w:color w:val="auto"/>
                <w:highlight w:val="none"/>
                <w:lang w:val="en-US" w:eastAsia="zh-CN"/>
              </w:rPr>
              <w:t>其中：万元工业增加值用水量下降率</w:t>
            </w:r>
          </w:p>
        </w:tc>
        <w:tc>
          <w:tcPr>
            <w:tcW w:w="728"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color w:val="auto"/>
                <w:highlight w:val="none"/>
              </w:rPr>
              <w:t>%</w:t>
            </w:r>
          </w:p>
        </w:tc>
        <w:tc>
          <w:tcPr>
            <w:tcW w:w="668"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w:t>
            </w:r>
            <w:r>
              <w:rPr>
                <w:rFonts w:hint="eastAsia" w:ascii="Times New Roman" w:hAnsi="Times New Roman" w:cs="Times New Roman"/>
                <w:b w:val="0"/>
                <w:bCs w:val="0"/>
                <w:color w:val="auto"/>
                <w:highlight w:val="none"/>
                <w:lang w:val="en-US" w:eastAsia="zh-CN"/>
              </w:rPr>
              <w:t>18.73</w:t>
            </w:r>
            <w:r>
              <w:rPr>
                <w:rFonts w:hint="eastAsia" w:cs="Times New Roman"/>
                <w:b w:val="0"/>
                <w:bCs w:val="0"/>
                <w:color w:val="auto"/>
                <w:highlight w:val="none"/>
                <w:lang w:val="en-US" w:eastAsia="zh-CN"/>
              </w:rPr>
              <w:t>】</w:t>
            </w:r>
          </w:p>
        </w:tc>
        <w:tc>
          <w:tcPr>
            <w:tcW w:w="640" w:type="pct"/>
            <w:vAlign w:val="center"/>
          </w:tcPr>
          <w:p>
            <w:pPr>
              <w:pStyle w:val="25"/>
              <w:bidi w:val="0"/>
              <w:ind w:firstLine="0" w:firstLineChars="0"/>
              <w:jc w:val="center"/>
              <w:rPr>
                <w:rFonts w:hint="eastAsia" w:ascii="Times New Roman" w:hAnsi="Times New Roman" w:eastAsia="方正仿宋_GBK" w:cs="Times New Roman"/>
                <w:b w:val="0"/>
                <w:bCs w:val="0"/>
                <w:color w:val="auto"/>
                <w:highlight w:val="none"/>
                <w:lang w:eastAsia="zh-CN"/>
              </w:rPr>
            </w:pPr>
            <w:r>
              <w:rPr>
                <w:rFonts w:hint="eastAsia"/>
                <w:color w:val="auto"/>
                <w:highlight w:val="none"/>
                <w:lang w:eastAsia="zh-CN"/>
              </w:rPr>
              <w:t>【</w:t>
            </w:r>
            <w:r>
              <w:rPr>
                <w:rFonts w:hint="eastAsia"/>
                <w:color w:val="auto"/>
                <w:highlight w:val="none"/>
              </w:rPr>
              <w:t>≥</w:t>
            </w:r>
            <w:r>
              <w:rPr>
                <w:rFonts w:hint="eastAsia"/>
                <w:color w:val="auto"/>
                <w:highlight w:val="none"/>
                <w:lang w:val="en-US" w:eastAsia="zh-CN"/>
              </w:rPr>
              <w:t>4】</w:t>
            </w:r>
          </w:p>
        </w:tc>
        <w:tc>
          <w:tcPr>
            <w:tcW w:w="512" w:type="pct"/>
            <w:vAlign w:val="center"/>
          </w:tcPr>
          <w:p>
            <w:pPr>
              <w:pStyle w:val="25"/>
              <w:bidi w:val="0"/>
              <w:ind w:firstLine="0" w:firstLineChars="0"/>
              <w:rPr>
                <w:rFonts w:hint="eastAsia" w:ascii="Times New Roman" w:hAnsi="Times New Roman" w:cs="Times New Roman"/>
                <w:b/>
                <w:bCs/>
                <w:color w:val="auto"/>
                <w:highlight w:val="none"/>
              </w:rPr>
            </w:pPr>
            <w:r>
              <w:rPr>
                <w:rFonts w:hint="eastAsia"/>
                <w:b/>
                <w:bCs/>
                <w:color w:val="auto"/>
                <w:highlight w:val="none"/>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2450" w:type="pct"/>
            <w:vAlign w:val="center"/>
          </w:tcPr>
          <w:p>
            <w:pPr>
              <w:pStyle w:val="25"/>
              <w:bidi w:val="0"/>
              <w:ind w:firstLine="0" w:firstLineChars="0"/>
              <w:jc w:val="center"/>
              <w:rPr>
                <w:rFonts w:hint="default" w:ascii="Times New Roman" w:hAnsi="Times New Roman" w:cs="Times New Roman"/>
                <w:b w:val="0"/>
                <w:bCs w:val="0"/>
                <w:color w:val="auto"/>
                <w:highlight w:val="none"/>
                <w:lang w:val="en-US" w:eastAsia="zh-CN"/>
              </w:rPr>
            </w:pPr>
            <w:r>
              <w:rPr>
                <w:rFonts w:hint="eastAsia" w:ascii="Times New Roman" w:hAnsi="Times New Roman" w:cs="Times New Roman"/>
                <w:b w:val="0"/>
                <w:bCs w:val="0"/>
                <w:color w:val="auto"/>
                <w:highlight w:val="none"/>
                <w:lang w:val="en-US" w:eastAsia="zh-CN"/>
              </w:rPr>
              <w:t>2、农田灌溉水有效利用系数</w:t>
            </w:r>
          </w:p>
        </w:tc>
        <w:tc>
          <w:tcPr>
            <w:tcW w:w="728" w:type="pct"/>
            <w:vAlign w:val="center"/>
          </w:tcPr>
          <w:p>
            <w:pPr>
              <w:pStyle w:val="25"/>
              <w:bidi w:val="0"/>
              <w:ind w:firstLine="0" w:firstLineChars="0"/>
              <w:jc w:val="center"/>
              <w:rPr>
                <w:rFonts w:hint="eastAsia" w:ascii="Times New Roman" w:hAnsi="Times New Roman" w:eastAsia="方正仿宋_GBK" w:cs="Times New Roman"/>
                <w:b w:val="0"/>
                <w:bCs w:val="0"/>
                <w:color w:val="auto"/>
                <w:highlight w:val="none"/>
                <w:lang w:val="en-US" w:eastAsia="zh-CN"/>
              </w:rPr>
            </w:pPr>
            <w:r>
              <w:rPr>
                <w:rFonts w:hint="eastAsia" w:ascii="Times New Roman" w:hAnsi="Times New Roman" w:cs="Times New Roman"/>
                <w:b w:val="0"/>
                <w:bCs w:val="0"/>
                <w:color w:val="auto"/>
                <w:highlight w:val="none"/>
                <w:lang w:val="en-US" w:eastAsia="zh-CN"/>
              </w:rPr>
              <w:t>/</w:t>
            </w:r>
          </w:p>
        </w:tc>
        <w:tc>
          <w:tcPr>
            <w:tcW w:w="668"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w:t>
            </w:r>
            <w:r>
              <w:rPr>
                <w:rFonts w:hint="eastAsia" w:ascii="Times New Roman" w:hAnsi="Times New Roman" w:cs="Times New Roman"/>
                <w:b w:val="0"/>
                <w:bCs w:val="0"/>
                <w:color w:val="auto"/>
                <w:highlight w:val="none"/>
                <w:lang w:val="en-US" w:eastAsia="zh-CN"/>
              </w:rPr>
              <w:t>0.571</w:t>
            </w:r>
            <w:r>
              <w:rPr>
                <w:rFonts w:hint="eastAsia" w:cs="Times New Roman"/>
                <w:b w:val="0"/>
                <w:bCs w:val="0"/>
                <w:color w:val="auto"/>
                <w:highlight w:val="none"/>
                <w:lang w:val="en-US" w:eastAsia="zh-CN"/>
              </w:rPr>
              <w:t>】</w:t>
            </w:r>
          </w:p>
        </w:tc>
        <w:tc>
          <w:tcPr>
            <w:tcW w:w="640"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w:t>
            </w:r>
            <w:r>
              <w:rPr>
                <w:rFonts w:hint="eastAsia" w:ascii="Times New Roman" w:hAnsi="Times New Roman" w:cs="Times New Roman"/>
                <w:b w:val="0"/>
                <w:bCs w:val="0"/>
                <w:color w:val="auto"/>
                <w:highlight w:val="none"/>
                <w:lang w:val="en-US" w:eastAsia="zh-CN"/>
              </w:rPr>
              <w:t>0.5</w:t>
            </w:r>
            <w:r>
              <w:rPr>
                <w:rFonts w:hint="eastAsia" w:cs="Times New Roman"/>
                <w:b w:val="0"/>
                <w:bCs w:val="0"/>
                <w:color w:val="auto"/>
                <w:highlight w:val="none"/>
                <w:lang w:val="en-US" w:eastAsia="zh-CN"/>
              </w:rPr>
              <w:t>9】</w:t>
            </w:r>
          </w:p>
        </w:tc>
        <w:tc>
          <w:tcPr>
            <w:tcW w:w="512"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color w:val="auto"/>
                <w:highlight w:val="none"/>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50" w:type="pct"/>
            <w:vAlign w:val="center"/>
          </w:tcPr>
          <w:p>
            <w:pPr>
              <w:pStyle w:val="25"/>
              <w:bidi w:val="0"/>
              <w:ind w:firstLine="0" w:firstLineChars="0"/>
              <w:jc w:val="center"/>
              <w:rPr>
                <w:rFonts w:hint="default" w:ascii="Times New Roman" w:hAnsi="Times New Roman" w:cs="Times New Roman"/>
                <w:b w:val="0"/>
                <w:bCs w:val="0"/>
                <w:color w:val="auto"/>
                <w:highlight w:val="none"/>
                <w:lang w:val="en-US" w:eastAsia="zh-CN"/>
              </w:rPr>
            </w:pPr>
            <w:r>
              <w:rPr>
                <w:rFonts w:hint="eastAsia" w:ascii="Times New Roman" w:hAnsi="Times New Roman" w:cs="Times New Roman"/>
                <w:b w:val="0"/>
                <w:bCs w:val="0"/>
                <w:color w:val="auto"/>
                <w:highlight w:val="none"/>
                <w:lang w:val="en-US" w:eastAsia="zh-CN"/>
              </w:rPr>
              <w:t>3、非常规水利用量</w:t>
            </w:r>
          </w:p>
        </w:tc>
        <w:tc>
          <w:tcPr>
            <w:tcW w:w="728"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ascii="Times New Roman" w:hAnsi="Times New Roman" w:cs="Times New Roman"/>
                <w:b w:val="0"/>
                <w:bCs w:val="0"/>
                <w:color w:val="auto"/>
                <w:highlight w:val="none"/>
                <w:lang w:val="en-US" w:eastAsia="zh-CN"/>
              </w:rPr>
              <w:t>亿立方米</w:t>
            </w:r>
          </w:p>
        </w:tc>
        <w:tc>
          <w:tcPr>
            <w:tcW w:w="668"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【0.76】</w:t>
            </w:r>
          </w:p>
        </w:tc>
        <w:tc>
          <w:tcPr>
            <w:tcW w:w="640"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cs="Times New Roman"/>
                <w:b w:val="0"/>
                <w:bCs w:val="0"/>
                <w:color w:val="auto"/>
                <w:highlight w:val="none"/>
                <w:lang w:val="en-US" w:eastAsia="zh-CN"/>
              </w:rPr>
              <w:t>【0.47】</w:t>
            </w:r>
          </w:p>
        </w:tc>
        <w:tc>
          <w:tcPr>
            <w:tcW w:w="512"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color w:val="auto"/>
                <w:highlight w:val="none"/>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2450"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4</w:t>
            </w:r>
            <w:r>
              <w:rPr>
                <w:rFonts w:hint="eastAsia" w:ascii="Times New Roman" w:hAnsi="Times New Roman" w:cs="Times New Roman"/>
                <w:b w:val="0"/>
                <w:bCs w:val="0"/>
                <w:color w:val="auto"/>
                <w:highlight w:val="none"/>
                <w:lang w:val="en-US" w:eastAsia="zh-CN"/>
              </w:rPr>
              <w:t>、新增水库库容</w:t>
            </w:r>
          </w:p>
        </w:tc>
        <w:tc>
          <w:tcPr>
            <w:tcW w:w="728"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ascii="Times New Roman" w:hAnsi="Times New Roman" w:cs="Times New Roman"/>
                <w:b w:val="0"/>
                <w:bCs w:val="0"/>
                <w:color w:val="auto"/>
                <w:highlight w:val="none"/>
                <w:lang w:val="en-US" w:eastAsia="zh-CN"/>
              </w:rPr>
              <w:t>亿立方米</w:t>
            </w:r>
          </w:p>
        </w:tc>
        <w:tc>
          <w:tcPr>
            <w:tcW w:w="668"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1.07</w:t>
            </w:r>
          </w:p>
        </w:tc>
        <w:tc>
          <w:tcPr>
            <w:tcW w:w="640"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0.4</w:t>
            </w:r>
          </w:p>
        </w:tc>
        <w:tc>
          <w:tcPr>
            <w:tcW w:w="512" w:type="pct"/>
            <w:vAlign w:val="center"/>
          </w:tcPr>
          <w:p>
            <w:pPr>
              <w:pStyle w:val="25"/>
              <w:bidi w:val="0"/>
              <w:ind w:firstLine="0" w:firstLineChars="0"/>
              <w:jc w:val="center"/>
              <w:rPr>
                <w:rFonts w:hint="eastAsia" w:ascii="Times New Roman" w:hAnsi="Times New Roman" w:cs="Times New Roman"/>
                <w:b/>
                <w:bCs/>
                <w:color w:val="auto"/>
                <w:highlight w:val="none"/>
              </w:rPr>
            </w:pPr>
            <w:r>
              <w:rPr>
                <w:rFonts w:hint="eastAsia"/>
                <w:color w:val="auto"/>
                <w:highlight w:val="none"/>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50"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5</w:t>
            </w:r>
            <w:r>
              <w:rPr>
                <w:rFonts w:hint="eastAsia" w:ascii="Times New Roman" w:hAnsi="Times New Roman" w:cs="Times New Roman"/>
                <w:b w:val="0"/>
                <w:bCs w:val="0"/>
                <w:color w:val="auto"/>
                <w:highlight w:val="none"/>
                <w:lang w:val="en-US" w:eastAsia="zh-CN"/>
              </w:rPr>
              <w:t>、农村自来水普及率</w:t>
            </w:r>
          </w:p>
        </w:tc>
        <w:tc>
          <w:tcPr>
            <w:tcW w:w="728"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color w:val="auto"/>
                <w:highlight w:val="none"/>
              </w:rPr>
              <w:t>%</w:t>
            </w:r>
          </w:p>
        </w:tc>
        <w:tc>
          <w:tcPr>
            <w:tcW w:w="668"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w:t>
            </w:r>
            <w:r>
              <w:rPr>
                <w:rFonts w:hint="eastAsia" w:ascii="Times New Roman" w:hAnsi="Times New Roman" w:cs="Times New Roman"/>
                <w:b w:val="0"/>
                <w:bCs w:val="0"/>
                <w:color w:val="auto"/>
                <w:highlight w:val="none"/>
                <w:lang w:val="en-US" w:eastAsia="zh-CN"/>
              </w:rPr>
              <w:t>99.9</w:t>
            </w:r>
            <w:r>
              <w:rPr>
                <w:rFonts w:hint="eastAsia" w:cs="Times New Roman"/>
                <w:b w:val="0"/>
                <w:bCs w:val="0"/>
                <w:color w:val="auto"/>
                <w:highlight w:val="none"/>
                <w:lang w:val="en-US" w:eastAsia="zh-CN"/>
              </w:rPr>
              <w:t>】</w:t>
            </w:r>
          </w:p>
        </w:tc>
        <w:tc>
          <w:tcPr>
            <w:tcW w:w="640"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w:t>
            </w:r>
            <w:r>
              <w:rPr>
                <w:rFonts w:hint="eastAsia" w:ascii="Times New Roman" w:hAnsi="Times New Roman" w:cs="Times New Roman"/>
                <w:b w:val="0"/>
                <w:bCs w:val="0"/>
                <w:color w:val="auto"/>
                <w:highlight w:val="none"/>
                <w:lang w:val="en-US" w:eastAsia="zh-CN"/>
              </w:rPr>
              <w:t>99.9</w:t>
            </w:r>
            <w:r>
              <w:rPr>
                <w:rFonts w:hint="eastAsia" w:cs="Times New Roman"/>
                <w:b w:val="0"/>
                <w:bCs w:val="0"/>
                <w:color w:val="auto"/>
                <w:highlight w:val="none"/>
                <w:lang w:val="en-US" w:eastAsia="zh-CN"/>
              </w:rPr>
              <w:t>】</w:t>
            </w:r>
          </w:p>
        </w:tc>
        <w:tc>
          <w:tcPr>
            <w:tcW w:w="512" w:type="pct"/>
            <w:vAlign w:val="center"/>
          </w:tcPr>
          <w:p>
            <w:pPr>
              <w:pStyle w:val="25"/>
              <w:bidi w:val="0"/>
              <w:ind w:firstLine="0" w:firstLineChars="0"/>
              <w:jc w:val="center"/>
              <w:rPr>
                <w:rFonts w:hint="eastAsia" w:ascii="Times New Roman" w:hAnsi="Times New Roman" w:cs="Times New Roman"/>
                <w:b/>
                <w:bCs/>
                <w:color w:val="auto"/>
                <w:highlight w:val="none"/>
              </w:rPr>
            </w:pPr>
            <w:r>
              <w:rPr>
                <w:rFonts w:hint="eastAsia"/>
                <w:b/>
                <w:bCs/>
                <w:color w:val="auto"/>
                <w:highlight w:val="none"/>
                <w:lang w:val="en-US" w:eastAsia="zh-CN"/>
              </w:rPr>
              <w:t>约束</w:t>
            </w:r>
            <w:r>
              <w:rPr>
                <w:rFonts w:hint="eastAsia"/>
                <w:b/>
                <w:bCs/>
                <w:color w:val="auto"/>
                <w:highlight w:val="none"/>
              </w:rPr>
              <w:t>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450"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ascii="Times New Roman" w:hAnsi="Times New Roman" w:cs="Times New Roman"/>
                <w:b w:val="0"/>
                <w:bCs w:val="0"/>
                <w:color w:val="auto"/>
                <w:highlight w:val="none"/>
                <w:lang w:val="en-US" w:eastAsia="zh-CN"/>
              </w:rPr>
              <w:t>其中：规模化供水工程覆盖农村人口比例</w:t>
            </w:r>
            <w:r>
              <w:rPr>
                <w:rFonts w:hint="eastAsia" w:cs="Times New Roman"/>
                <w:b w:val="0"/>
                <w:bCs w:val="0"/>
                <w:color w:val="auto"/>
                <w:highlight w:val="none"/>
                <w:lang w:val="en-US" w:eastAsia="zh-CN"/>
              </w:rPr>
              <w:t xml:space="preserve">    </w:t>
            </w:r>
          </w:p>
        </w:tc>
        <w:tc>
          <w:tcPr>
            <w:tcW w:w="728"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color w:val="auto"/>
                <w:highlight w:val="none"/>
              </w:rPr>
              <w:t>%</w:t>
            </w:r>
          </w:p>
        </w:tc>
        <w:tc>
          <w:tcPr>
            <w:tcW w:w="668"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w:t>
            </w:r>
            <w:r>
              <w:rPr>
                <w:rFonts w:hint="eastAsia" w:ascii="Times New Roman" w:hAnsi="Times New Roman" w:cs="Times New Roman"/>
                <w:b w:val="0"/>
                <w:bCs w:val="0"/>
                <w:color w:val="auto"/>
                <w:highlight w:val="none"/>
                <w:lang w:val="en-US" w:eastAsia="zh-CN"/>
              </w:rPr>
              <w:t>98.2</w:t>
            </w:r>
            <w:r>
              <w:rPr>
                <w:rFonts w:hint="eastAsia" w:cs="Times New Roman"/>
                <w:b w:val="0"/>
                <w:bCs w:val="0"/>
                <w:color w:val="auto"/>
                <w:highlight w:val="none"/>
                <w:lang w:val="en-US" w:eastAsia="zh-CN"/>
              </w:rPr>
              <w:t>】</w:t>
            </w:r>
          </w:p>
        </w:tc>
        <w:tc>
          <w:tcPr>
            <w:tcW w:w="640"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w:t>
            </w:r>
            <w:r>
              <w:rPr>
                <w:rFonts w:hint="eastAsia" w:ascii="Times New Roman" w:hAnsi="Times New Roman" w:cs="Times New Roman"/>
                <w:b w:val="0"/>
                <w:bCs w:val="0"/>
                <w:color w:val="auto"/>
                <w:highlight w:val="none"/>
                <w:lang w:val="en-US" w:eastAsia="zh-CN"/>
              </w:rPr>
              <w:t>98.2</w:t>
            </w:r>
            <w:r>
              <w:rPr>
                <w:rFonts w:hint="eastAsia" w:cs="Times New Roman"/>
                <w:b w:val="0"/>
                <w:bCs w:val="0"/>
                <w:color w:val="auto"/>
                <w:highlight w:val="none"/>
                <w:lang w:val="en-US" w:eastAsia="zh-CN"/>
              </w:rPr>
              <w:t>】</w:t>
            </w:r>
          </w:p>
        </w:tc>
        <w:tc>
          <w:tcPr>
            <w:tcW w:w="512"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b/>
                <w:bCs/>
                <w:color w:val="auto"/>
                <w:highlight w:val="none"/>
                <w:lang w:val="en-US" w:eastAsia="zh-CN"/>
              </w:rPr>
              <w:t>约束</w:t>
            </w:r>
            <w:r>
              <w:rPr>
                <w:rFonts w:hint="eastAsia"/>
                <w:b/>
                <w:bCs/>
                <w:color w:val="auto"/>
                <w:highlight w:val="none"/>
              </w:rPr>
              <w:t>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50"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6</w:t>
            </w:r>
            <w:r>
              <w:rPr>
                <w:rFonts w:hint="eastAsia" w:ascii="Times New Roman" w:hAnsi="Times New Roman" w:cs="Times New Roman"/>
                <w:b w:val="0"/>
                <w:bCs w:val="0"/>
                <w:color w:val="auto"/>
                <w:highlight w:val="none"/>
                <w:lang w:val="en-US" w:eastAsia="zh-CN"/>
              </w:rPr>
              <w:t>、1-5级堤防达标率</w:t>
            </w:r>
          </w:p>
        </w:tc>
        <w:tc>
          <w:tcPr>
            <w:tcW w:w="728"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color w:val="auto"/>
                <w:highlight w:val="none"/>
              </w:rPr>
              <w:t>%</w:t>
            </w:r>
          </w:p>
        </w:tc>
        <w:tc>
          <w:tcPr>
            <w:tcW w:w="668"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cs="Times New Roman"/>
                <w:b w:val="0"/>
                <w:bCs w:val="0"/>
                <w:color w:val="auto"/>
                <w:highlight w:val="none"/>
                <w:lang w:val="en-US" w:eastAsia="zh-CN"/>
              </w:rPr>
              <w:t>【100】</w:t>
            </w:r>
          </w:p>
        </w:tc>
        <w:tc>
          <w:tcPr>
            <w:tcW w:w="640"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cs="Times New Roman"/>
                <w:b w:val="0"/>
                <w:bCs w:val="0"/>
                <w:color w:val="auto"/>
                <w:highlight w:val="none"/>
                <w:lang w:val="en-US" w:eastAsia="zh-CN"/>
              </w:rPr>
              <w:t>【95】</w:t>
            </w:r>
          </w:p>
        </w:tc>
        <w:tc>
          <w:tcPr>
            <w:tcW w:w="512" w:type="pct"/>
            <w:vAlign w:val="center"/>
          </w:tcPr>
          <w:p>
            <w:pPr>
              <w:pStyle w:val="25"/>
              <w:bidi w:val="0"/>
              <w:ind w:firstLine="0" w:firstLineChars="0"/>
              <w:jc w:val="center"/>
              <w:rPr>
                <w:rFonts w:hint="eastAsia" w:ascii="Times New Roman" w:hAnsi="Times New Roman" w:cs="Times New Roman"/>
                <w:b/>
                <w:bCs/>
                <w:color w:val="auto"/>
                <w:highlight w:val="none"/>
              </w:rPr>
            </w:pPr>
            <w:r>
              <w:rPr>
                <w:rFonts w:hint="eastAsia"/>
                <w:color w:val="auto"/>
                <w:highlight w:val="none"/>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50"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7</w:t>
            </w:r>
            <w:r>
              <w:rPr>
                <w:rFonts w:hint="eastAsia" w:ascii="Times New Roman" w:hAnsi="Times New Roman" w:cs="Times New Roman"/>
                <w:b w:val="0"/>
                <w:bCs w:val="0"/>
                <w:color w:val="auto"/>
                <w:highlight w:val="none"/>
                <w:lang w:val="en-US" w:eastAsia="zh-CN"/>
              </w:rPr>
              <w:t>、取水总量控制 （地下水）</w:t>
            </w:r>
          </w:p>
        </w:tc>
        <w:tc>
          <w:tcPr>
            <w:tcW w:w="728"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ascii="Times New Roman" w:hAnsi="Times New Roman" w:cs="Times New Roman"/>
                <w:b w:val="0"/>
                <w:bCs w:val="0"/>
                <w:color w:val="auto"/>
                <w:highlight w:val="none"/>
                <w:lang w:val="en-US" w:eastAsia="zh-CN"/>
              </w:rPr>
              <w:t>亿立方米</w:t>
            </w:r>
          </w:p>
        </w:tc>
        <w:tc>
          <w:tcPr>
            <w:tcW w:w="668"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【14.01】</w:t>
            </w:r>
          </w:p>
        </w:tc>
        <w:tc>
          <w:tcPr>
            <w:tcW w:w="640"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olor w:val="auto"/>
                <w:highlight w:val="none"/>
                <w:lang w:val="en-US" w:eastAsia="zh-CN"/>
              </w:rPr>
              <w:t>【20.65】</w:t>
            </w:r>
          </w:p>
        </w:tc>
        <w:tc>
          <w:tcPr>
            <w:tcW w:w="512"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b/>
                <w:bCs/>
                <w:color w:val="auto"/>
                <w:highlight w:val="none"/>
                <w:lang w:val="en-US" w:eastAsia="zh-CN"/>
              </w:rPr>
              <w:t>约束</w:t>
            </w:r>
            <w:r>
              <w:rPr>
                <w:rFonts w:hint="eastAsia"/>
                <w:b/>
                <w:bCs/>
                <w:color w:val="auto"/>
                <w:highlight w:val="none"/>
              </w:rPr>
              <w:t>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2450"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8</w:t>
            </w:r>
            <w:r>
              <w:rPr>
                <w:rFonts w:hint="eastAsia" w:ascii="Times New Roman" w:hAnsi="Times New Roman" w:cs="Times New Roman"/>
                <w:b w:val="0"/>
                <w:bCs w:val="0"/>
                <w:color w:val="auto"/>
                <w:highlight w:val="none"/>
                <w:lang w:val="en-US" w:eastAsia="zh-CN"/>
              </w:rPr>
              <w:t>、水土保持率</w:t>
            </w:r>
          </w:p>
        </w:tc>
        <w:tc>
          <w:tcPr>
            <w:tcW w:w="728"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olor w:val="auto"/>
                <w:highlight w:val="none"/>
              </w:rPr>
              <w:t>%</w:t>
            </w:r>
          </w:p>
        </w:tc>
        <w:tc>
          <w:tcPr>
            <w:tcW w:w="668"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w:t>
            </w:r>
            <w:r>
              <w:rPr>
                <w:rFonts w:hint="eastAsia" w:ascii="Times New Roman" w:hAnsi="Times New Roman" w:cs="Times New Roman"/>
                <w:b w:val="0"/>
                <w:bCs w:val="0"/>
                <w:color w:val="auto"/>
                <w:highlight w:val="none"/>
                <w:lang w:val="en-US" w:eastAsia="zh-CN"/>
              </w:rPr>
              <w:t>69.0</w:t>
            </w:r>
            <w:r>
              <w:rPr>
                <w:rFonts w:hint="eastAsia" w:cs="Times New Roman"/>
                <w:b w:val="0"/>
                <w:bCs w:val="0"/>
                <w:color w:val="auto"/>
                <w:highlight w:val="none"/>
                <w:lang w:val="en-US" w:eastAsia="zh-CN"/>
              </w:rPr>
              <w:t>9】</w:t>
            </w:r>
          </w:p>
        </w:tc>
        <w:tc>
          <w:tcPr>
            <w:tcW w:w="640"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w:t>
            </w:r>
            <w:r>
              <w:rPr>
                <w:rFonts w:hint="eastAsia" w:ascii="Times New Roman" w:hAnsi="Times New Roman" w:cs="Times New Roman"/>
                <w:b w:val="0"/>
                <w:bCs w:val="0"/>
                <w:color w:val="auto"/>
                <w:highlight w:val="none"/>
                <w:lang w:val="en-US" w:eastAsia="zh-CN"/>
              </w:rPr>
              <w:t>69.</w:t>
            </w:r>
            <w:r>
              <w:rPr>
                <w:rFonts w:hint="eastAsia" w:cs="Times New Roman"/>
                <w:b w:val="0"/>
                <w:bCs w:val="0"/>
                <w:color w:val="auto"/>
                <w:highlight w:val="none"/>
                <w:lang w:val="en-US" w:eastAsia="zh-CN"/>
              </w:rPr>
              <w:t>39】</w:t>
            </w:r>
          </w:p>
        </w:tc>
        <w:tc>
          <w:tcPr>
            <w:tcW w:w="512"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color w:val="auto"/>
                <w:highlight w:val="none"/>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450"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ascii="Times New Roman" w:hAnsi="Times New Roman" w:cs="Times New Roman"/>
                <w:b w:val="0"/>
                <w:bCs w:val="0"/>
                <w:color w:val="auto"/>
                <w:highlight w:val="none"/>
                <w:lang w:val="en-US" w:eastAsia="zh-CN"/>
              </w:rPr>
              <w:t>其中：新增</w:t>
            </w:r>
            <w:r>
              <w:rPr>
                <w:rFonts w:hint="eastAsia" w:cs="Times New Roman"/>
                <w:b w:val="0"/>
                <w:bCs w:val="0"/>
                <w:color w:val="auto"/>
                <w:highlight w:val="none"/>
                <w:lang w:val="en-US" w:eastAsia="zh-CN"/>
              </w:rPr>
              <w:t>水土流失</w:t>
            </w:r>
            <w:r>
              <w:rPr>
                <w:rFonts w:hint="eastAsia" w:ascii="Times New Roman" w:hAnsi="Times New Roman" w:cs="Times New Roman"/>
                <w:b w:val="0"/>
                <w:bCs w:val="0"/>
                <w:color w:val="auto"/>
                <w:highlight w:val="none"/>
                <w:lang w:val="en-US" w:eastAsia="zh-CN"/>
              </w:rPr>
              <w:t>治理面积</w:t>
            </w:r>
          </w:p>
        </w:tc>
        <w:tc>
          <w:tcPr>
            <w:tcW w:w="728"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ascii="Times New Roman" w:hAnsi="Times New Roman" w:cs="Times New Roman"/>
                <w:b w:val="0"/>
                <w:bCs w:val="0"/>
                <w:color w:val="auto"/>
                <w:highlight w:val="none"/>
                <w:lang w:val="en-US" w:eastAsia="zh-CN"/>
              </w:rPr>
              <w:t>平方公里</w:t>
            </w:r>
          </w:p>
        </w:tc>
        <w:tc>
          <w:tcPr>
            <w:tcW w:w="668"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94.07</w:t>
            </w:r>
          </w:p>
        </w:tc>
        <w:tc>
          <w:tcPr>
            <w:tcW w:w="640"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ascii="Times New Roman" w:hAnsi="Times New Roman" w:cs="Times New Roman"/>
                <w:b w:val="0"/>
                <w:bCs w:val="0"/>
                <w:color w:val="auto"/>
                <w:highlight w:val="none"/>
                <w:lang w:val="en-US" w:eastAsia="zh-CN"/>
              </w:rPr>
              <w:t>89.72</w:t>
            </w:r>
          </w:p>
        </w:tc>
        <w:tc>
          <w:tcPr>
            <w:tcW w:w="512"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color w:val="auto"/>
                <w:highlight w:val="none"/>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2450"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9</w:t>
            </w:r>
            <w:r>
              <w:rPr>
                <w:rFonts w:hint="eastAsia" w:ascii="Times New Roman" w:hAnsi="Times New Roman" w:cs="Times New Roman"/>
                <w:b w:val="0"/>
                <w:bCs w:val="0"/>
                <w:color w:val="auto"/>
                <w:highlight w:val="none"/>
                <w:lang w:val="en-US" w:eastAsia="zh-CN"/>
              </w:rPr>
              <w:t>、重点河湖基本生态流量（水量）达标率</w:t>
            </w:r>
          </w:p>
        </w:tc>
        <w:tc>
          <w:tcPr>
            <w:tcW w:w="728"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color w:val="auto"/>
                <w:highlight w:val="none"/>
              </w:rPr>
              <w:t>%</w:t>
            </w:r>
          </w:p>
        </w:tc>
        <w:tc>
          <w:tcPr>
            <w:tcW w:w="668" w:type="pct"/>
            <w:vAlign w:val="center"/>
          </w:tcPr>
          <w:p>
            <w:pPr>
              <w:pStyle w:val="25"/>
              <w:bidi w:val="0"/>
              <w:ind w:firstLine="0" w:firstLineChars="0"/>
              <w:jc w:val="center"/>
              <w:rPr>
                <w:rFonts w:hint="eastAsia" w:ascii="Times New Roman" w:hAnsi="Times New Roman" w:cs="Times New Roman"/>
                <w:b w:val="0"/>
                <w:bCs w:val="0"/>
                <w:color w:val="auto"/>
                <w:highlight w:val="none"/>
              </w:rPr>
            </w:pPr>
            <w:r>
              <w:rPr>
                <w:rFonts w:hint="eastAsia" w:cs="Times New Roman"/>
                <w:b w:val="0"/>
                <w:bCs w:val="0"/>
                <w:color w:val="auto"/>
                <w:highlight w:val="none"/>
                <w:lang w:val="en-US" w:eastAsia="zh-CN"/>
              </w:rPr>
              <w:t>【100】</w:t>
            </w:r>
          </w:p>
        </w:tc>
        <w:tc>
          <w:tcPr>
            <w:tcW w:w="640"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cs="Times New Roman"/>
                <w:b w:val="0"/>
                <w:bCs w:val="0"/>
                <w:color w:val="auto"/>
                <w:highlight w:val="none"/>
                <w:lang w:val="en-US" w:eastAsia="zh-CN"/>
              </w:rPr>
              <w:t>【100】</w:t>
            </w:r>
          </w:p>
        </w:tc>
        <w:tc>
          <w:tcPr>
            <w:tcW w:w="512" w:type="pct"/>
            <w:vAlign w:val="center"/>
          </w:tcPr>
          <w:p>
            <w:pPr>
              <w:pStyle w:val="25"/>
              <w:bidi w:val="0"/>
              <w:ind w:firstLine="0" w:firstLineChars="0"/>
              <w:jc w:val="center"/>
              <w:rPr>
                <w:rFonts w:hint="default" w:ascii="Times New Roman" w:hAnsi="Times New Roman" w:eastAsia="方正仿宋_GBK" w:cs="Times New Roman"/>
                <w:b w:val="0"/>
                <w:bCs w:val="0"/>
                <w:color w:val="auto"/>
                <w:highlight w:val="none"/>
                <w:lang w:val="en-US" w:eastAsia="zh-CN"/>
              </w:rPr>
            </w:pPr>
            <w:r>
              <w:rPr>
                <w:rFonts w:hint="eastAsia"/>
                <w:b/>
                <w:bCs/>
                <w:color w:val="auto"/>
                <w:highlight w:val="none"/>
                <w:lang w:val="en-US" w:eastAsia="zh-CN"/>
              </w:rPr>
              <w:t>约束</w:t>
            </w:r>
            <w:r>
              <w:rPr>
                <w:rFonts w:hint="eastAsia"/>
                <w:b/>
                <w:bCs/>
                <w:color w:val="auto"/>
                <w:highlight w:val="none"/>
              </w:rPr>
              <w:t>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2450" w:type="pct"/>
            <w:vAlign w:val="center"/>
          </w:tcPr>
          <w:p>
            <w:pPr>
              <w:pStyle w:val="25"/>
              <w:bidi w:val="0"/>
              <w:ind w:firstLine="0" w:firstLineChars="0"/>
              <w:jc w:val="center"/>
              <w:rPr>
                <w:rFonts w:hint="eastAsia" w:ascii="Times New Roman" w:hAnsi="Times New Roman" w:cs="Times New Roman"/>
                <w:b w:val="0"/>
                <w:bCs w:val="0"/>
                <w:color w:val="auto"/>
                <w:highlight w:val="none"/>
                <w:lang w:val="en-US" w:eastAsia="zh-CN"/>
              </w:rPr>
            </w:pPr>
            <w:r>
              <w:rPr>
                <w:rFonts w:hint="eastAsia" w:ascii="Times New Roman" w:hAnsi="Times New Roman" w:cs="Times New Roman"/>
                <w:b w:val="0"/>
                <w:bCs w:val="0"/>
                <w:color w:val="auto"/>
                <w:highlight w:val="none"/>
                <w:lang w:val="en-US" w:eastAsia="zh-CN"/>
              </w:rPr>
              <w:t>1</w:t>
            </w:r>
            <w:r>
              <w:rPr>
                <w:rFonts w:hint="eastAsia" w:cs="Times New Roman"/>
                <w:b w:val="0"/>
                <w:bCs w:val="0"/>
                <w:color w:val="auto"/>
                <w:highlight w:val="none"/>
                <w:lang w:val="en-US" w:eastAsia="zh-CN"/>
              </w:rPr>
              <w:t>0</w:t>
            </w:r>
            <w:r>
              <w:rPr>
                <w:rFonts w:hint="eastAsia" w:ascii="Times New Roman" w:hAnsi="Times New Roman" w:cs="Times New Roman"/>
                <w:b w:val="0"/>
                <w:bCs w:val="0"/>
                <w:color w:val="auto"/>
                <w:highlight w:val="none"/>
                <w:lang w:val="en-US" w:eastAsia="zh-CN"/>
              </w:rPr>
              <w:t>、重大水利工程数字化率</w:t>
            </w:r>
          </w:p>
        </w:tc>
        <w:tc>
          <w:tcPr>
            <w:tcW w:w="728" w:type="pct"/>
            <w:vAlign w:val="center"/>
          </w:tcPr>
          <w:p>
            <w:pPr>
              <w:pStyle w:val="25"/>
              <w:bidi w:val="0"/>
              <w:ind w:firstLine="0" w:firstLineChars="0"/>
              <w:jc w:val="center"/>
              <w:rPr>
                <w:rFonts w:hint="eastAsia"/>
                <w:color w:val="auto"/>
                <w:highlight w:val="none"/>
              </w:rPr>
            </w:pPr>
            <w:r>
              <w:rPr>
                <w:rFonts w:hint="eastAsia"/>
                <w:color w:val="auto"/>
                <w:highlight w:val="none"/>
              </w:rPr>
              <w:t>%</w:t>
            </w:r>
          </w:p>
        </w:tc>
        <w:tc>
          <w:tcPr>
            <w:tcW w:w="668" w:type="pct"/>
            <w:vAlign w:val="center"/>
          </w:tcPr>
          <w:p>
            <w:pPr>
              <w:pStyle w:val="25"/>
              <w:bidi w:val="0"/>
              <w:ind w:firstLine="0" w:firstLineChars="0"/>
              <w:jc w:val="center"/>
              <w:rPr>
                <w:rFonts w:hint="eastAsia" w:cs="Times New Roman"/>
                <w:b w:val="0"/>
                <w:bCs w:val="0"/>
                <w:color w:val="auto"/>
                <w:highlight w:val="none"/>
                <w:lang w:val="en-US" w:eastAsia="zh-CN"/>
              </w:rPr>
            </w:pPr>
          </w:p>
        </w:tc>
        <w:tc>
          <w:tcPr>
            <w:tcW w:w="640" w:type="pct"/>
            <w:vAlign w:val="center"/>
          </w:tcPr>
          <w:p>
            <w:pPr>
              <w:pStyle w:val="25"/>
              <w:bidi w:val="0"/>
              <w:ind w:firstLine="0" w:firstLineChars="0"/>
              <w:jc w:val="center"/>
              <w:rPr>
                <w:rFonts w:hint="eastAsia" w:cs="Times New Roman"/>
                <w:b w:val="0"/>
                <w:bCs w:val="0"/>
                <w:color w:val="auto"/>
                <w:highlight w:val="none"/>
                <w:lang w:val="en-US" w:eastAsia="zh-CN"/>
              </w:rPr>
            </w:pPr>
            <w:r>
              <w:rPr>
                <w:rFonts w:hint="eastAsia" w:cs="Times New Roman"/>
                <w:b w:val="0"/>
                <w:bCs w:val="0"/>
                <w:color w:val="auto"/>
                <w:highlight w:val="none"/>
                <w:lang w:val="en-US" w:eastAsia="zh-CN"/>
              </w:rPr>
              <w:t>【</w:t>
            </w:r>
            <w:r>
              <w:rPr>
                <w:rFonts w:hint="eastAsia" w:ascii="Times New Roman" w:hAnsi="Times New Roman" w:cs="Times New Roman"/>
                <w:b w:val="0"/>
                <w:bCs w:val="0"/>
                <w:color w:val="auto"/>
                <w:highlight w:val="none"/>
                <w:lang w:val="en-US" w:eastAsia="zh-CN"/>
              </w:rPr>
              <w:t>30</w:t>
            </w:r>
            <w:r>
              <w:rPr>
                <w:rFonts w:hint="eastAsia" w:cs="Times New Roman"/>
                <w:b w:val="0"/>
                <w:bCs w:val="0"/>
                <w:color w:val="auto"/>
                <w:highlight w:val="none"/>
                <w:lang w:val="en-US" w:eastAsia="zh-CN"/>
              </w:rPr>
              <w:t>】</w:t>
            </w:r>
          </w:p>
        </w:tc>
        <w:tc>
          <w:tcPr>
            <w:tcW w:w="512" w:type="pct"/>
            <w:vAlign w:val="center"/>
          </w:tcPr>
          <w:p>
            <w:pPr>
              <w:pStyle w:val="25"/>
              <w:bidi w:val="0"/>
              <w:ind w:firstLine="0" w:firstLineChars="0"/>
              <w:jc w:val="center"/>
              <w:rPr>
                <w:rFonts w:hint="eastAsia"/>
                <w:b/>
                <w:bCs/>
                <w:color w:val="auto"/>
                <w:highlight w:val="none"/>
                <w:lang w:val="en-US" w:eastAsia="zh-CN"/>
              </w:rPr>
            </w:pPr>
            <w:r>
              <w:rPr>
                <w:rFonts w:hint="eastAsia" w:ascii="Times New Roman" w:hAnsi="Times New Roman" w:cs="Times New Roman"/>
                <w:b w:val="0"/>
                <w:bCs w:val="0"/>
                <w:color w:val="auto"/>
                <w:highlight w:val="none"/>
                <w:lang w:val="en-US" w:eastAsia="zh-CN"/>
              </w:rPr>
              <w:t>预期性</w:t>
            </w:r>
          </w:p>
        </w:tc>
      </w:tr>
    </w:tbl>
    <w:p>
      <w:pPr>
        <w:pStyle w:val="3"/>
        <w:bidi w:val="0"/>
        <w:rPr>
          <w:rFonts w:hint="eastAsia"/>
          <w:color w:val="auto"/>
          <w:highlight w:val="none"/>
          <w:lang w:val="en-US" w:eastAsia="zh-CN"/>
        </w:rPr>
      </w:pPr>
      <w:bookmarkStart w:id="58" w:name="_Toc30882"/>
      <w:bookmarkStart w:id="59" w:name="_Toc17048"/>
      <w:bookmarkStart w:id="60" w:name="_Toc10359"/>
      <w:r>
        <w:rPr>
          <w:rFonts w:hint="eastAsia"/>
          <w:color w:val="auto"/>
          <w:highlight w:val="none"/>
          <w:lang w:val="en-US" w:eastAsia="zh-CN"/>
        </w:rPr>
        <w:t>二、落实水资源刚性约束制度</w:t>
      </w:r>
      <w:bookmarkEnd w:id="58"/>
      <w:bookmarkEnd w:id="59"/>
      <w:bookmarkEnd w:id="60"/>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（一）健全水资源刚性约束指标体系</w:t>
      </w:r>
    </w:p>
    <w:p>
      <w:pPr>
        <w:bidi w:val="0"/>
        <w:rPr>
          <w:rFonts w:hint="default" w:eastAsia="方正仿宋_GBK"/>
          <w:b w:val="0"/>
          <w:bCs w:val="0"/>
          <w:color w:val="auto"/>
          <w:highlight w:val="none"/>
          <w:lang w:val="en-US" w:eastAsia="zh-CN"/>
        </w:rPr>
      </w:pPr>
      <w:r>
        <w:rPr>
          <w:rFonts w:hint="eastAsia"/>
          <w:b/>
          <w:bCs/>
          <w:color w:val="auto"/>
          <w:highlight w:val="none"/>
          <w:lang w:val="en-US" w:eastAsia="zh-CN"/>
        </w:rPr>
        <w:t>一是</w:t>
      </w:r>
      <w:r>
        <w:rPr>
          <w:rFonts w:hint="eastAsia"/>
          <w:b w:val="0"/>
          <w:bCs w:val="0"/>
          <w:color w:val="auto"/>
          <w:highlight w:val="none"/>
          <w:lang w:val="en-US" w:eastAsia="zh-CN"/>
        </w:rPr>
        <w:t>加强水资源集中统一管理。依托各级水资源管理委员会，健全统一调度机制，统筹配置全地区水资源</w:t>
      </w:r>
      <w:r>
        <w:rPr>
          <w:rFonts w:hint="eastAsia"/>
          <w:color w:val="auto"/>
          <w:highlight w:val="none"/>
        </w:rPr>
        <w:t>高效配置和节水蓄水调水工作</w:t>
      </w:r>
      <w:r>
        <w:rPr>
          <w:rFonts w:hint="eastAsia"/>
          <w:b w:val="0"/>
          <w:bCs w:val="0"/>
          <w:color w:val="auto"/>
          <w:highlight w:val="none"/>
          <w:lang w:val="en-US" w:eastAsia="zh-CN"/>
        </w:rPr>
        <w:t>，提升科学调度与集约利用水平。</w:t>
      </w:r>
      <w:r>
        <w:rPr>
          <w:rFonts w:hint="eastAsia"/>
          <w:b/>
          <w:bCs/>
          <w:color w:val="auto"/>
          <w:highlight w:val="none"/>
          <w:lang w:val="en-US" w:eastAsia="zh-CN"/>
        </w:rPr>
        <w:t>二是</w:t>
      </w:r>
      <w:r>
        <w:rPr>
          <w:rFonts w:hint="eastAsia"/>
          <w:b w:val="0"/>
          <w:bCs w:val="0"/>
          <w:color w:val="auto"/>
          <w:highlight w:val="none"/>
          <w:lang w:val="en-US" w:eastAsia="zh-CN"/>
        </w:rPr>
        <w:t>严格用水总量强度双控。严格用水总量强度双控。根据自治区供水计划，制定各县市地表水、地下水总量指标，细分到农业、工业等行业及村口、机井。实行月调度、季平衡、年总控。到2030年末，地区用水总量控制在自治区下达的供水计划以内，地下水位保持相对稳定；万元国内生产总值用水量、万元工业增加值用水量降幅控制在自治区下达计划之内。</w:t>
      </w:r>
      <w:r>
        <w:rPr>
          <w:rFonts w:hint="eastAsia"/>
          <w:b/>
          <w:bCs/>
          <w:color w:val="auto"/>
          <w:highlight w:val="none"/>
          <w:lang w:val="en-US" w:eastAsia="zh-CN"/>
        </w:rPr>
        <w:t>三是</w:t>
      </w:r>
      <w:r>
        <w:rPr>
          <w:rFonts w:hint="eastAsia"/>
          <w:b w:val="0"/>
          <w:bCs w:val="0"/>
          <w:color w:val="auto"/>
          <w:highlight w:val="none"/>
          <w:lang w:val="en-US" w:eastAsia="zh-CN"/>
        </w:rPr>
        <w:t>严格地下水管控。严管取水许可，整改无证、超采等违法行为，注销闲置两年以上的许可证。强化</w:t>
      </w:r>
      <w:r>
        <w:rPr>
          <w:rFonts w:hint="eastAsia"/>
          <w:color w:val="auto"/>
          <w:highlight w:val="none"/>
          <w:lang w:eastAsia="zh-CN"/>
        </w:rPr>
        <w:t>“</w:t>
      </w:r>
      <w:r>
        <w:rPr>
          <w:rFonts w:hint="eastAsia"/>
          <w:b w:val="0"/>
          <w:bCs w:val="0"/>
          <w:color w:val="auto"/>
          <w:highlight w:val="none"/>
          <w:lang w:val="en-US" w:eastAsia="zh-CN"/>
        </w:rPr>
        <w:t>水量+水位</w:t>
      </w:r>
      <w:r>
        <w:rPr>
          <w:rFonts w:hint="eastAsia"/>
          <w:color w:val="auto"/>
          <w:highlight w:val="none"/>
          <w:lang w:eastAsia="zh-CN"/>
        </w:rPr>
        <w:t>”</w:t>
      </w:r>
      <w:r>
        <w:rPr>
          <w:rFonts w:hint="eastAsia"/>
          <w:b w:val="0"/>
          <w:bCs w:val="0"/>
          <w:color w:val="auto"/>
          <w:highlight w:val="none"/>
          <w:lang w:val="en-US" w:eastAsia="zh-CN"/>
        </w:rPr>
        <w:t>双控，限制新增取用，</w:t>
      </w:r>
      <w:r>
        <w:rPr>
          <w:rFonts w:hint="eastAsia"/>
          <w:color w:val="auto"/>
          <w:highlight w:val="none"/>
          <w:lang w:val="zh-CN"/>
        </w:rPr>
        <w:t>确需新增取水的项目优先利用再生水等非常规水资源或通过水权交易解决</w:t>
      </w:r>
      <w:r>
        <w:rPr>
          <w:rFonts w:hint="eastAsia"/>
          <w:b w:val="0"/>
          <w:bCs w:val="0"/>
          <w:color w:val="auto"/>
          <w:highlight w:val="none"/>
          <w:lang w:val="en-US" w:eastAsia="zh-CN"/>
        </w:rPr>
        <w:t>。利用</w:t>
      </w:r>
      <w:r>
        <w:rPr>
          <w:rFonts w:hint="eastAsia"/>
          <w:color w:val="auto"/>
          <w:highlight w:val="none"/>
          <w:lang w:eastAsia="zh-CN"/>
        </w:rPr>
        <w:t>“</w:t>
      </w:r>
      <w:r>
        <w:rPr>
          <w:rFonts w:hint="eastAsia"/>
          <w:b w:val="0"/>
          <w:bCs w:val="0"/>
          <w:color w:val="auto"/>
          <w:highlight w:val="none"/>
          <w:lang w:val="en-US" w:eastAsia="zh-CN"/>
        </w:rPr>
        <w:t>井电双控</w:t>
      </w:r>
      <w:r>
        <w:rPr>
          <w:rFonts w:hint="eastAsia"/>
          <w:color w:val="auto"/>
          <w:highlight w:val="none"/>
          <w:lang w:eastAsia="zh-CN"/>
        </w:rPr>
        <w:t>”</w:t>
      </w:r>
      <w:r>
        <w:rPr>
          <w:rFonts w:hint="eastAsia"/>
          <w:b w:val="0"/>
          <w:bCs w:val="0"/>
          <w:color w:val="auto"/>
          <w:highlight w:val="none"/>
          <w:lang w:val="en-US" w:eastAsia="zh-CN"/>
        </w:rPr>
        <w:t>等信息化手段监控，水位下降超0.5米及时预警。开展沙漠区地下水资源调查评价及地下水资源利用保护规划修编。</w:t>
      </w:r>
    </w:p>
    <w:p>
      <w:pPr>
        <w:pStyle w:val="4"/>
        <w:numPr>
          <w:ilvl w:val="2"/>
          <w:numId w:val="0"/>
        </w:numPr>
        <w:bidi w:val="0"/>
        <w:ind w:leftChars="200"/>
        <w:rPr>
          <w:rFonts w:hint="eastAsia"/>
          <w:color w:val="auto"/>
          <w:highlight w:val="none"/>
          <w:lang w:val="zh-CN" w:eastAsia="zh-CN"/>
        </w:rPr>
      </w:pPr>
      <w:r>
        <w:rPr>
          <w:rFonts w:hint="eastAsia"/>
          <w:color w:val="auto"/>
          <w:highlight w:val="none"/>
          <w:lang w:val="zh-CN" w:eastAsia="zh-CN"/>
        </w:rPr>
        <w:t>（</w:t>
      </w:r>
      <w:r>
        <w:rPr>
          <w:rFonts w:hint="eastAsia"/>
          <w:color w:val="auto"/>
          <w:highlight w:val="none"/>
          <w:lang w:val="en-US" w:eastAsia="zh-CN"/>
        </w:rPr>
        <w:t>二）</w:t>
      </w:r>
      <w:r>
        <w:rPr>
          <w:rFonts w:hint="eastAsia"/>
          <w:color w:val="auto"/>
          <w:highlight w:val="none"/>
          <w:lang w:val="zh-CN" w:eastAsia="zh-CN"/>
        </w:rPr>
        <w:t>强化最严格取用水全过程监管制度</w:t>
      </w:r>
    </w:p>
    <w:p>
      <w:pPr>
        <w:numPr>
          <w:ilvl w:val="0"/>
          <w:numId w:val="0"/>
        </w:numPr>
        <w:bidi w:val="0"/>
        <w:ind w:firstLine="562" w:firstLineChars="200"/>
        <w:rPr>
          <w:rFonts w:hint="default" w:eastAsia="方正仿宋_GBK"/>
          <w:b/>
          <w:bCs/>
          <w:color w:val="auto"/>
          <w:highlight w:val="none"/>
          <w:lang w:val="en-US" w:eastAsia="zh-CN"/>
        </w:rPr>
      </w:pPr>
      <w:r>
        <w:rPr>
          <w:rFonts w:hint="eastAsia"/>
          <w:b/>
          <w:bCs/>
          <w:color w:val="auto"/>
          <w:highlight w:val="none"/>
          <w:lang w:val="en-US" w:eastAsia="zh-CN"/>
        </w:rPr>
        <w:t>一是</w:t>
      </w:r>
      <w:r>
        <w:rPr>
          <w:rFonts w:hint="eastAsia"/>
          <w:color w:val="auto"/>
          <w:highlight w:val="none"/>
          <w:lang w:val="zh-CN"/>
        </w:rPr>
        <w:t>全面实行取用水计划管理和精准计量，充分发挥阿尔塔什等水库调蓄作用，落实灌区灌溉供水计划，优先保障农业灌溉和粮食安全。在保证各县市用水计划以及满足生态用水下泄任务的同时，加大地表水引水量，缓解河道行洪压力。</w:t>
      </w:r>
      <w:r>
        <w:rPr>
          <w:rFonts w:hint="eastAsia"/>
          <w:b/>
          <w:bCs/>
          <w:color w:val="auto"/>
          <w:highlight w:val="none"/>
          <w:lang w:val="en-US" w:eastAsia="zh-CN"/>
        </w:rPr>
        <w:t>二是</w:t>
      </w:r>
      <w:r>
        <w:rPr>
          <w:rFonts w:hint="eastAsia"/>
          <w:color w:val="auto"/>
          <w:highlight w:val="none"/>
          <w:lang w:val="zh-CN"/>
        </w:rPr>
        <w:t>严格水资源论证和节水评价。</w:t>
      </w:r>
      <w:r>
        <w:rPr>
          <w:rFonts w:hint="default"/>
          <w:color w:val="auto"/>
          <w:highlight w:val="none"/>
          <w:lang w:val="zh-CN"/>
        </w:rPr>
        <w:t>将水资源最大刚性约束融入重大规划、产业布局和项目建设，从严叫停节水评价不通过的规划和建设项目，未依法完成水资源论证的项目不予批准。水资源超载县市新改扩建项目用水原则上通过用水结构调整、水权转让和退地还水等方式调剂解决。</w:t>
      </w:r>
    </w:p>
    <w:p>
      <w:pPr>
        <w:pStyle w:val="4"/>
        <w:numPr>
          <w:ilvl w:val="2"/>
          <w:numId w:val="0"/>
        </w:numPr>
        <w:bidi w:val="0"/>
        <w:ind w:leftChars="200"/>
        <w:rPr>
          <w:rFonts w:hint="eastAsia"/>
          <w:color w:val="auto"/>
          <w:highlight w:val="none"/>
          <w:lang w:val="zh-CN" w:eastAsia="zh-CN"/>
        </w:rPr>
      </w:pPr>
      <w:r>
        <w:rPr>
          <w:rFonts w:hint="eastAsia"/>
          <w:color w:val="auto"/>
          <w:highlight w:val="none"/>
          <w:lang w:val="zh-CN" w:eastAsia="zh-CN"/>
        </w:rPr>
        <w:t>（</w:t>
      </w:r>
      <w:r>
        <w:rPr>
          <w:rFonts w:hint="eastAsia"/>
          <w:color w:val="auto"/>
          <w:highlight w:val="none"/>
          <w:lang w:val="en-US" w:eastAsia="zh-CN"/>
        </w:rPr>
        <w:t>三）</w:t>
      </w:r>
      <w:r>
        <w:rPr>
          <w:rFonts w:hint="eastAsia"/>
          <w:color w:val="auto"/>
          <w:highlight w:val="none"/>
          <w:lang w:val="zh-CN" w:eastAsia="zh-CN"/>
        </w:rPr>
        <w:t>实施最严格节水管理制度</w:t>
      </w:r>
    </w:p>
    <w:p>
      <w:pPr>
        <w:bidi w:val="0"/>
        <w:rPr>
          <w:rFonts w:hint="default" w:eastAsia="方正仿宋_GBK"/>
          <w:color w:val="auto"/>
          <w:highlight w:val="none"/>
          <w:lang w:val="en-US" w:eastAsia="zh-CN"/>
        </w:rPr>
      </w:pPr>
      <w:r>
        <w:rPr>
          <w:rFonts w:hint="eastAsia"/>
          <w:b/>
          <w:bCs/>
          <w:color w:val="auto"/>
          <w:highlight w:val="none"/>
          <w:lang w:val="en-US" w:eastAsia="zh-CN"/>
        </w:rPr>
        <w:t>一是</w:t>
      </w:r>
      <w:r>
        <w:rPr>
          <w:rFonts w:hint="eastAsia"/>
          <w:color w:val="auto"/>
          <w:highlight w:val="none"/>
          <w:lang w:val="en-US" w:eastAsia="zh-CN"/>
        </w:rPr>
        <w:t>推进水利部已于2025年8月印发《取用水监测计量能力提升三年行动方案》，实现</w:t>
      </w:r>
      <w:r>
        <w:rPr>
          <w:rFonts w:hint="default"/>
          <w:color w:val="auto"/>
          <w:highlight w:val="none"/>
          <w:lang w:val="zh-CN"/>
        </w:rPr>
        <w:t>规模以上工业及生活取水口、农灌机井计量全覆盖；取用水户电子档案应建尽建；超计划取水、计量异常在线预警</w:t>
      </w:r>
      <w:r>
        <w:rPr>
          <w:rFonts w:hint="eastAsia"/>
          <w:color w:val="auto"/>
          <w:highlight w:val="none"/>
          <w:lang w:val="zh-CN"/>
        </w:rPr>
        <w:t>，</w:t>
      </w:r>
      <w:r>
        <w:rPr>
          <w:rFonts w:hint="default"/>
          <w:color w:val="auto"/>
          <w:highlight w:val="none"/>
          <w:lang w:val="zh-CN"/>
        </w:rPr>
        <w:t>构建</w:t>
      </w:r>
      <w:r>
        <w:rPr>
          <w:rFonts w:hint="eastAsia"/>
          <w:color w:val="auto"/>
          <w:highlight w:val="none"/>
          <w:lang w:val="zh-CN"/>
        </w:rPr>
        <w:t>“</w:t>
      </w:r>
      <w:r>
        <w:rPr>
          <w:rFonts w:hint="default"/>
          <w:color w:val="auto"/>
          <w:highlight w:val="none"/>
          <w:lang w:val="zh-CN"/>
        </w:rPr>
        <w:t>取水口—输水线—用水户</w:t>
      </w:r>
      <w:r>
        <w:rPr>
          <w:rFonts w:hint="eastAsia"/>
          <w:color w:val="auto"/>
          <w:highlight w:val="none"/>
          <w:lang w:val="zh-CN"/>
        </w:rPr>
        <w:t>”</w:t>
      </w:r>
      <w:r>
        <w:rPr>
          <w:rFonts w:hint="default"/>
          <w:color w:val="auto"/>
          <w:highlight w:val="none"/>
          <w:lang w:val="zh-CN"/>
        </w:rPr>
        <w:t>全链条监测体系，为水资源刚性约束、水权交易和节水考核提供数据底座。</w:t>
      </w:r>
      <w:r>
        <w:rPr>
          <w:rFonts w:hint="eastAsia"/>
          <w:b/>
          <w:bCs/>
          <w:color w:val="auto"/>
          <w:highlight w:val="none"/>
          <w:lang w:val="en-US" w:eastAsia="zh-CN"/>
        </w:rPr>
        <w:t>二是</w:t>
      </w:r>
      <w:r>
        <w:rPr>
          <w:rFonts w:hint="default"/>
          <w:color w:val="auto"/>
          <w:highlight w:val="none"/>
          <w:lang w:val="zh-CN"/>
        </w:rPr>
        <w:t>完善各行业用水计量，推进取用水计量统计，提高农业灌溉、工业及城镇用水计量率。建立用水节水统计管理制度，加强农业、工业、生活用水户涉水信息管理，监控规上工业企业用水量，实现灌区渠首和干支渠取水口门取水计量。</w:t>
      </w:r>
    </w:p>
    <w:p>
      <w:pPr>
        <w:pStyle w:val="4"/>
        <w:numPr>
          <w:ilvl w:val="2"/>
          <w:numId w:val="0"/>
        </w:numPr>
        <w:bidi w:val="0"/>
        <w:ind w:leftChars="200"/>
        <w:rPr>
          <w:rFonts w:hint="eastAsia"/>
          <w:color w:val="auto"/>
          <w:highlight w:val="none"/>
          <w:lang w:val="zh-CN" w:eastAsia="zh-CN"/>
        </w:rPr>
      </w:pPr>
      <w:r>
        <w:rPr>
          <w:rFonts w:hint="eastAsia"/>
          <w:color w:val="auto"/>
          <w:highlight w:val="none"/>
          <w:lang w:val="zh-CN" w:eastAsia="zh-CN"/>
        </w:rPr>
        <w:t>（</w:t>
      </w:r>
      <w:r>
        <w:rPr>
          <w:rFonts w:hint="eastAsia"/>
          <w:color w:val="auto"/>
          <w:highlight w:val="none"/>
          <w:lang w:val="en-US" w:eastAsia="zh-CN"/>
        </w:rPr>
        <w:t>四）</w:t>
      </w:r>
      <w:r>
        <w:rPr>
          <w:rFonts w:hint="eastAsia"/>
          <w:color w:val="auto"/>
          <w:highlight w:val="none"/>
          <w:lang w:val="zh-CN" w:eastAsia="zh-CN"/>
        </w:rPr>
        <w:t>深化农田水利工程管理体制改革</w:t>
      </w:r>
    </w:p>
    <w:p>
      <w:pPr>
        <w:bidi w:val="0"/>
        <w:rPr>
          <w:rFonts w:hint="default"/>
          <w:b w:val="0"/>
          <w:bCs w:val="0"/>
          <w:color w:val="auto"/>
          <w:highlight w:val="none"/>
        </w:rPr>
      </w:pPr>
      <w:r>
        <w:rPr>
          <w:rFonts w:hint="default"/>
          <w:b w:val="0"/>
          <w:bCs w:val="0"/>
          <w:color w:val="auto"/>
          <w:highlight w:val="none"/>
        </w:rPr>
        <w:t>制定灌区现代化实施细则，</w:t>
      </w:r>
      <w:r>
        <w:rPr>
          <w:rFonts w:hint="eastAsia"/>
          <w:color w:val="auto"/>
          <w:highlight w:val="none"/>
        </w:rPr>
        <w:t>围绕</w:t>
      </w:r>
      <w:r>
        <w:rPr>
          <w:rFonts w:hint="eastAsia"/>
          <w:color w:val="auto"/>
          <w:highlight w:val="none"/>
          <w:lang w:eastAsia="zh-CN"/>
        </w:rPr>
        <w:t>“</w:t>
      </w:r>
      <w:r>
        <w:rPr>
          <w:rFonts w:hint="eastAsia"/>
          <w:color w:val="auto"/>
          <w:highlight w:val="none"/>
        </w:rPr>
        <w:t>节水高效、设施完善、管理科学、生态良好</w:t>
      </w:r>
      <w:r>
        <w:rPr>
          <w:rFonts w:hint="eastAsia"/>
          <w:color w:val="auto"/>
          <w:highlight w:val="none"/>
          <w:lang w:eastAsia="zh-CN"/>
        </w:rPr>
        <w:t>”</w:t>
      </w:r>
      <w:r>
        <w:rPr>
          <w:rFonts w:hint="eastAsia"/>
          <w:color w:val="auto"/>
          <w:highlight w:val="none"/>
        </w:rPr>
        <w:t>目标，</w:t>
      </w:r>
      <w:r>
        <w:rPr>
          <w:rFonts w:hint="default"/>
          <w:b w:val="0"/>
          <w:bCs w:val="0"/>
          <w:color w:val="auto"/>
          <w:highlight w:val="none"/>
        </w:rPr>
        <w:t>建立</w:t>
      </w:r>
      <w:r>
        <w:rPr>
          <w:rFonts w:hint="eastAsia"/>
          <w:color w:val="auto"/>
          <w:highlight w:val="none"/>
          <w:lang w:eastAsia="zh-CN"/>
        </w:rPr>
        <w:t>“</w:t>
      </w:r>
      <w:r>
        <w:rPr>
          <w:rFonts w:hint="default"/>
          <w:b w:val="0"/>
          <w:bCs w:val="0"/>
          <w:color w:val="auto"/>
          <w:highlight w:val="none"/>
        </w:rPr>
        <w:t>六个一</w:t>
      </w:r>
      <w:r>
        <w:rPr>
          <w:rFonts w:hint="eastAsia"/>
          <w:color w:val="auto"/>
          <w:highlight w:val="none"/>
          <w:lang w:val="zh-CN"/>
        </w:rPr>
        <w:t>”</w:t>
      </w:r>
      <w:r>
        <w:rPr>
          <w:rFonts w:hint="default"/>
          <w:b w:val="0"/>
          <w:bCs w:val="0"/>
          <w:color w:val="auto"/>
          <w:highlight w:val="none"/>
        </w:rPr>
        <w:t>标准体系：</w:t>
      </w:r>
      <w:r>
        <w:rPr>
          <w:rFonts w:hint="eastAsia"/>
          <w:color w:val="auto"/>
          <w:highlight w:val="none"/>
          <w:lang w:eastAsia="zh-CN"/>
        </w:rPr>
        <w:t>“</w:t>
      </w:r>
      <w:r>
        <w:rPr>
          <w:rFonts w:hint="default"/>
          <w:b w:val="0"/>
          <w:bCs w:val="0"/>
          <w:color w:val="auto"/>
          <w:highlight w:val="none"/>
        </w:rPr>
        <w:t>一套指标</w:t>
      </w:r>
      <w:r>
        <w:rPr>
          <w:rFonts w:hint="eastAsia"/>
          <w:color w:val="auto"/>
          <w:highlight w:val="none"/>
          <w:lang w:val="zh-CN"/>
        </w:rPr>
        <w:t>”</w:t>
      </w:r>
      <w:r>
        <w:rPr>
          <w:rFonts w:hint="default"/>
          <w:b w:val="0"/>
          <w:bCs w:val="0"/>
          <w:color w:val="auto"/>
          <w:highlight w:val="none"/>
        </w:rPr>
        <w:t>，明确渠系衬砌率、计量率、水利用系数等改造标准；</w:t>
      </w:r>
      <w:r>
        <w:rPr>
          <w:rFonts w:hint="eastAsia"/>
          <w:color w:val="auto"/>
          <w:highlight w:val="none"/>
          <w:lang w:eastAsia="zh-CN"/>
        </w:rPr>
        <w:t>“</w:t>
      </w:r>
      <w:r>
        <w:rPr>
          <w:rFonts w:hint="default"/>
          <w:b w:val="0"/>
          <w:bCs w:val="0"/>
          <w:color w:val="auto"/>
          <w:highlight w:val="none"/>
        </w:rPr>
        <w:t>一张图</w:t>
      </w:r>
      <w:r>
        <w:rPr>
          <w:rFonts w:hint="eastAsia"/>
          <w:color w:val="auto"/>
          <w:highlight w:val="none"/>
          <w:lang w:val="zh-CN"/>
        </w:rPr>
        <w:t>”</w:t>
      </w:r>
      <w:r>
        <w:rPr>
          <w:rFonts w:hint="default"/>
          <w:b w:val="0"/>
          <w:bCs w:val="0"/>
          <w:color w:val="auto"/>
          <w:highlight w:val="none"/>
        </w:rPr>
        <w:t>，将水源、干支斗农渠矢量化落图，标注产权、水权、管护主体；</w:t>
      </w:r>
      <w:r>
        <w:rPr>
          <w:rFonts w:hint="eastAsia"/>
          <w:color w:val="auto"/>
          <w:highlight w:val="none"/>
          <w:lang w:eastAsia="zh-CN"/>
        </w:rPr>
        <w:t>“</w:t>
      </w:r>
      <w:r>
        <w:rPr>
          <w:rFonts w:hint="default"/>
          <w:b w:val="0"/>
          <w:bCs w:val="0"/>
          <w:color w:val="auto"/>
          <w:highlight w:val="none"/>
        </w:rPr>
        <w:t>一条资金链</w:t>
      </w:r>
      <w:r>
        <w:rPr>
          <w:rFonts w:hint="eastAsia"/>
          <w:color w:val="auto"/>
          <w:highlight w:val="none"/>
          <w:lang w:val="zh-CN"/>
        </w:rPr>
        <w:t>”</w:t>
      </w:r>
      <w:r>
        <w:rPr>
          <w:rFonts w:hint="default"/>
          <w:b w:val="0"/>
          <w:bCs w:val="0"/>
          <w:color w:val="auto"/>
          <w:highlight w:val="none"/>
        </w:rPr>
        <w:t>，骨干工程运行费纳入财政预算，末级渠系通过水价提取、政府购买服务等多元投入；</w:t>
      </w:r>
      <w:r>
        <w:rPr>
          <w:rFonts w:hint="eastAsia"/>
          <w:color w:val="auto"/>
          <w:highlight w:val="none"/>
          <w:lang w:eastAsia="zh-CN"/>
        </w:rPr>
        <w:t>“</w:t>
      </w:r>
      <w:r>
        <w:rPr>
          <w:rFonts w:hint="default"/>
          <w:b w:val="0"/>
          <w:bCs w:val="0"/>
          <w:color w:val="auto"/>
          <w:highlight w:val="none"/>
        </w:rPr>
        <w:t>一支专业队伍</w:t>
      </w:r>
      <w:r>
        <w:rPr>
          <w:rFonts w:hint="eastAsia"/>
          <w:color w:val="auto"/>
          <w:highlight w:val="none"/>
          <w:lang w:val="zh-CN"/>
        </w:rPr>
        <w:t>”</w:t>
      </w:r>
      <w:r>
        <w:rPr>
          <w:rFonts w:hint="default"/>
          <w:b w:val="0"/>
          <w:bCs w:val="0"/>
          <w:color w:val="auto"/>
          <w:highlight w:val="none"/>
        </w:rPr>
        <w:t>，县级灌溉服务中心负责骨干工程，乡镇用水合作组织网格化管护，持证上岗、绩效挂钩；</w:t>
      </w:r>
      <w:r>
        <w:rPr>
          <w:rFonts w:hint="eastAsia"/>
          <w:color w:val="auto"/>
          <w:highlight w:val="none"/>
          <w:lang w:eastAsia="zh-CN"/>
        </w:rPr>
        <w:t>“</w:t>
      </w:r>
      <w:r>
        <w:rPr>
          <w:rFonts w:hint="default"/>
          <w:b w:val="0"/>
          <w:bCs w:val="0"/>
          <w:color w:val="auto"/>
          <w:highlight w:val="none"/>
        </w:rPr>
        <w:t>一个平台</w:t>
      </w:r>
      <w:r>
        <w:rPr>
          <w:rFonts w:hint="eastAsia"/>
          <w:color w:val="auto"/>
          <w:highlight w:val="none"/>
          <w:lang w:val="zh-CN"/>
        </w:rPr>
        <w:t>”</w:t>
      </w:r>
      <w:r>
        <w:rPr>
          <w:rFonts w:hint="default"/>
          <w:b w:val="0"/>
          <w:bCs w:val="0"/>
          <w:color w:val="auto"/>
          <w:highlight w:val="none"/>
        </w:rPr>
        <w:t>，依托智慧水利灌区集成水量计量、远程控制、视频监控，实现用水在线申报、水量自动分配、故障报警；</w:t>
      </w:r>
      <w:r>
        <w:rPr>
          <w:rFonts w:hint="eastAsia"/>
          <w:color w:val="auto"/>
          <w:highlight w:val="none"/>
          <w:lang w:eastAsia="zh-CN"/>
        </w:rPr>
        <w:t>“</w:t>
      </w:r>
      <w:r>
        <w:rPr>
          <w:rFonts w:hint="default"/>
          <w:b w:val="0"/>
          <w:bCs w:val="0"/>
          <w:color w:val="auto"/>
          <w:highlight w:val="none"/>
        </w:rPr>
        <w:t>一套制度</w:t>
      </w:r>
      <w:r>
        <w:rPr>
          <w:rFonts w:hint="eastAsia"/>
          <w:color w:val="auto"/>
          <w:highlight w:val="none"/>
          <w:lang w:val="zh-CN"/>
        </w:rPr>
        <w:t>”</w:t>
      </w:r>
      <w:r>
        <w:rPr>
          <w:rFonts w:hint="default"/>
          <w:b w:val="0"/>
          <w:bCs w:val="0"/>
          <w:color w:val="auto"/>
          <w:highlight w:val="none"/>
        </w:rPr>
        <w:t>，完成水权确权，实行超定额累进加价，年度考核与资金奖补挂钩，不合格暂停项目并通报。</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（五）构建节水型社会的系统性政策框架与激励机制</w:t>
      </w:r>
    </w:p>
    <w:p>
      <w:pPr>
        <w:bidi w:val="0"/>
        <w:rPr>
          <w:rFonts w:hint="eastAsia"/>
          <w:color w:val="auto"/>
          <w:highlight w:val="none"/>
        </w:rPr>
      </w:pPr>
      <w:r>
        <w:rPr>
          <w:rFonts w:hint="eastAsia"/>
          <w:color w:val="auto"/>
          <w:highlight w:val="none"/>
        </w:rPr>
        <w:t>建立节水目标责任制，制定分区水资源与经济社会发展相协调的约束指标体系，完善监督考核工作机制，严格落实节水考核制度。</w:t>
      </w:r>
    </w:p>
    <w:p>
      <w:pPr>
        <w:bidi w:val="0"/>
        <w:rPr>
          <w:rFonts w:hint="eastAsia"/>
          <w:color w:val="auto"/>
          <w:highlight w:val="none"/>
        </w:rPr>
      </w:pPr>
      <w:r>
        <w:rPr>
          <w:rFonts w:hint="default"/>
          <w:color w:val="auto"/>
          <w:highlight w:val="none"/>
          <w:lang w:val="en-US" w:eastAsia="zh-CN"/>
        </w:rPr>
        <w:t>广泛开展节水宣传教育，纳入国民教育体系和中小学、高校课程，创建节水型社区、学校、家庭，依托节水教育基地开展社会实践。推广普及节水产品，贯彻《水效标识管理办法》，倡导消费高效节水产品，依法监督检查并查处未标注行为。强化社会监督，公开节水信息，发挥新闻舆论和监督举报平台作用，鼓励社会组织与公众参与节水监督和违法用水查处。</w:t>
      </w:r>
    </w:p>
    <w:p>
      <w:pPr>
        <w:bidi w:val="0"/>
        <w:rPr>
          <w:rFonts w:hint="default"/>
          <w:color w:val="auto"/>
          <w:highlight w:val="none"/>
        </w:rPr>
      </w:pPr>
      <w:r>
        <w:rPr>
          <w:rFonts w:hint="default"/>
          <w:color w:val="auto"/>
          <w:highlight w:val="none"/>
          <w:lang w:val="en-US" w:eastAsia="zh-CN"/>
        </w:rPr>
        <w:t>严格市场准入制度，加强节水评价和取水许可监管，推行负面清单管理，禁止不符合节水标准的项目取用水。推动合同节水管理，在公共机构、高耗水行业、管网漏损控制等领域推广节水服务市场化模式。探索建立节水服务市场，通过</w:t>
      </w:r>
      <w:r>
        <w:rPr>
          <w:rFonts w:hint="eastAsia"/>
          <w:color w:val="auto"/>
          <w:highlight w:val="none"/>
          <w:lang w:eastAsia="zh-CN"/>
        </w:rPr>
        <w:t>“</w:t>
      </w:r>
      <w:r>
        <w:rPr>
          <w:rFonts w:hint="default"/>
          <w:color w:val="auto"/>
          <w:highlight w:val="none"/>
          <w:lang w:val="en-US" w:eastAsia="zh-CN"/>
        </w:rPr>
        <w:t>合同节水管理+水权交易</w:t>
      </w:r>
      <w:r>
        <w:rPr>
          <w:rFonts w:hint="eastAsia"/>
          <w:color w:val="auto"/>
          <w:highlight w:val="none"/>
          <w:lang w:eastAsia="zh-CN"/>
        </w:rPr>
        <w:t>”</w:t>
      </w:r>
      <w:r>
        <w:rPr>
          <w:rFonts w:hint="default"/>
          <w:color w:val="auto"/>
          <w:highlight w:val="none"/>
          <w:lang w:val="en-US" w:eastAsia="zh-CN"/>
        </w:rPr>
        <w:t>形成</w:t>
      </w:r>
      <w:r>
        <w:rPr>
          <w:rFonts w:hint="eastAsia"/>
          <w:color w:val="auto"/>
          <w:highlight w:val="none"/>
          <w:lang w:val="en-US" w:eastAsia="zh-CN"/>
        </w:rPr>
        <w:t>“</w:t>
      </w:r>
      <w:r>
        <w:rPr>
          <w:rFonts w:hint="default"/>
          <w:color w:val="auto"/>
          <w:highlight w:val="none"/>
          <w:lang w:val="en-US" w:eastAsia="zh-CN"/>
        </w:rPr>
        <w:t>谁节水、谁受益</w:t>
      </w:r>
      <w:r>
        <w:rPr>
          <w:rFonts w:hint="eastAsia"/>
          <w:color w:val="auto"/>
          <w:highlight w:val="none"/>
          <w:lang w:eastAsia="zh-CN"/>
        </w:rPr>
        <w:t>”</w:t>
      </w:r>
      <w:r>
        <w:rPr>
          <w:rFonts w:hint="default"/>
          <w:color w:val="auto"/>
          <w:highlight w:val="none"/>
          <w:lang w:val="en-US" w:eastAsia="zh-CN"/>
        </w:rPr>
        <w:t>的良性循环。</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（六）坚持整装推进，破解农业用水占比过高难题</w:t>
      </w:r>
    </w:p>
    <w:p>
      <w:pPr>
        <w:bidi w:val="0"/>
        <w:rPr>
          <w:rFonts w:hint="eastAsia"/>
          <w:color w:val="auto"/>
          <w:highlight w:val="none"/>
          <w:lang w:val="en-US" w:eastAsia="zh-CN"/>
        </w:rPr>
      </w:pPr>
      <w:r>
        <w:rPr>
          <w:rFonts w:hint="eastAsia"/>
          <w:color w:val="auto"/>
          <w:highlight w:val="none"/>
          <w:lang w:val="en-US" w:eastAsia="zh-CN"/>
        </w:rPr>
        <w:t>针对农业用水占比普遍超过94%的结构性矛盾，必须坚决贯彻整装推进模式，彻底扭转传统碎片化的节水改造路径。坚持以县域或大型灌区为单元，一体设计、同步实施水源工程、输配水管网、田间高效节水设施、数字孪生计量监测系统与农业水价综合改革，打破农业农村、水利、自然资源等部门项目壁垒，统筹高标准农田建设、灌区现代化改造、地下水超采治理等资金渠道，实现从</w:t>
      </w:r>
      <w:r>
        <w:rPr>
          <w:rFonts w:hint="eastAsia"/>
          <w:color w:val="auto"/>
          <w:highlight w:val="none"/>
          <w:lang w:eastAsia="zh-CN"/>
        </w:rPr>
        <w:t>“</w:t>
      </w:r>
      <w:r>
        <w:rPr>
          <w:rFonts w:hint="eastAsia"/>
          <w:color w:val="auto"/>
          <w:highlight w:val="none"/>
          <w:lang w:val="en-US" w:eastAsia="zh-CN"/>
        </w:rPr>
        <w:t>水源到田间、工程到机制、建设到管护</w:t>
      </w:r>
      <w:r>
        <w:rPr>
          <w:rFonts w:hint="eastAsia"/>
          <w:color w:val="auto"/>
          <w:highlight w:val="none"/>
          <w:lang w:eastAsia="zh-CN"/>
        </w:rPr>
        <w:t>”</w:t>
      </w:r>
      <w:r>
        <w:rPr>
          <w:rFonts w:hint="eastAsia"/>
          <w:color w:val="auto"/>
          <w:highlight w:val="none"/>
          <w:lang w:val="en-US" w:eastAsia="zh-CN"/>
        </w:rPr>
        <w:t>的全链条优化。通过整装推进，可有效避免重复建设、放大综合节水效益、提升工程可持续性，切实推动农业用水方式由粗放低效向集约高效转变，为确保国家水安全奠定坚实基础。</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（七）完善工程设施体系，提升输配水效率</w:t>
      </w:r>
    </w:p>
    <w:p>
      <w:pPr>
        <w:bidi w:val="0"/>
        <w:rPr>
          <w:rFonts w:hint="eastAsia"/>
          <w:color w:val="auto"/>
          <w:highlight w:val="none"/>
          <w:lang w:val="en-US" w:eastAsia="zh-CN"/>
        </w:rPr>
      </w:pPr>
      <w:r>
        <w:rPr>
          <w:rFonts w:hint="eastAsia"/>
          <w:color w:val="auto"/>
          <w:highlight w:val="none"/>
          <w:lang w:val="en-US" w:eastAsia="zh-CN"/>
        </w:rPr>
        <w:t>工程体系是节水增效的硬件支撑。规划实施大中型灌区续建配套与现代化改造，衬砌干支渠道、改造渠系建筑物，</w:t>
      </w:r>
      <w:r>
        <w:rPr>
          <w:rFonts w:hint="eastAsia"/>
          <w:color w:val="auto"/>
          <w:highlight w:val="none"/>
        </w:rPr>
        <w:t>在井灌区和库灌区积极推行</w:t>
      </w:r>
      <w:r>
        <w:rPr>
          <w:rFonts w:hint="eastAsia"/>
          <w:color w:val="auto"/>
          <w:highlight w:val="none"/>
          <w:lang w:eastAsia="zh-CN"/>
        </w:rPr>
        <w:t>“</w:t>
      </w:r>
      <w:r>
        <w:rPr>
          <w:rFonts w:hint="eastAsia"/>
          <w:color w:val="auto"/>
          <w:highlight w:val="none"/>
        </w:rPr>
        <w:t>管道输水+高标准农田</w:t>
      </w:r>
      <w:r>
        <w:rPr>
          <w:rFonts w:hint="eastAsia"/>
          <w:color w:val="auto"/>
          <w:highlight w:val="none"/>
          <w:lang w:eastAsia="zh-CN"/>
        </w:rPr>
        <w:t>”</w:t>
      </w:r>
      <w:r>
        <w:rPr>
          <w:rFonts w:hint="eastAsia"/>
          <w:color w:val="auto"/>
          <w:highlight w:val="none"/>
        </w:rPr>
        <w:t>高效节水模式，</w:t>
      </w:r>
      <w:r>
        <w:rPr>
          <w:rFonts w:hint="eastAsia"/>
          <w:color w:val="auto"/>
          <w:highlight w:val="none"/>
          <w:lang w:val="en-US" w:eastAsia="zh-CN"/>
        </w:rPr>
        <w:t>减少输配水过程中的渗漏损失，提升骨干工程输水效率。大面积推广喷灌、微灌、高频滴灌水肥一体化等高效节水灌溉技术，特别是大田作物推广水肥一体化技术，果树蔬菜推广微灌技术，配套建设智能化灌溉设施，在田间布设土壤墒情传感器、智能量测水设施，实现灌溉用水精准计量与自动调控，减少田间灌水浪费。同时优化水源工程布局，推进水源互联互通，增强供水保障能力与调配灵活性。</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（八）强化技术支撑体系，赋能精准智慧灌溉</w:t>
      </w:r>
    </w:p>
    <w:p>
      <w:pPr>
        <w:bidi w:val="0"/>
        <w:rPr>
          <w:rFonts w:hint="eastAsia"/>
          <w:color w:val="auto"/>
          <w:highlight w:val="none"/>
          <w:lang w:val="en-US" w:eastAsia="zh-CN"/>
        </w:rPr>
      </w:pPr>
      <w:r>
        <w:rPr>
          <w:rFonts w:hint="eastAsia"/>
          <w:color w:val="auto"/>
          <w:highlight w:val="none"/>
          <w:lang w:val="en-US" w:eastAsia="zh-CN"/>
        </w:rPr>
        <w:t>技术创新是节水增效的核心驱动力。规划大力推进水利信息化灌区建设，在重点大中型灌区建设信息化调度中心，集成自动控制系统、智慧管理平台与智能决策模型，实现取水、输水、配水、灌水全过程统一调度与可视化监控。推广精准灌溉技术，基于土壤墒情监测与作物需水模型，采用测墒灌溉、变量灌溉等非工程措施，实现</w:t>
      </w:r>
      <w:r>
        <w:rPr>
          <w:rFonts w:hint="eastAsia"/>
          <w:color w:val="auto"/>
          <w:highlight w:val="none"/>
          <w:lang w:eastAsia="zh-CN"/>
        </w:rPr>
        <w:t>“</w:t>
      </w:r>
      <w:r>
        <w:rPr>
          <w:rFonts w:hint="eastAsia"/>
          <w:color w:val="auto"/>
          <w:highlight w:val="none"/>
          <w:lang w:val="en-US" w:eastAsia="zh-CN"/>
        </w:rPr>
        <w:t>适时适量</w:t>
      </w:r>
      <w:r>
        <w:rPr>
          <w:rFonts w:hint="eastAsia"/>
          <w:color w:val="auto"/>
          <w:highlight w:val="none"/>
          <w:lang w:eastAsia="zh-CN"/>
        </w:rPr>
        <w:t>”</w:t>
      </w:r>
      <w:r>
        <w:rPr>
          <w:rFonts w:hint="eastAsia"/>
          <w:color w:val="auto"/>
          <w:highlight w:val="none"/>
          <w:lang w:val="en-US" w:eastAsia="zh-CN"/>
        </w:rPr>
        <w:t>精准供水。优化调整适水种植模式，科学压减高耗水作物面积，选育推广耐旱作物新品种，从种植结构层面减少无效用水。加强农田水利科技攻关，研发适合西北干旱区的低成本高效节水技术装备，降低技术推广门槛。</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（九）创新管理服务机制，提升运行管护效能</w:t>
      </w:r>
    </w:p>
    <w:p>
      <w:pPr>
        <w:bidi w:val="0"/>
        <w:rPr>
          <w:rFonts w:hint="eastAsia"/>
          <w:color w:val="auto"/>
          <w:highlight w:val="none"/>
          <w:lang w:val="en-US" w:eastAsia="zh-CN"/>
        </w:rPr>
      </w:pPr>
      <w:r>
        <w:rPr>
          <w:rFonts w:hint="eastAsia"/>
          <w:color w:val="auto"/>
          <w:highlight w:val="none"/>
          <w:lang w:val="en-US" w:eastAsia="zh-CN"/>
        </w:rPr>
        <w:t>高效管理是节水增效的重要保障。规划推行农业灌溉精细化管理，依据水源来水、作物需水与土壤墒情科学制定供用水计划，加强灌溉用水全过程监管，实现</w:t>
      </w:r>
      <w:r>
        <w:rPr>
          <w:rFonts w:hint="eastAsia"/>
          <w:color w:val="auto"/>
          <w:highlight w:val="none"/>
          <w:lang w:eastAsia="zh-CN"/>
        </w:rPr>
        <w:t>“</w:t>
      </w:r>
      <w:r>
        <w:rPr>
          <w:rFonts w:hint="eastAsia"/>
          <w:color w:val="auto"/>
          <w:highlight w:val="none"/>
          <w:lang w:val="en-US" w:eastAsia="zh-CN"/>
        </w:rPr>
        <w:t>全周期</w:t>
      </w:r>
      <w:r>
        <w:rPr>
          <w:rFonts w:hint="eastAsia"/>
          <w:color w:val="auto"/>
          <w:highlight w:val="none"/>
          <w:lang w:eastAsia="zh-CN"/>
        </w:rPr>
        <w:t>”</w:t>
      </w:r>
      <w:r>
        <w:rPr>
          <w:rFonts w:hint="eastAsia"/>
          <w:color w:val="auto"/>
          <w:highlight w:val="none"/>
          <w:lang w:val="en-US" w:eastAsia="zh-CN"/>
        </w:rPr>
        <w:t>管控。培育壮大农民用水合作组织与专业化服务队伍，完善节水灌溉服务网络，推广</w:t>
      </w:r>
      <w:r>
        <w:rPr>
          <w:rFonts w:hint="eastAsia"/>
          <w:color w:val="auto"/>
          <w:highlight w:val="none"/>
          <w:lang w:eastAsia="zh-CN"/>
        </w:rPr>
        <w:t>“</w:t>
      </w:r>
      <w:r>
        <w:rPr>
          <w:rFonts w:hint="eastAsia"/>
          <w:color w:val="auto"/>
          <w:highlight w:val="none"/>
          <w:lang w:val="en-US" w:eastAsia="zh-CN"/>
        </w:rPr>
        <w:t>专业化管理+农户参与</w:t>
      </w:r>
      <w:r>
        <w:rPr>
          <w:rFonts w:hint="eastAsia"/>
          <w:color w:val="auto"/>
          <w:highlight w:val="none"/>
          <w:lang w:eastAsia="zh-CN"/>
        </w:rPr>
        <w:t>”</w:t>
      </w:r>
      <w:r>
        <w:rPr>
          <w:rFonts w:hint="eastAsia"/>
          <w:color w:val="auto"/>
          <w:highlight w:val="none"/>
          <w:lang w:val="en-US" w:eastAsia="zh-CN"/>
        </w:rPr>
        <w:t>模式，解决小型农田水利设施</w:t>
      </w:r>
      <w:r>
        <w:rPr>
          <w:rFonts w:hint="eastAsia"/>
          <w:color w:val="auto"/>
          <w:highlight w:val="none"/>
          <w:lang w:eastAsia="zh-CN"/>
        </w:rPr>
        <w:t>“</w:t>
      </w:r>
      <w:r>
        <w:rPr>
          <w:rFonts w:hint="eastAsia"/>
          <w:color w:val="auto"/>
          <w:highlight w:val="none"/>
          <w:lang w:val="en-US" w:eastAsia="zh-CN"/>
        </w:rPr>
        <w:t>无人管、不会管</w:t>
      </w:r>
      <w:r>
        <w:rPr>
          <w:rFonts w:hint="eastAsia"/>
          <w:color w:val="auto"/>
          <w:highlight w:val="none"/>
          <w:lang w:eastAsia="zh-CN"/>
        </w:rPr>
        <w:t>”</w:t>
      </w:r>
      <w:r>
        <w:rPr>
          <w:rFonts w:hint="eastAsia"/>
          <w:color w:val="auto"/>
          <w:highlight w:val="none"/>
          <w:lang w:val="en-US" w:eastAsia="zh-CN"/>
        </w:rPr>
        <w:t>问题。强化农业节水全过程服务，建立从水源到田间、从工程到技术的综合服务体系，为农户提供灌溉技术指导、设备维护、水费结算等</w:t>
      </w:r>
      <w:r>
        <w:rPr>
          <w:rFonts w:hint="eastAsia"/>
          <w:color w:val="auto"/>
          <w:highlight w:val="none"/>
          <w:lang w:eastAsia="zh-CN"/>
        </w:rPr>
        <w:t>“</w:t>
      </w:r>
      <w:r>
        <w:rPr>
          <w:rFonts w:hint="eastAsia"/>
          <w:color w:val="auto"/>
          <w:highlight w:val="none"/>
          <w:lang w:val="en-US" w:eastAsia="zh-CN"/>
        </w:rPr>
        <w:t>一站式</w:t>
      </w:r>
      <w:r>
        <w:rPr>
          <w:rFonts w:hint="eastAsia"/>
          <w:color w:val="auto"/>
          <w:highlight w:val="none"/>
          <w:lang w:eastAsia="zh-CN"/>
        </w:rPr>
        <w:t>”</w:t>
      </w:r>
      <w:r>
        <w:rPr>
          <w:rFonts w:hint="eastAsia"/>
          <w:color w:val="auto"/>
          <w:highlight w:val="none"/>
          <w:lang w:val="en-US" w:eastAsia="zh-CN"/>
        </w:rPr>
        <w:t>服务。建立农业节水责任考核机制，将节水指标纳入基层水利部门绩效评价，压实管理责任。</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（十）构建激励约束机制，激发节水内生动力</w:t>
      </w:r>
    </w:p>
    <w:p>
      <w:pPr>
        <w:bidi w:val="0"/>
        <w:rPr>
          <w:rFonts w:hint="eastAsia"/>
          <w:color w:val="auto"/>
          <w:highlight w:val="none"/>
          <w:lang w:val="en-US" w:eastAsia="zh-CN"/>
        </w:rPr>
      </w:pPr>
      <w:r>
        <w:rPr>
          <w:rFonts w:hint="eastAsia"/>
          <w:color w:val="auto"/>
          <w:highlight w:val="none"/>
          <w:lang w:val="en-US" w:eastAsia="zh-CN"/>
        </w:rPr>
        <w:t>有效的激励约束机制是节水增效的关键。规划健全用水总量与强度双控指标体系，将农业用水总量指标分解到地县，将农田灌溉水有效利用系数0.59纳入地方政府考核。完善农业水权制度，开展用水权确权登记，推进用水权跨区域、跨行业市场化交易，让节水有收益。落实超定额累进加价制度，对超计划用水实行惩罚性水价，倒逼节约用水。设立农业节水财政奖补资金，对节水改造、水肥一体化、高效节水技术推广给予补贴。强化节水监督执法，严厉打击非法取水、破坏计量设施等行为，确保制度刚性执行。通过</w:t>
      </w:r>
      <w:r>
        <w:rPr>
          <w:rFonts w:hint="eastAsia"/>
          <w:color w:val="auto"/>
          <w:highlight w:val="none"/>
          <w:lang w:eastAsia="zh-CN"/>
        </w:rPr>
        <w:t>“</w:t>
      </w:r>
      <w:r>
        <w:rPr>
          <w:rFonts w:hint="eastAsia"/>
          <w:color w:val="auto"/>
          <w:highlight w:val="none"/>
          <w:lang w:val="en-US" w:eastAsia="zh-CN"/>
        </w:rPr>
        <w:t>奖优罚劣</w:t>
      </w:r>
      <w:r>
        <w:rPr>
          <w:rFonts w:hint="eastAsia"/>
          <w:color w:val="auto"/>
          <w:highlight w:val="none"/>
          <w:lang w:eastAsia="zh-CN"/>
        </w:rPr>
        <w:t>”</w:t>
      </w:r>
      <w:r>
        <w:rPr>
          <w:rFonts w:hint="eastAsia"/>
          <w:color w:val="auto"/>
          <w:highlight w:val="none"/>
          <w:lang w:val="en-US" w:eastAsia="zh-CN"/>
        </w:rPr>
        <w:t>机制，形成</w:t>
      </w:r>
      <w:r>
        <w:rPr>
          <w:rFonts w:hint="eastAsia"/>
          <w:color w:val="auto"/>
          <w:highlight w:val="none"/>
          <w:lang w:eastAsia="zh-CN"/>
        </w:rPr>
        <w:t>“</w:t>
      </w:r>
      <w:r>
        <w:rPr>
          <w:rFonts w:hint="eastAsia"/>
          <w:color w:val="auto"/>
          <w:highlight w:val="none"/>
          <w:lang w:val="en-US" w:eastAsia="zh-CN"/>
        </w:rPr>
        <w:t>要我节水</w:t>
      </w:r>
      <w:r>
        <w:rPr>
          <w:rFonts w:hint="eastAsia"/>
          <w:color w:val="auto"/>
          <w:highlight w:val="none"/>
          <w:lang w:eastAsia="zh-CN"/>
        </w:rPr>
        <w:t>”</w:t>
      </w:r>
      <w:r>
        <w:rPr>
          <w:rFonts w:hint="eastAsia"/>
          <w:color w:val="auto"/>
          <w:highlight w:val="none"/>
          <w:lang w:val="en-US" w:eastAsia="zh-CN"/>
        </w:rPr>
        <w:t>向</w:t>
      </w:r>
      <w:r>
        <w:rPr>
          <w:rFonts w:hint="eastAsia"/>
          <w:color w:val="auto"/>
          <w:highlight w:val="none"/>
          <w:lang w:eastAsia="zh-CN"/>
        </w:rPr>
        <w:t>“</w:t>
      </w:r>
      <w:r>
        <w:rPr>
          <w:rFonts w:hint="eastAsia"/>
          <w:color w:val="auto"/>
          <w:highlight w:val="none"/>
          <w:lang w:val="en-US" w:eastAsia="zh-CN"/>
        </w:rPr>
        <w:t>我要节水</w:t>
      </w:r>
      <w:r>
        <w:rPr>
          <w:rFonts w:hint="eastAsia"/>
          <w:color w:val="auto"/>
          <w:highlight w:val="none"/>
          <w:lang w:eastAsia="zh-CN"/>
        </w:rPr>
        <w:t>”</w:t>
      </w:r>
      <w:r>
        <w:rPr>
          <w:rFonts w:hint="eastAsia"/>
          <w:color w:val="auto"/>
          <w:highlight w:val="none"/>
          <w:lang w:val="en-US" w:eastAsia="zh-CN"/>
        </w:rPr>
        <w:t>转变的良性局面。</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（十一）深化制度保障体系，强化刚性约束与激励引导</w:t>
      </w:r>
    </w:p>
    <w:p>
      <w:pPr>
        <w:bidi w:val="0"/>
        <w:rPr>
          <w:rFonts w:hint="eastAsia"/>
          <w:color w:val="auto"/>
          <w:highlight w:val="none"/>
          <w:lang w:val="en-US" w:eastAsia="zh-CN"/>
        </w:rPr>
      </w:pPr>
      <w:r>
        <w:rPr>
          <w:rFonts w:hint="eastAsia"/>
          <w:color w:val="auto"/>
          <w:highlight w:val="none"/>
          <w:lang w:val="en-US" w:eastAsia="zh-CN"/>
        </w:rPr>
        <w:t>规划强调建立工业节水增效的</w:t>
      </w:r>
      <w:r>
        <w:rPr>
          <w:rFonts w:hint="eastAsia"/>
          <w:color w:val="auto"/>
          <w:highlight w:val="none"/>
          <w:lang w:eastAsia="zh-CN"/>
        </w:rPr>
        <w:t>“</w:t>
      </w:r>
      <w:r>
        <w:rPr>
          <w:rFonts w:hint="eastAsia"/>
          <w:color w:val="auto"/>
          <w:highlight w:val="none"/>
          <w:lang w:val="en-US" w:eastAsia="zh-CN"/>
        </w:rPr>
        <w:t>制度四梁八柱</w:t>
      </w:r>
      <w:r>
        <w:rPr>
          <w:rFonts w:hint="eastAsia"/>
          <w:color w:val="auto"/>
          <w:highlight w:val="none"/>
          <w:lang w:eastAsia="zh-CN"/>
        </w:rPr>
        <w:t>”</w:t>
      </w:r>
      <w:r>
        <w:rPr>
          <w:rFonts w:hint="eastAsia"/>
          <w:color w:val="auto"/>
          <w:highlight w:val="none"/>
          <w:lang w:val="en-US" w:eastAsia="zh-CN"/>
        </w:rPr>
        <w:t>，形成长效约束机制。核心是落实水资源刚性约束制度，制定覆盖火力发电、钢铁、石化、化工、造纸、纺织、食品和发酵等高耗水行业的强制性用水定额标准，建立先进值与限定值分级管控体系，对超定额用水企业严格执行累进加价制度，倒逼企业主动节水。深化农业水价综合改革的成熟经验向工业领域延伸，完善工业用水权市场化交易、节水税收减免与财政奖补机制。健全监督考核机制，将万元工业增加值用水量下降目标纳入地方政府高质量发展绩效考核，定期开展用水审计和水效对标达标，对未按期完成节水改造的企业依法处罚并向社会公开，压实企业主体责任与属地监管责任。</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（十二）强化节水技术改造，提升用水效率与重复利用率</w:t>
      </w:r>
    </w:p>
    <w:p>
      <w:pPr>
        <w:bidi w:val="0"/>
        <w:rPr>
          <w:rFonts w:hint="eastAsia"/>
          <w:color w:val="auto"/>
          <w:highlight w:val="none"/>
          <w:lang w:val="en-US" w:eastAsia="zh-CN"/>
        </w:rPr>
      </w:pPr>
      <w:r>
        <w:rPr>
          <w:rFonts w:hint="eastAsia"/>
          <w:color w:val="auto"/>
          <w:highlight w:val="none"/>
          <w:lang w:val="en-US" w:eastAsia="zh-CN"/>
        </w:rPr>
        <w:t>技术升级是工业节水减排的核心抓手，规划要求实施</w:t>
      </w:r>
      <w:r>
        <w:rPr>
          <w:rFonts w:hint="eastAsia"/>
          <w:color w:val="auto"/>
          <w:highlight w:val="none"/>
          <w:lang w:eastAsia="zh-CN"/>
        </w:rPr>
        <w:t>“</w:t>
      </w:r>
      <w:r>
        <w:rPr>
          <w:rFonts w:hint="eastAsia"/>
          <w:color w:val="auto"/>
          <w:highlight w:val="none"/>
          <w:lang w:val="en-US" w:eastAsia="zh-CN"/>
        </w:rPr>
        <w:t>工艺—装备—系统</w:t>
      </w:r>
      <w:r>
        <w:rPr>
          <w:rFonts w:hint="eastAsia"/>
          <w:color w:val="auto"/>
          <w:highlight w:val="none"/>
          <w:lang w:eastAsia="zh-CN"/>
        </w:rPr>
        <w:t>”</w:t>
      </w:r>
      <w:r>
        <w:rPr>
          <w:rFonts w:hint="eastAsia"/>
          <w:color w:val="auto"/>
          <w:highlight w:val="none"/>
          <w:lang w:val="en-US" w:eastAsia="zh-CN"/>
        </w:rPr>
        <w:t>全流程改造。首先完善供用水计量体系和在线监测系统，在规模以上工业企业推广智能水表、电磁流量计等数字化计量器具，实现企业、园区供用水全过程精准计量与远程传输。其次推动生产工艺节水改造，支持企业开展水平衡测试，推广高效冷却、洗涤、循环用水等节水工艺，鼓励采用串联用水、分质供水、一水多用模式。强化再生水回用与梯级利用，在缺水地区强制推广废水深度处理回用技术，推动企业间水系统集成优化，探索建设</w:t>
      </w:r>
      <w:r>
        <w:rPr>
          <w:rFonts w:hint="eastAsia"/>
          <w:color w:val="auto"/>
          <w:highlight w:val="none"/>
          <w:lang w:eastAsia="zh-CN"/>
        </w:rPr>
        <w:t>“</w:t>
      </w:r>
      <w:r>
        <w:rPr>
          <w:rFonts w:hint="eastAsia"/>
          <w:color w:val="auto"/>
          <w:highlight w:val="none"/>
          <w:lang w:val="en-US" w:eastAsia="zh-CN"/>
        </w:rPr>
        <w:t>近零排放</w:t>
      </w:r>
      <w:r>
        <w:rPr>
          <w:rFonts w:hint="eastAsia"/>
          <w:color w:val="auto"/>
          <w:highlight w:val="none"/>
          <w:lang w:eastAsia="zh-CN"/>
        </w:rPr>
        <w:t>”</w:t>
      </w:r>
      <w:r>
        <w:rPr>
          <w:rFonts w:hint="eastAsia"/>
          <w:color w:val="auto"/>
          <w:highlight w:val="none"/>
          <w:lang w:val="en-US" w:eastAsia="zh-CN"/>
        </w:rPr>
        <w:t>工业园区，力争工业用水重复利用率提升至全国平均水平以上，斩断污水直排源头。</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（十三）聚焦高耗水行业专项治理，推动绿色转型升级</w:t>
      </w:r>
    </w:p>
    <w:p>
      <w:pPr>
        <w:bidi w:val="0"/>
        <w:rPr>
          <w:rFonts w:hint="eastAsia"/>
          <w:color w:val="auto"/>
          <w:highlight w:val="none"/>
          <w:lang w:val="en-US" w:eastAsia="zh-CN"/>
        </w:rPr>
      </w:pPr>
      <w:r>
        <w:rPr>
          <w:rFonts w:hint="eastAsia"/>
          <w:color w:val="auto"/>
          <w:highlight w:val="none"/>
          <w:lang w:val="en-US" w:eastAsia="zh-CN"/>
        </w:rPr>
        <w:t>针对重点行业实施差别化精准管控，规划明确设定工业项目水耗准入门槛。在水资源超载地区、生态脆弱区和地下水超采区，严格控制高耗水新建、改建、扩建项目，推动存量项目向水资源承载能力允许的工业园区集中，实现</w:t>
      </w:r>
      <w:r>
        <w:rPr>
          <w:rFonts w:hint="eastAsia"/>
          <w:color w:val="auto"/>
          <w:highlight w:val="none"/>
          <w:lang w:eastAsia="zh-CN"/>
        </w:rPr>
        <w:t>“</w:t>
      </w:r>
      <w:r>
        <w:rPr>
          <w:rFonts w:hint="eastAsia"/>
          <w:color w:val="auto"/>
          <w:highlight w:val="none"/>
          <w:lang w:val="en-US" w:eastAsia="zh-CN"/>
        </w:rPr>
        <w:t>以水定产</w:t>
      </w:r>
      <w:r>
        <w:rPr>
          <w:rFonts w:hint="eastAsia"/>
          <w:color w:val="auto"/>
          <w:highlight w:val="none"/>
          <w:lang w:eastAsia="zh-CN"/>
        </w:rPr>
        <w:t>”</w:t>
      </w:r>
      <w:r>
        <w:rPr>
          <w:rFonts w:hint="eastAsia"/>
          <w:color w:val="auto"/>
          <w:highlight w:val="none"/>
          <w:lang w:val="en-US" w:eastAsia="zh-CN"/>
        </w:rPr>
        <w:t>。开展重点行业节水专项行动，在火力发电、钢铁等高耗水行业推广节水型企业和园区创建，限期淘汰落后的用水工艺、技术和装备，建成一批节水标杆企业与节水标杆园区。推进绿色制造体系建设，将节水指标纳入绿色工厂、绿色园区评价标准，引导企业采用清洁生产工艺，从源头减少废水产生，推动高耗水行业向绿色低碳转型。</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（十四）构建水循环梯级利用系统，优化园区用水格局</w:t>
      </w:r>
    </w:p>
    <w:p>
      <w:pPr>
        <w:bidi w:val="0"/>
        <w:rPr>
          <w:rFonts w:hint="eastAsia"/>
          <w:color w:val="auto"/>
          <w:highlight w:val="none"/>
          <w:lang w:val="en-US" w:eastAsia="zh-CN"/>
        </w:rPr>
      </w:pPr>
      <w:r>
        <w:rPr>
          <w:rFonts w:hint="eastAsia"/>
          <w:color w:val="auto"/>
          <w:highlight w:val="none"/>
          <w:lang w:val="en-US" w:eastAsia="zh-CN"/>
        </w:rPr>
        <w:t>系统治理是节水减排的关键路径，规划推动现有企业和园区循环化改造。加快节水及水循环利用设施建设，促进企业间串联用水、分质用水、一水多用和循环利用，推动企业间的用水系统集成优化，实现</w:t>
      </w:r>
      <w:r>
        <w:rPr>
          <w:rFonts w:hint="eastAsia"/>
          <w:color w:val="auto"/>
          <w:highlight w:val="none"/>
          <w:lang w:eastAsia="zh-CN"/>
        </w:rPr>
        <w:t>“</w:t>
      </w:r>
      <w:r>
        <w:rPr>
          <w:rFonts w:hint="eastAsia"/>
          <w:color w:val="auto"/>
          <w:highlight w:val="none"/>
          <w:lang w:val="en-US" w:eastAsia="zh-CN"/>
        </w:rPr>
        <w:t>废水不出园</w:t>
      </w:r>
      <w:r>
        <w:rPr>
          <w:rFonts w:hint="eastAsia"/>
          <w:color w:val="auto"/>
          <w:highlight w:val="none"/>
          <w:lang w:eastAsia="zh-CN"/>
        </w:rPr>
        <w:t>”</w:t>
      </w:r>
      <w:r>
        <w:rPr>
          <w:rFonts w:hint="eastAsia"/>
          <w:color w:val="auto"/>
          <w:highlight w:val="none"/>
          <w:lang w:val="en-US" w:eastAsia="zh-CN"/>
        </w:rPr>
        <w:t>。在新建企业和园区规划阶段，要求统筹供排水、水处理及循环利用设施建设，实现水资源循环利用设施与主体工程同步设计、同步施工、同步投运，从规划源头构建循环用水格局。</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（十五）提升数字化监管能力，实现精细化管理</w:t>
      </w:r>
    </w:p>
    <w:p>
      <w:pPr>
        <w:bidi w:val="0"/>
        <w:rPr>
          <w:rFonts w:hint="eastAsia"/>
          <w:color w:val="auto"/>
          <w:highlight w:val="none"/>
          <w:lang w:val="en-US" w:eastAsia="zh-CN"/>
        </w:rPr>
      </w:pPr>
      <w:r>
        <w:rPr>
          <w:rFonts w:hint="eastAsia"/>
          <w:color w:val="auto"/>
          <w:highlight w:val="none"/>
          <w:lang w:val="en-US" w:eastAsia="zh-CN"/>
        </w:rPr>
        <w:t>智慧化管理是制度落地的重要保障，规划要求建设工业节水智慧监管平台。整合企业取水许可、用水计划、在线监测、水效对标等数据，建立工业用水大数据库，实现</w:t>
      </w:r>
      <w:r>
        <w:rPr>
          <w:rFonts w:hint="eastAsia"/>
          <w:color w:val="auto"/>
          <w:highlight w:val="none"/>
          <w:lang w:eastAsia="zh-CN"/>
        </w:rPr>
        <w:t>“</w:t>
      </w:r>
      <w:r>
        <w:rPr>
          <w:rFonts w:hint="eastAsia"/>
          <w:color w:val="auto"/>
          <w:highlight w:val="none"/>
          <w:lang w:val="en-US" w:eastAsia="zh-CN"/>
        </w:rPr>
        <w:t>一企一档</w:t>
      </w:r>
      <w:r>
        <w:rPr>
          <w:rFonts w:hint="eastAsia"/>
          <w:color w:val="auto"/>
          <w:highlight w:val="none"/>
          <w:lang w:eastAsia="zh-CN"/>
        </w:rPr>
        <w:t>”</w:t>
      </w:r>
      <w:r>
        <w:rPr>
          <w:rFonts w:hint="eastAsia"/>
          <w:color w:val="auto"/>
          <w:highlight w:val="none"/>
          <w:lang w:val="en-US" w:eastAsia="zh-CN"/>
        </w:rPr>
        <w:t>动态管理与信息共享。开发智能分析与预警功能，运用AI算法识别企业用水异常、管网漏损等问题，自动触发预警并推送整改建议，变</w:t>
      </w:r>
      <w:r>
        <w:rPr>
          <w:rFonts w:hint="eastAsia"/>
          <w:color w:val="auto"/>
          <w:highlight w:val="none"/>
          <w:lang w:eastAsia="zh-CN"/>
        </w:rPr>
        <w:t>“</w:t>
      </w:r>
      <w:r>
        <w:rPr>
          <w:rFonts w:hint="eastAsia"/>
          <w:color w:val="auto"/>
          <w:highlight w:val="none"/>
          <w:lang w:val="en-US" w:eastAsia="zh-CN"/>
        </w:rPr>
        <w:t>人工巡查</w:t>
      </w:r>
      <w:r>
        <w:rPr>
          <w:rFonts w:hint="eastAsia"/>
          <w:color w:val="auto"/>
          <w:highlight w:val="none"/>
          <w:lang w:eastAsia="zh-CN"/>
        </w:rPr>
        <w:t>”</w:t>
      </w:r>
      <w:r>
        <w:rPr>
          <w:rFonts w:hint="eastAsia"/>
          <w:color w:val="auto"/>
          <w:highlight w:val="none"/>
          <w:lang w:val="en-US" w:eastAsia="zh-CN"/>
        </w:rPr>
        <w:t>为</w:t>
      </w:r>
      <w:r>
        <w:rPr>
          <w:rFonts w:hint="eastAsia"/>
          <w:color w:val="auto"/>
          <w:highlight w:val="none"/>
          <w:lang w:eastAsia="zh-CN"/>
        </w:rPr>
        <w:t>“</w:t>
      </w:r>
      <w:r>
        <w:rPr>
          <w:rFonts w:hint="eastAsia"/>
          <w:color w:val="auto"/>
          <w:highlight w:val="none"/>
          <w:lang w:val="en-US" w:eastAsia="zh-CN"/>
        </w:rPr>
        <w:t>智能诊断</w:t>
      </w:r>
      <w:r>
        <w:rPr>
          <w:rFonts w:hint="eastAsia"/>
          <w:color w:val="auto"/>
          <w:highlight w:val="none"/>
          <w:lang w:eastAsia="zh-CN"/>
        </w:rPr>
        <w:t>”</w:t>
      </w:r>
      <w:r>
        <w:rPr>
          <w:rFonts w:hint="eastAsia"/>
          <w:color w:val="auto"/>
          <w:highlight w:val="none"/>
          <w:lang w:val="en-US" w:eastAsia="zh-CN"/>
        </w:rPr>
        <w:t>。强化跨部门协同监管，打通水资源、生态环境、工业和信息化等部门数据壁垒，实现信息共享、联合执法、信用惩戒。建立节水信息披露制度，定期公布重点行业企业水效领跑者名单和落后者名单，发挥社会监督作用，推动工业节水管理由</w:t>
      </w:r>
      <w:r>
        <w:rPr>
          <w:rFonts w:hint="eastAsia"/>
          <w:color w:val="auto"/>
          <w:highlight w:val="none"/>
          <w:lang w:eastAsia="zh-CN"/>
        </w:rPr>
        <w:t>“</w:t>
      </w:r>
      <w:r>
        <w:rPr>
          <w:rFonts w:hint="eastAsia"/>
          <w:color w:val="auto"/>
          <w:highlight w:val="none"/>
          <w:lang w:val="en-US" w:eastAsia="zh-CN"/>
        </w:rPr>
        <w:t>被动应付</w:t>
      </w:r>
      <w:r>
        <w:rPr>
          <w:rFonts w:hint="eastAsia"/>
          <w:color w:val="auto"/>
          <w:highlight w:val="none"/>
          <w:lang w:eastAsia="zh-CN"/>
        </w:rPr>
        <w:t>”</w:t>
      </w:r>
      <w:r>
        <w:rPr>
          <w:rFonts w:hint="eastAsia"/>
          <w:color w:val="auto"/>
          <w:highlight w:val="none"/>
          <w:lang w:val="en-US" w:eastAsia="zh-CN"/>
        </w:rPr>
        <w:t>向</w:t>
      </w:r>
      <w:r>
        <w:rPr>
          <w:rFonts w:hint="eastAsia"/>
          <w:color w:val="auto"/>
          <w:highlight w:val="none"/>
          <w:lang w:eastAsia="zh-CN"/>
        </w:rPr>
        <w:t>“</w:t>
      </w:r>
      <w:r>
        <w:rPr>
          <w:rFonts w:hint="eastAsia"/>
          <w:color w:val="auto"/>
          <w:highlight w:val="none"/>
          <w:lang w:val="en-US" w:eastAsia="zh-CN"/>
        </w:rPr>
        <w:t>主动预防</w:t>
      </w:r>
      <w:r>
        <w:rPr>
          <w:rFonts w:hint="eastAsia"/>
          <w:color w:val="auto"/>
          <w:highlight w:val="none"/>
          <w:lang w:eastAsia="zh-CN"/>
        </w:rPr>
        <w:t>”</w:t>
      </w:r>
      <w:r>
        <w:rPr>
          <w:rFonts w:hint="eastAsia"/>
          <w:color w:val="auto"/>
          <w:highlight w:val="none"/>
          <w:lang w:val="en-US" w:eastAsia="zh-CN"/>
        </w:rPr>
        <w:t>的根本性转变。</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（十六）夯实制度基础支撑，强化刚性约束与市场激励</w:t>
      </w:r>
    </w:p>
    <w:p>
      <w:pPr>
        <w:rPr>
          <w:rFonts w:hint="eastAsia" w:ascii="Times New Roman" w:hAnsi="Times New Roman" w:eastAsia="方正仿宋_GBK" w:cs="Times New Roman"/>
          <w:b w:val="0"/>
          <w:color w:val="auto"/>
          <w:kern w:val="2"/>
          <w:sz w:val="28"/>
          <w:szCs w:val="28"/>
          <w:highlight w:val="none"/>
          <w:lang w:val="en-US" w:eastAsia="zh-CN" w:bidi="ar-SA"/>
        </w:rPr>
      </w:pPr>
      <w:r>
        <w:rPr>
          <w:rFonts w:hint="eastAsia" w:ascii="Times New Roman" w:hAnsi="Times New Roman" w:eastAsia="方正仿宋_GBK" w:cs="Times New Roman"/>
          <w:b w:val="0"/>
          <w:color w:val="auto"/>
          <w:kern w:val="2"/>
          <w:sz w:val="28"/>
          <w:szCs w:val="28"/>
          <w:highlight w:val="none"/>
          <w:lang w:val="en-US" w:eastAsia="zh-CN" w:bidi="ar-SA"/>
        </w:rPr>
        <w:t>规划要求建立生活节水降损长效制度框架，形成</w:t>
      </w:r>
      <w:r>
        <w:rPr>
          <w:rFonts w:hint="eastAsia"/>
          <w:color w:val="auto"/>
          <w:highlight w:val="none"/>
          <w:lang w:eastAsia="zh-CN"/>
        </w:rPr>
        <w:t>“</w:t>
      </w:r>
      <w:r>
        <w:rPr>
          <w:rFonts w:hint="eastAsia" w:ascii="Times New Roman" w:hAnsi="Times New Roman" w:eastAsia="方正仿宋_GBK" w:cs="Times New Roman"/>
          <w:b w:val="0"/>
          <w:color w:val="auto"/>
          <w:kern w:val="2"/>
          <w:sz w:val="28"/>
          <w:szCs w:val="28"/>
          <w:highlight w:val="none"/>
          <w:lang w:val="en-US" w:eastAsia="zh-CN" w:bidi="ar-SA"/>
        </w:rPr>
        <w:t>约束+激励</w:t>
      </w:r>
      <w:r>
        <w:rPr>
          <w:rFonts w:hint="eastAsia"/>
          <w:color w:val="auto"/>
          <w:highlight w:val="none"/>
          <w:lang w:eastAsia="zh-CN"/>
        </w:rPr>
        <w:t>”</w:t>
      </w:r>
      <w:r>
        <w:rPr>
          <w:rFonts w:hint="eastAsia" w:ascii="Times New Roman" w:hAnsi="Times New Roman" w:eastAsia="方正仿宋_GBK" w:cs="Times New Roman"/>
          <w:b w:val="0"/>
          <w:color w:val="auto"/>
          <w:kern w:val="2"/>
          <w:sz w:val="28"/>
          <w:szCs w:val="28"/>
          <w:highlight w:val="none"/>
          <w:lang w:val="en-US" w:eastAsia="zh-CN" w:bidi="ar-SA"/>
        </w:rPr>
        <w:t>双重机制。核心是完善居民阶梯水价与非居民超定额累进加价制度，适度扩大各阶梯水量基数差距、提高加价标准，强化价格杠杆节水作用。严格实施节水评价制度，对新建、改建、扩建项目节水设施实行</w:t>
      </w:r>
      <w:r>
        <w:rPr>
          <w:rFonts w:hint="eastAsia"/>
          <w:color w:val="auto"/>
          <w:highlight w:val="none"/>
          <w:lang w:eastAsia="zh-CN"/>
        </w:rPr>
        <w:t>“</w:t>
      </w:r>
      <w:r>
        <w:rPr>
          <w:rFonts w:hint="eastAsia" w:ascii="Times New Roman" w:hAnsi="Times New Roman" w:eastAsia="方正仿宋_GBK" w:cs="Times New Roman"/>
          <w:b w:val="0"/>
          <w:color w:val="auto"/>
          <w:kern w:val="2"/>
          <w:sz w:val="28"/>
          <w:szCs w:val="28"/>
          <w:highlight w:val="none"/>
          <w:lang w:val="en-US" w:eastAsia="zh-CN" w:bidi="ar-SA"/>
        </w:rPr>
        <w:t>同时设计、同时施工、同时投产</w:t>
      </w:r>
      <w:r>
        <w:rPr>
          <w:rFonts w:hint="eastAsia"/>
          <w:color w:val="auto"/>
          <w:highlight w:val="none"/>
          <w:lang w:eastAsia="zh-CN"/>
        </w:rPr>
        <w:t>”</w:t>
      </w:r>
      <w:r>
        <w:rPr>
          <w:rFonts w:hint="eastAsia" w:ascii="Times New Roman" w:hAnsi="Times New Roman" w:eastAsia="方正仿宋_GBK" w:cs="Times New Roman"/>
          <w:b w:val="0"/>
          <w:color w:val="auto"/>
          <w:kern w:val="2"/>
          <w:sz w:val="28"/>
          <w:szCs w:val="28"/>
          <w:highlight w:val="none"/>
          <w:lang w:val="en-US" w:eastAsia="zh-CN" w:bidi="ar-SA"/>
        </w:rPr>
        <w:t>的</w:t>
      </w:r>
      <w:r>
        <w:rPr>
          <w:rFonts w:hint="eastAsia"/>
          <w:color w:val="auto"/>
          <w:highlight w:val="none"/>
          <w:lang w:eastAsia="zh-CN"/>
        </w:rPr>
        <w:t>“</w:t>
      </w:r>
      <w:r>
        <w:rPr>
          <w:rFonts w:hint="eastAsia" w:ascii="Times New Roman" w:hAnsi="Times New Roman" w:eastAsia="方正仿宋_GBK" w:cs="Times New Roman"/>
          <w:b w:val="0"/>
          <w:color w:val="auto"/>
          <w:kern w:val="2"/>
          <w:sz w:val="28"/>
          <w:szCs w:val="28"/>
          <w:highlight w:val="none"/>
          <w:lang w:val="en-US" w:eastAsia="zh-CN" w:bidi="ar-SA"/>
        </w:rPr>
        <w:t>三同时</w:t>
      </w:r>
      <w:r>
        <w:rPr>
          <w:rFonts w:hint="eastAsia"/>
          <w:color w:val="auto"/>
          <w:highlight w:val="none"/>
          <w:lang w:eastAsia="zh-CN"/>
        </w:rPr>
        <w:t>”</w:t>
      </w:r>
      <w:r>
        <w:rPr>
          <w:rFonts w:hint="eastAsia" w:ascii="Times New Roman" w:hAnsi="Times New Roman" w:eastAsia="方正仿宋_GBK" w:cs="Times New Roman"/>
          <w:b w:val="0"/>
          <w:color w:val="auto"/>
          <w:kern w:val="2"/>
          <w:sz w:val="28"/>
          <w:szCs w:val="28"/>
          <w:highlight w:val="none"/>
          <w:lang w:val="en-US" w:eastAsia="zh-CN" w:bidi="ar-SA"/>
        </w:rPr>
        <w:t>审查。强化监督考核机制，将城市公共供水管网漏损率、节水器具普及率等指标纳入地方政府高质量发展与最严格水资源管理制度考核，压实城市供水主管部门主体责任，定期开展专项督查与绩效评估，确保制度刚性执行。</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（十七）强化供水管网漏损控制，夯实城市节水基础</w:t>
      </w:r>
    </w:p>
    <w:p>
      <w:pPr>
        <w:rPr>
          <w:rFonts w:hint="eastAsia" w:ascii="Times New Roman" w:hAnsi="Times New Roman" w:eastAsia="方正仿宋_GBK" w:cs="Times New Roman"/>
          <w:b w:val="0"/>
          <w:color w:val="auto"/>
          <w:kern w:val="2"/>
          <w:sz w:val="28"/>
          <w:szCs w:val="28"/>
          <w:highlight w:val="none"/>
          <w:lang w:val="en-US" w:eastAsia="zh-CN" w:bidi="ar-SA"/>
        </w:rPr>
      </w:pPr>
      <w:r>
        <w:rPr>
          <w:rFonts w:hint="eastAsia" w:ascii="Times New Roman" w:hAnsi="Times New Roman" w:eastAsia="方正仿宋_GBK" w:cs="Times New Roman"/>
          <w:b w:val="0"/>
          <w:color w:val="auto"/>
          <w:kern w:val="2"/>
          <w:sz w:val="28"/>
          <w:szCs w:val="28"/>
          <w:highlight w:val="none"/>
          <w:lang w:val="en-US" w:eastAsia="zh-CN" w:bidi="ar-SA"/>
        </w:rPr>
        <w:t>管网降损是生活节水最直接、最有效的抓手，必须将管网漏损控制作为城市节水的重点任务，系统推进设施改造与管理升级。核心举措应聚焦</w:t>
      </w:r>
      <w:r>
        <w:rPr>
          <w:rFonts w:hint="default" w:ascii="Times New Roman" w:hAnsi="Times New Roman" w:eastAsia="方正仿宋_GBK" w:cs="Times New Roman"/>
          <w:b w:val="0"/>
          <w:color w:val="auto"/>
          <w:kern w:val="2"/>
          <w:sz w:val="28"/>
          <w:szCs w:val="28"/>
          <w:highlight w:val="none"/>
          <w:lang w:val="en-US" w:eastAsia="zh-CN" w:bidi="ar-SA"/>
        </w:rPr>
        <w:t>设施改造、精细管理、智能监测、多元投入四个方向。</w:t>
      </w:r>
      <w:r>
        <w:rPr>
          <w:rFonts w:hint="default" w:ascii="Times New Roman" w:hAnsi="Times New Roman" w:eastAsia="方正仿宋_GBK" w:cs="Times New Roman"/>
          <w:b/>
          <w:bCs/>
          <w:color w:val="auto"/>
          <w:kern w:val="2"/>
          <w:sz w:val="28"/>
          <w:szCs w:val="28"/>
          <w:highlight w:val="none"/>
          <w:lang w:val="en-US" w:eastAsia="zh-CN" w:bidi="ar-SA"/>
        </w:rPr>
        <w:t>一是</w:t>
      </w:r>
      <w:r>
        <w:rPr>
          <w:rFonts w:hint="default" w:ascii="Times New Roman" w:hAnsi="Times New Roman" w:eastAsia="方正仿宋_GBK" w:cs="Times New Roman"/>
          <w:b w:val="0"/>
          <w:color w:val="auto"/>
          <w:kern w:val="2"/>
          <w:sz w:val="28"/>
          <w:szCs w:val="28"/>
          <w:highlight w:val="none"/>
          <w:lang w:val="en-US" w:eastAsia="zh-CN" w:bidi="ar-SA"/>
        </w:rPr>
        <w:t>加快老旧管网更新改造，结合城市更新行动，优先更换材质落后、漏损严重的管道，同步推进二次供水设施升级。</w:t>
      </w:r>
      <w:r>
        <w:rPr>
          <w:rFonts w:hint="default" w:ascii="Times New Roman" w:hAnsi="Times New Roman" w:eastAsia="方正仿宋_GBK" w:cs="Times New Roman"/>
          <w:b/>
          <w:bCs/>
          <w:color w:val="auto"/>
          <w:kern w:val="2"/>
          <w:sz w:val="28"/>
          <w:szCs w:val="28"/>
          <w:highlight w:val="none"/>
          <w:lang w:val="en-US" w:eastAsia="zh-CN" w:bidi="ar-SA"/>
        </w:rPr>
        <w:t>二是</w:t>
      </w:r>
      <w:r>
        <w:rPr>
          <w:rFonts w:hint="default" w:ascii="Times New Roman" w:hAnsi="Times New Roman" w:eastAsia="方正仿宋_GBK" w:cs="Times New Roman"/>
          <w:b w:val="0"/>
          <w:color w:val="auto"/>
          <w:kern w:val="2"/>
          <w:sz w:val="28"/>
          <w:szCs w:val="28"/>
          <w:highlight w:val="none"/>
          <w:lang w:val="en-US" w:eastAsia="zh-CN" w:bidi="ar-SA"/>
        </w:rPr>
        <w:t>推行分区计量管理，将供水管网划分为独立区域，通过压力调控和流量监测，精准定位漏损点，提高管理效率。</w:t>
      </w:r>
      <w:r>
        <w:rPr>
          <w:rFonts w:hint="default" w:ascii="Times New Roman" w:hAnsi="Times New Roman" w:eastAsia="方正仿宋_GBK" w:cs="Times New Roman"/>
          <w:b/>
          <w:bCs/>
          <w:color w:val="auto"/>
          <w:kern w:val="2"/>
          <w:sz w:val="28"/>
          <w:szCs w:val="28"/>
          <w:highlight w:val="none"/>
          <w:lang w:val="en-US" w:eastAsia="zh-CN" w:bidi="ar-SA"/>
        </w:rPr>
        <w:t>三是</w:t>
      </w:r>
      <w:r>
        <w:rPr>
          <w:rFonts w:hint="default" w:ascii="Times New Roman" w:hAnsi="Times New Roman" w:eastAsia="方正仿宋_GBK" w:cs="Times New Roman"/>
          <w:b w:val="0"/>
          <w:color w:val="auto"/>
          <w:kern w:val="2"/>
          <w:sz w:val="28"/>
          <w:szCs w:val="28"/>
          <w:highlight w:val="none"/>
          <w:lang w:val="en-US" w:eastAsia="zh-CN" w:bidi="ar-SA"/>
        </w:rPr>
        <w:t>建设智能化监测平台，运用物联网和数据分析技术，实现漏损预警和快速响应。</w:t>
      </w:r>
      <w:r>
        <w:rPr>
          <w:rFonts w:hint="default" w:ascii="Times New Roman" w:hAnsi="Times New Roman" w:eastAsia="方正仿宋_GBK" w:cs="Times New Roman"/>
          <w:b/>
          <w:bCs/>
          <w:color w:val="auto"/>
          <w:kern w:val="2"/>
          <w:sz w:val="28"/>
          <w:szCs w:val="28"/>
          <w:highlight w:val="none"/>
          <w:lang w:val="en-US" w:eastAsia="zh-CN" w:bidi="ar-SA"/>
        </w:rPr>
        <w:t>四是</w:t>
      </w:r>
      <w:r>
        <w:rPr>
          <w:rFonts w:hint="default" w:ascii="Times New Roman" w:hAnsi="Times New Roman" w:eastAsia="方正仿宋_GBK" w:cs="Times New Roman"/>
          <w:b w:val="0"/>
          <w:color w:val="auto"/>
          <w:kern w:val="2"/>
          <w:sz w:val="28"/>
          <w:szCs w:val="28"/>
          <w:highlight w:val="none"/>
          <w:lang w:val="en-US" w:eastAsia="zh-CN" w:bidi="ar-SA"/>
        </w:rPr>
        <w:t>建立政府引导、企业主体、社会参与的投入机制，通过财政支持、水价政策等手段，激励供水企业加大降损投入。</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（十八）推广节水器具与产品，提升终端用水效率</w:t>
      </w:r>
    </w:p>
    <w:p>
      <w:pPr>
        <w:rPr>
          <w:rFonts w:hint="eastAsia" w:ascii="Times New Roman" w:hAnsi="Times New Roman" w:eastAsia="方正仿宋_GBK" w:cs="Times New Roman"/>
          <w:b w:val="0"/>
          <w:color w:val="auto"/>
          <w:kern w:val="2"/>
          <w:sz w:val="28"/>
          <w:szCs w:val="28"/>
          <w:highlight w:val="none"/>
          <w:lang w:val="en-US" w:eastAsia="zh-CN" w:bidi="ar-SA"/>
        </w:rPr>
      </w:pPr>
      <w:r>
        <w:rPr>
          <w:rFonts w:hint="eastAsia" w:ascii="Times New Roman" w:hAnsi="Times New Roman" w:eastAsia="方正仿宋_GBK" w:cs="Times New Roman"/>
          <w:b w:val="0"/>
          <w:color w:val="auto"/>
          <w:kern w:val="2"/>
          <w:sz w:val="28"/>
          <w:szCs w:val="28"/>
          <w:highlight w:val="none"/>
          <w:lang w:val="en-US" w:eastAsia="zh-CN" w:bidi="ar-SA"/>
        </w:rPr>
        <w:t>终端节水是生活节水的关键节点，规划要求从源头提升用水效率。严格执行节水器具水效标准，禁止生产、销售、使用国家明令淘汰的铸铁螺旋升降式水龙头、螺旋升降式淋浴器等非节水型产品，推动公共场所、新建建筑全面采用水效等级2级及以上的节水型水龙头、便器、淋浴器。实施节水器具以旧换新财政补贴政策，鼓励居民家庭主动更换老旧器具，力争节水器具普及率达到90%以上。推动高耗水服务业强制节水改造，建设节水型社区、单位、学校等示范载体，开展县域节水型社会达标建设，发挥典型引领作用，带动全社会终端节水。</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（十九）加强非常规水源利用，拓展城市</w:t>
      </w:r>
      <w:r>
        <w:rPr>
          <w:rFonts w:hint="eastAsia"/>
          <w:color w:val="auto"/>
          <w:highlight w:val="none"/>
          <w:lang w:eastAsia="zh-CN"/>
        </w:rPr>
        <w:t>“</w:t>
      </w:r>
      <w:r>
        <w:rPr>
          <w:rFonts w:hint="eastAsia"/>
          <w:color w:val="auto"/>
          <w:highlight w:val="none"/>
          <w:lang w:val="en-US" w:eastAsia="zh-CN"/>
        </w:rPr>
        <w:t>第二水源</w:t>
      </w:r>
      <w:r>
        <w:rPr>
          <w:rFonts w:hint="eastAsia"/>
          <w:color w:val="auto"/>
          <w:highlight w:val="none"/>
          <w:lang w:eastAsia="zh-CN"/>
        </w:rPr>
        <w:t>”</w:t>
      </w:r>
    </w:p>
    <w:p>
      <w:pPr>
        <w:rPr>
          <w:rFonts w:hint="eastAsia" w:ascii="Times New Roman" w:hAnsi="Times New Roman" w:eastAsia="方正仿宋_GBK" w:cs="Times New Roman"/>
          <w:b w:val="0"/>
          <w:color w:val="auto"/>
          <w:kern w:val="2"/>
          <w:sz w:val="28"/>
          <w:szCs w:val="28"/>
          <w:highlight w:val="none"/>
          <w:lang w:val="en-US" w:eastAsia="zh-CN" w:bidi="ar-SA"/>
        </w:rPr>
      </w:pPr>
      <w:r>
        <w:rPr>
          <w:rFonts w:hint="eastAsia" w:ascii="Times New Roman" w:hAnsi="Times New Roman" w:eastAsia="方正仿宋_GBK" w:cs="Times New Roman"/>
          <w:b w:val="0"/>
          <w:color w:val="auto"/>
          <w:kern w:val="2"/>
          <w:sz w:val="28"/>
          <w:szCs w:val="28"/>
          <w:highlight w:val="none"/>
          <w:lang w:val="en-US" w:eastAsia="zh-CN" w:bidi="ar-SA"/>
        </w:rPr>
        <w:t>非常规水源是</w:t>
      </w:r>
      <w:r>
        <w:rPr>
          <w:rFonts w:hint="eastAsia" w:cs="Times New Roman"/>
          <w:b w:val="0"/>
          <w:color w:val="auto"/>
          <w:kern w:val="2"/>
          <w:sz w:val="28"/>
          <w:szCs w:val="28"/>
          <w:highlight w:val="none"/>
          <w:lang w:val="en-US" w:eastAsia="zh-CN" w:bidi="ar-SA"/>
        </w:rPr>
        <w:t>城镇节水降损</w:t>
      </w:r>
      <w:r>
        <w:rPr>
          <w:rFonts w:hint="eastAsia" w:ascii="Times New Roman" w:hAnsi="Times New Roman" w:eastAsia="方正仿宋_GBK" w:cs="Times New Roman"/>
          <w:b w:val="0"/>
          <w:color w:val="auto"/>
          <w:kern w:val="2"/>
          <w:sz w:val="28"/>
          <w:szCs w:val="28"/>
          <w:highlight w:val="none"/>
          <w:lang w:val="en-US" w:eastAsia="zh-CN" w:bidi="ar-SA"/>
        </w:rPr>
        <w:t>的重要补充，规划要求因地制宜扩大利用规模。推进再生水</w:t>
      </w:r>
      <w:r>
        <w:rPr>
          <w:rFonts w:hint="eastAsia" w:cs="Times New Roman"/>
          <w:b w:val="0"/>
          <w:color w:val="auto"/>
          <w:kern w:val="2"/>
          <w:sz w:val="28"/>
          <w:szCs w:val="28"/>
          <w:highlight w:val="none"/>
          <w:lang w:val="en-US" w:eastAsia="zh-CN" w:bidi="ar-SA"/>
        </w:rPr>
        <w:t>、</w:t>
      </w:r>
      <w:r>
        <w:rPr>
          <w:rFonts w:hint="eastAsia"/>
          <w:color w:val="auto"/>
          <w:highlight w:val="none"/>
          <w:lang w:val="en-US" w:eastAsia="zh-CN"/>
        </w:rPr>
        <w:t>微咸水</w:t>
      </w:r>
      <w:r>
        <w:rPr>
          <w:rFonts w:hint="eastAsia" w:ascii="Times New Roman" w:hAnsi="Times New Roman" w:eastAsia="方正仿宋_GBK" w:cs="Times New Roman"/>
          <w:b w:val="0"/>
          <w:color w:val="auto"/>
          <w:kern w:val="2"/>
          <w:sz w:val="28"/>
          <w:szCs w:val="28"/>
          <w:highlight w:val="none"/>
          <w:lang w:val="en-US" w:eastAsia="zh-CN" w:bidi="ar-SA"/>
        </w:rPr>
        <w:t>就近利用与生态补水，城市绿化浇灌、道路清扫保洁、车辆冲洗、建筑施工等市政杂用优先使用再生水，景观环境用水、河道生态补水鼓励使用再生水，具备条件的地区探索再生水用于工业冷却。提高用水户利用积极性，推动非常规水源纳入水资源统一配置。</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（二十）培育全民节水文化，构建社会共治格局</w:t>
      </w:r>
    </w:p>
    <w:p>
      <w:pPr>
        <w:rPr>
          <w:rFonts w:hint="eastAsia" w:ascii="Times New Roman" w:hAnsi="Times New Roman" w:eastAsia="方正仿宋_GBK" w:cs="Times New Roman"/>
          <w:b w:val="0"/>
          <w:color w:val="auto"/>
          <w:kern w:val="2"/>
          <w:sz w:val="28"/>
          <w:szCs w:val="28"/>
          <w:highlight w:val="none"/>
          <w:lang w:val="en-US" w:eastAsia="zh-CN" w:bidi="ar-SA"/>
        </w:rPr>
      </w:pPr>
      <w:r>
        <w:rPr>
          <w:rFonts w:hint="eastAsia" w:ascii="Times New Roman" w:hAnsi="Times New Roman" w:eastAsia="方正仿宋_GBK" w:cs="Times New Roman"/>
          <w:b w:val="0"/>
          <w:color w:val="auto"/>
          <w:kern w:val="2"/>
          <w:sz w:val="28"/>
          <w:szCs w:val="28"/>
          <w:highlight w:val="none"/>
          <w:lang w:val="en-US" w:eastAsia="zh-CN" w:bidi="ar-SA"/>
        </w:rPr>
        <w:t>社会参与是生活节水的根本保障，规划要求营造浓厚节水氛围。深化节水宣传教育，将节水知识纳入国民素质教育体系与中小学课程，利用</w:t>
      </w:r>
      <w:r>
        <w:rPr>
          <w:rFonts w:hint="eastAsia"/>
          <w:color w:val="auto"/>
          <w:highlight w:val="none"/>
          <w:lang w:eastAsia="zh-CN"/>
        </w:rPr>
        <w:t>“</w:t>
      </w:r>
      <w:r>
        <w:rPr>
          <w:rFonts w:hint="eastAsia" w:ascii="Times New Roman" w:hAnsi="Times New Roman" w:eastAsia="方正仿宋_GBK" w:cs="Times New Roman"/>
          <w:b w:val="0"/>
          <w:color w:val="auto"/>
          <w:kern w:val="2"/>
          <w:sz w:val="28"/>
          <w:szCs w:val="28"/>
          <w:highlight w:val="none"/>
          <w:lang w:val="en-US" w:eastAsia="zh-CN" w:bidi="ar-SA"/>
        </w:rPr>
        <w:t>世界水日</w:t>
      </w:r>
      <w:r>
        <w:rPr>
          <w:rFonts w:hint="eastAsia"/>
          <w:color w:val="auto"/>
          <w:highlight w:val="none"/>
          <w:lang w:eastAsia="zh-CN"/>
        </w:rPr>
        <w:t>”“</w:t>
      </w:r>
      <w:r>
        <w:rPr>
          <w:rFonts w:hint="eastAsia" w:ascii="Times New Roman" w:hAnsi="Times New Roman" w:eastAsia="方正仿宋_GBK" w:cs="Times New Roman"/>
          <w:b w:val="0"/>
          <w:color w:val="auto"/>
          <w:kern w:val="2"/>
          <w:sz w:val="28"/>
          <w:szCs w:val="28"/>
          <w:highlight w:val="none"/>
          <w:lang w:val="en-US" w:eastAsia="zh-CN" w:bidi="ar-SA"/>
        </w:rPr>
        <w:t>中国水周</w:t>
      </w:r>
      <w:r>
        <w:rPr>
          <w:rFonts w:hint="eastAsia"/>
          <w:color w:val="auto"/>
          <w:highlight w:val="none"/>
          <w:lang w:eastAsia="zh-CN"/>
        </w:rPr>
        <w:t>”“</w:t>
      </w:r>
      <w:r>
        <w:rPr>
          <w:rFonts w:hint="eastAsia" w:ascii="Times New Roman" w:hAnsi="Times New Roman" w:eastAsia="方正仿宋_GBK" w:cs="Times New Roman"/>
          <w:b w:val="0"/>
          <w:color w:val="auto"/>
          <w:kern w:val="2"/>
          <w:sz w:val="28"/>
          <w:szCs w:val="28"/>
          <w:highlight w:val="none"/>
          <w:lang w:val="en-US" w:eastAsia="zh-CN" w:bidi="ar-SA"/>
        </w:rPr>
        <w:t>全国城市节约用水宣传周</w:t>
      </w:r>
      <w:r>
        <w:rPr>
          <w:rFonts w:hint="eastAsia"/>
          <w:color w:val="auto"/>
          <w:highlight w:val="none"/>
          <w:lang w:eastAsia="zh-CN"/>
        </w:rPr>
        <w:t>”</w:t>
      </w:r>
      <w:r>
        <w:rPr>
          <w:rFonts w:hint="eastAsia" w:ascii="Times New Roman" w:hAnsi="Times New Roman" w:eastAsia="方正仿宋_GBK" w:cs="Times New Roman"/>
          <w:b w:val="0"/>
          <w:color w:val="auto"/>
          <w:kern w:val="2"/>
          <w:sz w:val="28"/>
          <w:szCs w:val="28"/>
          <w:highlight w:val="none"/>
          <w:lang w:val="en-US" w:eastAsia="zh-CN" w:bidi="ar-SA"/>
        </w:rPr>
        <w:t>等节点开展主题宣传，进社区、进校园、进企业。建设节水教育基地与水情教育基地，开放水厂、节水设施、污水处理厂等供公众参观，增强节水体验感。强化节水志愿者队伍建设，参与节水巡查、宣传与监督。通过全媒体矩阵传播节水故事、曝光浪费行为，营造</w:t>
      </w:r>
      <w:r>
        <w:rPr>
          <w:rFonts w:hint="eastAsia"/>
          <w:color w:val="auto"/>
          <w:highlight w:val="none"/>
          <w:lang w:eastAsia="zh-CN"/>
        </w:rPr>
        <w:t>“</w:t>
      </w:r>
      <w:r>
        <w:rPr>
          <w:rFonts w:hint="eastAsia" w:ascii="Times New Roman" w:hAnsi="Times New Roman" w:eastAsia="方正仿宋_GBK" w:cs="Times New Roman"/>
          <w:b w:val="0"/>
          <w:color w:val="auto"/>
          <w:kern w:val="2"/>
          <w:sz w:val="28"/>
          <w:szCs w:val="28"/>
          <w:highlight w:val="none"/>
          <w:lang w:val="en-US" w:eastAsia="zh-CN" w:bidi="ar-SA"/>
        </w:rPr>
        <w:t>节水光荣、浪费可耻</w:t>
      </w:r>
      <w:r>
        <w:rPr>
          <w:rFonts w:hint="eastAsia"/>
          <w:color w:val="auto"/>
          <w:highlight w:val="none"/>
          <w:lang w:eastAsia="zh-CN"/>
        </w:rPr>
        <w:t>”</w:t>
      </w:r>
      <w:r>
        <w:rPr>
          <w:rFonts w:hint="eastAsia" w:ascii="Times New Roman" w:hAnsi="Times New Roman" w:eastAsia="方正仿宋_GBK" w:cs="Times New Roman"/>
          <w:b w:val="0"/>
          <w:color w:val="auto"/>
          <w:kern w:val="2"/>
          <w:sz w:val="28"/>
          <w:szCs w:val="28"/>
          <w:highlight w:val="none"/>
          <w:lang w:val="en-US" w:eastAsia="zh-CN" w:bidi="ar-SA"/>
        </w:rPr>
        <w:t>的浓厚社会氛围，推动形成全民节水行动自觉，构建政府引导、市场调节、公众参与的节水型社会建设新格局。</w:t>
      </w:r>
    </w:p>
    <w:p>
      <w:pPr>
        <w:pStyle w:val="3"/>
        <w:bidi w:val="0"/>
        <w:rPr>
          <w:rFonts w:hint="eastAsia"/>
          <w:color w:val="auto"/>
          <w:highlight w:val="none"/>
          <w:lang w:val="en-US" w:eastAsia="zh-CN"/>
        </w:rPr>
      </w:pPr>
      <w:bookmarkStart w:id="61" w:name="_Toc24194"/>
      <w:bookmarkStart w:id="62" w:name="_Toc10724"/>
      <w:bookmarkStart w:id="63" w:name="_Toc6469"/>
      <w:r>
        <w:rPr>
          <w:rFonts w:hint="eastAsia"/>
          <w:color w:val="auto"/>
          <w:highlight w:val="none"/>
          <w:lang w:val="en-US" w:eastAsia="zh-CN"/>
        </w:rPr>
        <w:t>三、建设安全韧性现代水网</w:t>
      </w:r>
      <w:bookmarkEnd w:id="61"/>
      <w:bookmarkEnd w:id="62"/>
      <w:bookmarkEnd w:id="63"/>
    </w:p>
    <w:p>
      <w:pPr>
        <w:pStyle w:val="4"/>
        <w:numPr>
          <w:ilvl w:val="2"/>
          <w:numId w:val="0"/>
        </w:numPr>
        <w:bidi w:val="0"/>
        <w:ind w:leftChars="200"/>
        <w:rPr>
          <w:rFonts w:hint="default"/>
          <w:color w:val="auto"/>
          <w:highlight w:val="none"/>
          <w:lang w:val="en-US" w:eastAsia="zh-CN"/>
        </w:rPr>
      </w:pPr>
      <w:r>
        <w:rPr>
          <w:rFonts w:hint="eastAsia"/>
          <w:color w:val="auto"/>
          <w:highlight w:val="none"/>
          <w:lang w:val="en-US" w:eastAsia="zh-CN"/>
        </w:rPr>
        <w:t>（二十一）加快完善水网骨干输水通道</w:t>
      </w:r>
    </w:p>
    <w:p>
      <w:pPr>
        <w:bidi w:val="0"/>
        <w:rPr>
          <w:rFonts w:hint="eastAsia"/>
          <w:color w:val="auto"/>
          <w:highlight w:val="none"/>
          <w:lang w:val="en-US" w:eastAsia="zh-CN"/>
        </w:rPr>
      </w:pPr>
      <w:r>
        <w:rPr>
          <w:rFonts w:hint="eastAsia"/>
          <w:color w:val="auto"/>
          <w:highlight w:val="none"/>
        </w:rPr>
        <w:t>加快完善水网骨干输水通道，是构建现代水网体系的关键所在，其核心功能恰似</w:t>
      </w:r>
      <w:r>
        <w:rPr>
          <w:rFonts w:hint="eastAsia"/>
          <w:color w:val="auto"/>
          <w:highlight w:val="none"/>
          <w:lang w:eastAsia="zh-CN"/>
        </w:rPr>
        <w:t>“</w:t>
      </w:r>
      <w:r>
        <w:rPr>
          <w:rFonts w:hint="eastAsia"/>
          <w:color w:val="auto"/>
          <w:highlight w:val="none"/>
        </w:rPr>
        <w:t>纲</w:t>
      </w:r>
      <w:r>
        <w:rPr>
          <w:rFonts w:hint="eastAsia"/>
          <w:color w:val="auto"/>
          <w:highlight w:val="none"/>
          <w:lang w:eastAsia="zh-CN"/>
        </w:rPr>
        <w:t>”</w:t>
      </w:r>
      <w:r>
        <w:rPr>
          <w:rFonts w:hint="eastAsia"/>
          <w:color w:val="auto"/>
          <w:highlight w:val="none"/>
        </w:rPr>
        <w:t>之于水网</w:t>
      </w:r>
      <w:r>
        <w:rPr>
          <w:rFonts w:hint="eastAsia"/>
          <w:color w:val="auto"/>
          <w:highlight w:val="none"/>
          <w:lang w:val="en-US" w:eastAsia="zh-CN"/>
        </w:rPr>
        <w:t>—</w:t>
      </w:r>
      <w:r>
        <w:rPr>
          <w:rFonts w:hint="eastAsia"/>
          <w:color w:val="auto"/>
          <w:highlight w:val="none"/>
        </w:rPr>
        <w:t>既是统领全局的主骨架，也是贯通南北、连接东西的水资源调配主动脉。骨干输水通道通过重大引调水工程与江河干流主骨架的有机结合，能够实现水资源在更大时空范围内的优化配置与战略储备，有效解决水资源分布不均、供需矛盾突出的结构性问题。其建设不仅承担着提升流域区域水安全保障能力的战略使命，更是实现</w:t>
      </w:r>
      <w:r>
        <w:rPr>
          <w:rFonts w:hint="eastAsia"/>
          <w:color w:val="auto"/>
          <w:highlight w:val="none"/>
          <w:lang w:eastAsia="zh-CN"/>
        </w:rPr>
        <w:t>“</w:t>
      </w:r>
      <w:r>
        <w:rPr>
          <w:rFonts w:hint="eastAsia"/>
          <w:color w:val="auto"/>
          <w:highlight w:val="none"/>
        </w:rPr>
        <w:t>系统完备、安全可靠、集约高效、绿色智能</w:t>
      </w:r>
      <w:r>
        <w:rPr>
          <w:rFonts w:hint="eastAsia"/>
          <w:color w:val="auto"/>
          <w:highlight w:val="none"/>
          <w:lang w:eastAsia="zh-CN"/>
        </w:rPr>
        <w:t>”</w:t>
      </w:r>
      <w:r>
        <w:rPr>
          <w:rFonts w:hint="eastAsia"/>
          <w:color w:val="auto"/>
          <w:highlight w:val="none"/>
        </w:rPr>
        <w:t>的水网目标的重要支撑。因此，必须集中力量推进跨流域跨区域重大水利工程建设，强化通道互联互通与多源互济能力，确保骨干输水通道的系统性、完整性和韧性，从而为经济社会高质量发展提供坚实的水安全基础。</w:t>
      </w:r>
    </w:p>
    <w:p>
      <w:pPr>
        <w:pStyle w:val="4"/>
        <w:numPr>
          <w:ilvl w:val="2"/>
          <w:numId w:val="0"/>
        </w:numPr>
        <w:bidi w:val="0"/>
        <w:ind w:leftChars="200"/>
        <w:rPr>
          <w:rFonts w:hint="default"/>
          <w:color w:val="auto"/>
          <w:highlight w:val="none"/>
          <w:lang w:val="en-US" w:eastAsia="zh-CN"/>
        </w:rPr>
      </w:pPr>
      <w:r>
        <w:rPr>
          <w:rFonts w:hint="eastAsia"/>
          <w:color w:val="auto"/>
          <w:highlight w:val="none"/>
          <w:lang w:val="en-US" w:eastAsia="zh-CN"/>
        </w:rPr>
        <w:t>（二十二）推进区域均衡调控水网建设</w:t>
      </w:r>
    </w:p>
    <w:p>
      <w:pPr>
        <w:bidi w:val="0"/>
        <w:rPr>
          <w:rFonts w:hint="eastAsia"/>
          <w:color w:val="auto"/>
          <w:highlight w:val="none"/>
          <w:lang w:val="en-US" w:eastAsia="zh-CN"/>
        </w:rPr>
      </w:pPr>
      <w:r>
        <w:rPr>
          <w:rFonts w:hint="default"/>
          <w:color w:val="auto"/>
          <w:highlight w:val="none"/>
          <w:lang w:val="en-US" w:eastAsia="zh-CN"/>
        </w:rPr>
        <w:t>推进区域均衡调控水网建设，织密水网的</w:t>
      </w:r>
      <w:r>
        <w:rPr>
          <w:rFonts w:hint="eastAsia"/>
          <w:color w:val="auto"/>
          <w:highlight w:val="none"/>
          <w:lang w:eastAsia="zh-CN"/>
        </w:rPr>
        <w:t>“</w:t>
      </w:r>
      <w:r>
        <w:rPr>
          <w:rFonts w:hint="default"/>
          <w:color w:val="auto"/>
          <w:highlight w:val="none"/>
          <w:lang w:val="en-US" w:eastAsia="zh-CN"/>
        </w:rPr>
        <w:t>目</w:t>
      </w:r>
      <w:r>
        <w:rPr>
          <w:rFonts w:hint="eastAsia"/>
          <w:color w:val="auto"/>
          <w:highlight w:val="none"/>
          <w:lang w:eastAsia="zh-CN"/>
        </w:rPr>
        <w:t>”</w:t>
      </w:r>
      <w:r>
        <w:rPr>
          <w:rFonts w:hint="default"/>
          <w:color w:val="auto"/>
          <w:highlight w:val="none"/>
          <w:lang w:val="en-US" w:eastAsia="zh-CN"/>
        </w:rPr>
        <w:t>，是提升水网整体效能与韧性的关键支撑。作为承上启下的核心层级，区域性河湖水系连通与供水渠道网络如同密布水网的毛细血管，通过横向联通、纵向贯通，将</w:t>
      </w:r>
      <w:r>
        <w:rPr>
          <w:rFonts w:hint="eastAsia"/>
          <w:color w:val="auto"/>
          <w:highlight w:val="none"/>
          <w:lang w:eastAsia="zh-CN"/>
        </w:rPr>
        <w:t>“</w:t>
      </w:r>
      <w:r>
        <w:rPr>
          <w:rFonts w:hint="default"/>
          <w:color w:val="auto"/>
          <w:highlight w:val="none"/>
          <w:lang w:val="en-US" w:eastAsia="zh-CN"/>
        </w:rPr>
        <w:t>纲</w:t>
      </w:r>
      <w:r>
        <w:rPr>
          <w:rFonts w:hint="eastAsia"/>
          <w:color w:val="auto"/>
          <w:highlight w:val="none"/>
          <w:lang w:eastAsia="zh-CN"/>
        </w:rPr>
        <w:t>”</w:t>
      </w:r>
      <w:r>
        <w:rPr>
          <w:rFonts w:hint="default"/>
          <w:color w:val="auto"/>
          <w:highlight w:val="none"/>
          <w:lang w:val="en-US" w:eastAsia="zh-CN"/>
        </w:rPr>
        <w:t>的骨干水源精准输送至城乡供水末端与生态单元，实现水资源在流域与区域间的动态均衡配置与高效利用。织密</w:t>
      </w:r>
      <w:r>
        <w:rPr>
          <w:rFonts w:hint="eastAsia"/>
          <w:color w:val="auto"/>
          <w:highlight w:val="none"/>
          <w:lang w:eastAsia="zh-CN"/>
        </w:rPr>
        <w:t>“</w:t>
      </w:r>
      <w:r>
        <w:rPr>
          <w:rFonts w:hint="default"/>
          <w:color w:val="auto"/>
          <w:highlight w:val="none"/>
          <w:lang w:val="en-US" w:eastAsia="zh-CN"/>
        </w:rPr>
        <w:t>目</w:t>
      </w:r>
      <w:r>
        <w:rPr>
          <w:rFonts w:hint="eastAsia"/>
          <w:color w:val="auto"/>
          <w:highlight w:val="none"/>
          <w:lang w:eastAsia="zh-CN"/>
        </w:rPr>
        <w:t>”</w:t>
      </w:r>
      <w:r>
        <w:rPr>
          <w:rFonts w:hint="default"/>
          <w:color w:val="auto"/>
          <w:highlight w:val="none"/>
          <w:lang w:val="en-US" w:eastAsia="zh-CN"/>
        </w:rPr>
        <w:t>的重点在于打通输配水堵点、消除城乡供水断层、完善多源互补体系，形成</w:t>
      </w:r>
      <w:r>
        <w:rPr>
          <w:rFonts w:hint="eastAsia"/>
          <w:color w:val="auto"/>
          <w:highlight w:val="none"/>
          <w:lang w:eastAsia="zh-CN"/>
        </w:rPr>
        <w:t>“</w:t>
      </w:r>
      <w:r>
        <w:rPr>
          <w:rFonts w:hint="default"/>
          <w:color w:val="auto"/>
          <w:highlight w:val="none"/>
          <w:lang w:val="en-US" w:eastAsia="zh-CN"/>
        </w:rPr>
        <w:t>干支协同、丰枯调剂、智能响应</w:t>
      </w:r>
      <w:r>
        <w:rPr>
          <w:rFonts w:hint="eastAsia"/>
          <w:color w:val="auto"/>
          <w:highlight w:val="none"/>
          <w:lang w:eastAsia="zh-CN"/>
        </w:rPr>
        <w:t>”</w:t>
      </w:r>
      <w:r>
        <w:rPr>
          <w:rFonts w:hint="default"/>
          <w:color w:val="auto"/>
          <w:highlight w:val="none"/>
          <w:lang w:val="en-US" w:eastAsia="zh-CN"/>
        </w:rPr>
        <w:t>的调控格局，既保障重大战略区域用水安全，又提升基层水网覆盖广度与调配精度。因此，必须加快区域水网互联互通与数字化改造，强化水量水质联合调度与应急保障能力，以</w:t>
      </w:r>
      <w:r>
        <w:rPr>
          <w:rFonts w:hint="eastAsia"/>
          <w:color w:val="auto"/>
          <w:highlight w:val="none"/>
          <w:lang w:eastAsia="zh-CN"/>
        </w:rPr>
        <w:t>“</w:t>
      </w:r>
      <w:r>
        <w:rPr>
          <w:rFonts w:hint="default"/>
          <w:color w:val="auto"/>
          <w:highlight w:val="none"/>
          <w:lang w:val="en-US" w:eastAsia="zh-CN"/>
        </w:rPr>
        <w:t>织网成目、联网增效</w:t>
      </w:r>
      <w:r>
        <w:rPr>
          <w:rFonts w:hint="eastAsia"/>
          <w:color w:val="auto"/>
          <w:highlight w:val="none"/>
          <w:lang w:eastAsia="zh-CN"/>
        </w:rPr>
        <w:t>”</w:t>
      </w:r>
      <w:r>
        <w:rPr>
          <w:rFonts w:hint="default"/>
          <w:color w:val="auto"/>
          <w:highlight w:val="none"/>
          <w:lang w:val="en-US" w:eastAsia="zh-CN"/>
        </w:rPr>
        <w:t>推动构建城乡一体、人水和谐的现代化水网体系，为水网战略落地提供坚实的区域承载基础。</w:t>
      </w:r>
    </w:p>
    <w:p>
      <w:pPr>
        <w:bidi w:val="0"/>
        <w:rPr>
          <w:rFonts w:hint="eastAsia"/>
          <w:color w:val="auto"/>
          <w:highlight w:val="none"/>
          <w:lang w:eastAsia="zh-CN"/>
        </w:rPr>
      </w:pPr>
      <w:r>
        <w:rPr>
          <w:rFonts w:hint="eastAsia"/>
          <w:b/>
          <w:bCs/>
          <w:color w:val="auto"/>
          <w:highlight w:val="none"/>
          <w:lang w:val="en-US" w:eastAsia="zh-CN"/>
        </w:rPr>
        <w:t>加快推进区域水资源配置工程建设。</w:t>
      </w:r>
      <w:r>
        <w:rPr>
          <w:rFonts w:hint="eastAsia"/>
          <w:color w:val="auto"/>
          <w:highlight w:val="none"/>
          <w:lang w:val="en-US" w:eastAsia="zh-CN"/>
        </w:rPr>
        <w:t>为承接骨干水源、统筹区内供需、调剂丰枯余缺，加快推进区域水资源配置工程建设，加快构建</w:t>
      </w:r>
      <w:r>
        <w:rPr>
          <w:rFonts w:hint="eastAsia"/>
          <w:color w:val="auto"/>
          <w:highlight w:val="none"/>
          <w:lang w:eastAsia="zh-CN"/>
        </w:rPr>
        <w:t>“</w:t>
      </w:r>
      <w:r>
        <w:rPr>
          <w:rFonts w:hint="eastAsia"/>
          <w:color w:val="auto"/>
          <w:highlight w:val="none"/>
          <w:lang w:val="en-US" w:eastAsia="zh-CN"/>
        </w:rPr>
        <w:t>多源互补、互联互通、安全高效</w:t>
      </w:r>
      <w:r>
        <w:rPr>
          <w:rFonts w:hint="eastAsia"/>
          <w:color w:val="auto"/>
          <w:highlight w:val="none"/>
          <w:lang w:eastAsia="zh-CN"/>
        </w:rPr>
        <w:t>”</w:t>
      </w:r>
      <w:r>
        <w:rPr>
          <w:rFonts w:hint="eastAsia"/>
          <w:color w:val="auto"/>
          <w:highlight w:val="none"/>
          <w:lang w:val="en-US" w:eastAsia="zh-CN"/>
        </w:rPr>
        <w:t>的区域配置网络</w:t>
      </w:r>
      <w:r>
        <w:rPr>
          <w:rFonts w:hint="eastAsia"/>
          <w:color w:val="auto"/>
          <w:highlight w:val="none"/>
          <w:lang w:eastAsia="zh-CN"/>
        </w:rPr>
        <w:t>。</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（二十三）强化调蓄保障能力建设</w:t>
      </w:r>
    </w:p>
    <w:p>
      <w:pPr>
        <w:ind w:firstLine="640"/>
        <w:rPr>
          <w:rFonts w:hint="default"/>
          <w:color w:val="auto"/>
          <w:highlight w:val="none"/>
          <w:lang w:val="en-US" w:eastAsia="zh-CN"/>
        </w:rPr>
      </w:pPr>
      <w:r>
        <w:rPr>
          <w:rFonts w:hint="eastAsia"/>
          <w:b/>
          <w:bCs/>
          <w:color w:val="auto"/>
          <w:highlight w:val="none"/>
          <w:lang w:val="en-US" w:eastAsia="zh-CN"/>
        </w:rPr>
        <w:t>加强调蓄工程和水源工程建设。</w:t>
      </w:r>
      <w:r>
        <w:rPr>
          <w:rFonts w:hint="eastAsia"/>
          <w:color w:val="auto"/>
          <w:highlight w:val="none"/>
          <w:lang w:val="en-US" w:eastAsia="zh-CN"/>
        </w:rPr>
        <w:t>续建和</w:t>
      </w:r>
      <w:r>
        <w:rPr>
          <w:rFonts w:hint="eastAsia" w:ascii="Times New Roman" w:hAnsi="Times New Roman" w:cs="Times New Roman"/>
          <w:color w:val="auto"/>
          <w:highlight w:val="none"/>
          <w:lang w:val="en-US" w:eastAsia="zh-CN"/>
        </w:rPr>
        <w:t>新建平原小型水源工程，解决我区水</w:t>
      </w:r>
      <w:r>
        <w:rPr>
          <w:rFonts w:hint="eastAsia"/>
          <w:color w:val="auto"/>
          <w:highlight w:val="none"/>
          <w:lang w:val="en-US" w:eastAsia="zh-CN"/>
        </w:rPr>
        <w:t>资源时空分布不均、调蓄能力不足问题，提高供水保障水平、增强防汛抗旱能力、提升粮食产能、全面推进乡村振兴、促进经济社会高质量发展。</w:t>
      </w:r>
    </w:p>
    <w:p>
      <w:pPr>
        <w:bidi w:val="0"/>
        <w:rPr>
          <w:rFonts w:hint="default" w:eastAsia="方正仿宋_GBK"/>
          <w:color w:val="auto"/>
          <w:highlight w:val="none"/>
          <w:lang w:val="en-US" w:eastAsia="zh-CN"/>
        </w:rPr>
      </w:pPr>
      <w:r>
        <w:rPr>
          <w:rFonts w:hint="eastAsia"/>
          <w:b/>
          <w:bCs/>
          <w:color w:val="auto"/>
          <w:highlight w:val="none"/>
          <w:lang w:val="en-US" w:eastAsia="zh-CN"/>
        </w:rPr>
        <w:t>实施</w:t>
      </w:r>
      <w:r>
        <w:rPr>
          <w:rFonts w:hint="default"/>
          <w:b/>
          <w:bCs/>
          <w:color w:val="auto"/>
          <w:highlight w:val="none"/>
          <w:lang w:val="en-US" w:eastAsia="zh-CN"/>
        </w:rPr>
        <w:t>平原水库调蓄增效工程</w:t>
      </w:r>
      <w:r>
        <w:rPr>
          <w:rFonts w:hint="eastAsia"/>
          <w:b/>
          <w:bCs/>
          <w:color w:val="auto"/>
          <w:highlight w:val="none"/>
          <w:lang w:val="en-US" w:eastAsia="zh-CN"/>
        </w:rPr>
        <w:t>。</w:t>
      </w:r>
      <w:r>
        <w:rPr>
          <w:rFonts w:hint="eastAsia"/>
          <w:color w:val="auto"/>
          <w:highlight w:val="none"/>
          <w:lang w:val="en-US" w:eastAsia="zh-CN"/>
        </w:rPr>
        <w:t>平原水库对喀什地区灌溉农业发挥了不可磨灭的历史作用，至今仍是众多灌区春秋季灌溉的关键调节水源。为充分利用洪水资源、缓解径流不均，这些水库在汛期大量引水，但夏季洪水携带的高含沙量导致泥沙淤积现象普遍且日益严重。随着淤积量持续增加，水库调蓄能力显著下降，已无法正常发挥应有的调蓄作用，这凸显了清淤工作的必要性。</w:t>
      </w:r>
    </w:p>
    <w:p>
      <w:pPr>
        <w:keepNext w:val="0"/>
        <w:keepLines w:val="0"/>
        <w:pageBreakBefore w:val="0"/>
        <w:widowControl/>
        <w:kinsoku/>
        <w:wordWrap/>
        <w:overflowPunct/>
        <w:topLinePunct w:val="0"/>
        <w:autoSpaceDE/>
        <w:autoSpaceDN/>
        <w:bidi w:val="0"/>
        <w:adjustRightInd/>
        <w:snapToGrid/>
        <w:spacing w:line="560" w:lineRule="exact"/>
        <w:ind w:firstLine="562" w:firstLineChars="200"/>
        <w:jc w:val="both"/>
        <w:textAlignment w:val="auto"/>
        <w:rPr>
          <w:color w:val="auto"/>
          <w:highlight w:val="none"/>
        </w:rPr>
      </w:pPr>
      <w:r>
        <w:rPr>
          <w:rFonts w:hint="eastAsia"/>
          <w:b/>
          <w:bCs/>
          <w:color w:val="auto"/>
          <w:highlight w:val="none"/>
          <w:lang w:val="en-US" w:eastAsia="zh-CN"/>
        </w:rPr>
        <w:t>持续开展病险水库与水闸除险加固。</w:t>
      </w:r>
      <w:r>
        <w:rPr>
          <w:rFonts w:hint="eastAsia"/>
          <w:b w:val="0"/>
          <w:bCs w:val="0"/>
          <w:color w:val="auto"/>
          <w:highlight w:val="none"/>
          <w:lang w:val="en-US" w:eastAsia="zh-CN"/>
        </w:rPr>
        <w:t>为</w:t>
      </w:r>
      <w:r>
        <w:rPr>
          <w:rFonts w:hint="eastAsia"/>
          <w:color w:val="auto"/>
          <w:highlight w:val="none"/>
          <w:lang w:val="en-US" w:eastAsia="zh-CN"/>
        </w:rPr>
        <w:t>消除流域防洪</w:t>
      </w:r>
      <w:r>
        <w:rPr>
          <w:rFonts w:hint="eastAsia"/>
          <w:color w:val="auto"/>
          <w:highlight w:val="none"/>
          <w:lang w:eastAsia="zh-CN"/>
        </w:rPr>
        <w:t>“</w:t>
      </w:r>
      <w:r>
        <w:rPr>
          <w:rFonts w:hint="eastAsia"/>
          <w:color w:val="auto"/>
          <w:highlight w:val="none"/>
          <w:lang w:val="en-US" w:eastAsia="zh-CN"/>
        </w:rPr>
        <w:t>咽喉</w:t>
      </w:r>
      <w:r>
        <w:rPr>
          <w:rFonts w:hint="eastAsia"/>
          <w:color w:val="auto"/>
          <w:highlight w:val="none"/>
          <w:lang w:eastAsia="zh-CN"/>
        </w:rPr>
        <w:t>”</w:t>
      </w:r>
      <w:r>
        <w:rPr>
          <w:rFonts w:hint="eastAsia"/>
          <w:color w:val="auto"/>
          <w:highlight w:val="none"/>
          <w:lang w:val="en-US" w:eastAsia="zh-CN"/>
        </w:rPr>
        <w:t>风险、提升水安全保障能力，</w:t>
      </w:r>
      <w:r>
        <w:rPr>
          <w:rFonts w:hint="eastAsia"/>
          <w:color w:val="auto"/>
          <w:highlight w:val="none"/>
          <w:lang w:eastAsia="zh-CN"/>
        </w:rPr>
        <w:t>“</w:t>
      </w:r>
      <w:r>
        <w:rPr>
          <w:rFonts w:hint="eastAsia"/>
          <w:color w:val="auto"/>
          <w:highlight w:val="none"/>
          <w:lang w:val="en-US" w:eastAsia="zh-CN"/>
        </w:rPr>
        <w:t>十五五</w:t>
      </w:r>
      <w:r>
        <w:rPr>
          <w:rFonts w:hint="eastAsia"/>
          <w:color w:val="auto"/>
          <w:highlight w:val="none"/>
          <w:lang w:eastAsia="zh-CN"/>
        </w:rPr>
        <w:t>”</w:t>
      </w:r>
      <w:r>
        <w:rPr>
          <w:rFonts w:hint="eastAsia"/>
          <w:color w:val="auto"/>
          <w:highlight w:val="none"/>
          <w:lang w:val="en-US" w:eastAsia="zh-CN"/>
        </w:rPr>
        <w:t>期间，一是按《水库大坝安全鉴定办法》完成全地区水库新一轮鉴定，将三类坝的水库上报水利厅争取中央资金加固，消除坝体滑坡、渗漏等隐患；二是强化水库安全管理，加快推进老旧水库改造提升；三是按《水闸安全鉴定管理办法》对</w:t>
      </w:r>
      <w:r>
        <w:rPr>
          <w:rFonts w:hint="eastAsia"/>
          <w:color w:val="auto"/>
          <w:highlight w:val="none"/>
          <w:lang w:eastAsia="zh-CN"/>
        </w:rPr>
        <w:t>“</w:t>
      </w:r>
      <w:r>
        <w:rPr>
          <w:rFonts w:hint="eastAsia"/>
          <w:color w:val="auto"/>
          <w:highlight w:val="none"/>
          <w:lang w:val="en-US" w:eastAsia="zh-CN"/>
        </w:rPr>
        <w:t>十四五</w:t>
      </w:r>
      <w:r>
        <w:rPr>
          <w:rFonts w:hint="eastAsia"/>
          <w:color w:val="auto"/>
          <w:highlight w:val="none"/>
          <w:lang w:eastAsia="zh-CN"/>
        </w:rPr>
        <w:t>”</w:t>
      </w:r>
      <w:r>
        <w:rPr>
          <w:rFonts w:hint="eastAsia"/>
          <w:color w:val="auto"/>
          <w:highlight w:val="none"/>
          <w:lang w:val="en-US" w:eastAsia="zh-CN"/>
        </w:rPr>
        <w:t>已完建水闸</w:t>
      </w:r>
      <w:r>
        <w:rPr>
          <w:rFonts w:hint="eastAsia"/>
          <w:color w:val="auto"/>
          <w:highlight w:val="none"/>
        </w:rPr>
        <w:t>及时进行竣工验收，竣工验收5年后开展水闸安全鉴定工作。</w:t>
      </w:r>
    </w:p>
    <w:p>
      <w:pPr>
        <w:pStyle w:val="4"/>
        <w:numPr>
          <w:ilvl w:val="2"/>
          <w:numId w:val="0"/>
        </w:numPr>
        <w:bidi w:val="0"/>
        <w:ind w:leftChars="200"/>
        <w:rPr>
          <w:rFonts w:hint="eastAsia"/>
          <w:color w:val="auto"/>
          <w:highlight w:val="none"/>
          <w:lang w:val="en-US" w:eastAsia="zh-CN"/>
        </w:rPr>
      </w:pPr>
      <w:bookmarkStart w:id="64" w:name="_Toc7929"/>
      <w:bookmarkStart w:id="65" w:name="_Toc22682"/>
      <w:r>
        <w:rPr>
          <w:rFonts w:hint="eastAsia"/>
          <w:color w:val="auto"/>
          <w:highlight w:val="none"/>
          <w:lang w:val="en-US" w:eastAsia="zh-CN"/>
        </w:rPr>
        <w:t>（二十四）加强灌区现代化建设与改造</w:t>
      </w:r>
      <w:bookmarkEnd w:id="64"/>
      <w:bookmarkEnd w:id="65"/>
      <w:r>
        <w:rPr>
          <w:rFonts w:hint="eastAsia"/>
          <w:color w:val="auto"/>
          <w:highlight w:val="none"/>
          <w:lang w:val="en-US" w:eastAsia="zh-CN"/>
        </w:rPr>
        <w:tab/>
      </w:r>
    </w:p>
    <w:p>
      <w:pPr>
        <w:bidi w:val="0"/>
        <w:rPr>
          <w:rFonts w:hint="default"/>
          <w:color w:val="auto"/>
          <w:highlight w:val="none"/>
          <w:lang w:val="en-US" w:eastAsia="zh-CN"/>
        </w:rPr>
      </w:pPr>
      <w:r>
        <w:rPr>
          <w:rFonts w:hint="eastAsia"/>
          <w:b/>
          <w:bCs/>
          <w:color w:val="auto"/>
          <w:highlight w:val="none"/>
          <w:lang w:val="en-US" w:eastAsia="zh-CN"/>
        </w:rPr>
        <w:t>加快大中型灌区现代化改造。</w:t>
      </w:r>
      <w:r>
        <w:rPr>
          <w:rFonts w:hint="eastAsia"/>
          <w:color w:val="auto"/>
          <w:highlight w:val="none"/>
          <w:lang w:val="en-US" w:eastAsia="zh-CN"/>
        </w:rPr>
        <w:t>加快</w:t>
      </w:r>
      <w:r>
        <w:rPr>
          <w:rFonts w:hint="default"/>
          <w:color w:val="auto"/>
          <w:highlight w:val="none"/>
          <w:lang w:val="en-US" w:eastAsia="zh-CN"/>
        </w:rPr>
        <w:t>叶尔羌河</w:t>
      </w:r>
      <w:r>
        <w:rPr>
          <w:rFonts w:hint="eastAsia"/>
          <w:color w:val="auto"/>
          <w:highlight w:val="none"/>
          <w:lang w:val="en-US" w:eastAsia="zh-CN"/>
        </w:rPr>
        <w:t>、喀什噶尔河</w:t>
      </w:r>
      <w:r>
        <w:rPr>
          <w:rFonts w:hint="default"/>
          <w:color w:val="auto"/>
          <w:highlight w:val="none"/>
          <w:lang w:val="en-US" w:eastAsia="zh-CN"/>
        </w:rPr>
        <w:t>大型灌区续建配套与现代化改造项目</w:t>
      </w:r>
      <w:r>
        <w:rPr>
          <w:rFonts w:hint="eastAsia"/>
          <w:color w:val="auto"/>
          <w:highlight w:val="none"/>
          <w:lang w:val="en-US" w:eastAsia="zh-CN"/>
        </w:rPr>
        <w:t>及中型</w:t>
      </w:r>
      <w:r>
        <w:rPr>
          <w:rFonts w:hint="eastAsia"/>
          <w:color w:val="auto"/>
          <w:highlight w:val="none"/>
        </w:rPr>
        <w:t>灌区续建配套与节水改造续建配套与节水改造</w:t>
      </w:r>
      <w:r>
        <w:rPr>
          <w:rFonts w:hint="eastAsia"/>
          <w:color w:val="auto"/>
          <w:highlight w:val="none"/>
          <w:lang w:val="en-US" w:eastAsia="zh-CN"/>
        </w:rPr>
        <w:t>，以岳普湖县节水模式为标杆，推进新时代坎儿井工程规划，实现水库替代传统坎儿井水源工程</w:t>
      </w:r>
      <w:r>
        <w:rPr>
          <w:rFonts w:hint="eastAsia"/>
          <w:color w:val="auto"/>
          <w:highlight w:val="none"/>
          <w:lang w:eastAsia="zh-CN"/>
        </w:rPr>
        <w:t>，</w:t>
      </w:r>
      <w:r>
        <w:rPr>
          <w:rFonts w:hint="eastAsia"/>
          <w:color w:val="auto"/>
          <w:highlight w:val="none"/>
        </w:rPr>
        <w:t>构建与农业现代化相适应的灌溉保障体系，推进地区农牧业高质量发展，夯实粮食安全基础，助力乡村振兴与生态文明建设。</w:t>
      </w:r>
    </w:p>
    <w:p>
      <w:pPr>
        <w:pStyle w:val="4"/>
        <w:numPr>
          <w:ilvl w:val="2"/>
          <w:numId w:val="0"/>
        </w:numPr>
        <w:bidi w:val="0"/>
        <w:ind w:leftChars="200"/>
        <w:rPr>
          <w:rFonts w:hint="eastAsia"/>
          <w:color w:val="auto"/>
          <w:highlight w:val="none"/>
          <w:lang w:val="en-US" w:eastAsia="zh-CN"/>
        </w:rPr>
      </w:pPr>
      <w:bookmarkStart w:id="66" w:name="_Toc5033"/>
      <w:bookmarkStart w:id="67" w:name="_Toc25789"/>
      <w:r>
        <w:rPr>
          <w:rFonts w:hint="eastAsia"/>
          <w:color w:val="auto"/>
          <w:highlight w:val="none"/>
          <w:lang w:val="en-US" w:eastAsia="zh-CN"/>
        </w:rPr>
        <w:t>（二十五）健全农村供水保障体系</w:t>
      </w:r>
      <w:bookmarkEnd w:id="66"/>
      <w:bookmarkEnd w:id="67"/>
    </w:p>
    <w:p>
      <w:pPr>
        <w:bidi w:val="0"/>
        <w:rPr>
          <w:rFonts w:hint="eastAsia"/>
          <w:color w:val="auto"/>
          <w:highlight w:val="none"/>
          <w:lang w:val="en-US" w:eastAsia="zh-CN"/>
        </w:rPr>
      </w:pPr>
      <w:r>
        <w:rPr>
          <w:rFonts w:hint="eastAsia"/>
          <w:color w:val="auto"/>
          <w:highlight w:val="none"/>
        </w:rPr>
        <w:t>大力推进集中供水规模化，按照</w:t>
      </w:r>
      <w:r>
        <w:rPr>
          <w:rFonts w:hint="eastAsia"/>
          <w:color w:val="auto"/>
          <w:highlight w:val="none"/>
          <w:lang w:eastAsia="zh-CN"/>
        </w:rPr>
        <w:t>“</w:t>
      </w:r>
      <w:r>
        <w:rPr>
          <w:rFonts w:hint="eastAsia"/>
          <w:color w:val="auto"/>
          <w:highlight w:val="none"/>
        </w:rPr>
        <w:t>建大、并中、减小</w:t>
      </w:r>
      <w:r>
        <w:rPr>
          <w:rFonts w:hint="eastAsia"/>
          <w:color w:val="auto"/>
          <w:highlight w:val="none"/>
          <w:lang w:eastAsia="zh-CN"/>
        </w:rPr>
        <w:t>”</w:t>
      </w:r>
      <w:r>
        <w:rPr>
          <w:rFonts w:hint="eastAsia"/>
          <w:color w:val="auto"/>
          <w:highlight w:val="none"/>
        </w:rPr>
        <w:t>的原则，最大限度扩大规模化供水范围；对确实无法纳入城乡供水一体化、规模化供水范围的</w:t>
      </w:r>
      <w:r>
        <w:rPr>
          <w:rFonts w:hint="eastAsia"/>
          <w:color w:val="auto"/>
          <w:highlight w:val="none"/>
          <w:lang w:val="en-US" w:eastAsia="zh-CN"/>
        </w:rPr>
        <w:t>地区，因地制宜实施小型供水工程规范化建设和改造，统一建设管理标准，不落一户一人。</w:t>
      </w:r>
    </w:p>
    <w:p>
      <w:pPr>
        <w:bidi w:val="0"/>
        <w:rPr>
          <w:rFonts w:hint="eastAsia"/>
          <w:color w:val="auto"/>
          <w:highlight w:val="none"/>
          <w:lang w:val="en-US" w:eastAsia="zh-CN"/>
        </w:rPr>
      </w:pPr>
      <w:bookmarkStart w:id="68" w:name="_Toc10541"/>
      <w:bookmarkStart w:id="69" w:name="_Toc4025"/>
      <w:bookmarkStart w:id="70" w:name="_Toc14770"/>
      <w:bookmarkStart w:id="71" w:name="_Toc16485"/>
      <w:bookmarkStart w:id="72" w:name="_Toc31654"/>
      <w:r>
        <w:rPr>
          <w:rFonts w:hint="eastAsia"/>
          <w:b/>
          <w:bCs/>
          <w:color w:val="auto"/>
          <w:highlight w:val="none"/>
          <w:lang w:val="en-US" w:eastAsia="zh-CN"/>
        </w:rPr>
        <w:t>加快实施区域水源联通工程</w:t>
      </w:r>
      <w:bookmarkEnd w:id="68"/>
      <w:bookmarkEnd w:id="69"/>
      <w:bookmarkEnd w:id="70"/>
      <w:bookmarkEnd w:id="71"/>
      <w:r>
        <w:rPr>
          <w:rFonts w:hint="eastAsia"/>
          <w:b/>
          <w:bCs/>
          <w:color w:val="auto"/>
          <w:highlight w:val="none"/>
          <w:lang w:val="en-US" w:eastAsia="zh-CN"/>
        </w:rPr>
        <w:t>。</w:t>
      </w:r>
      <w:r>
        <w:rPr>
          <w:rFonts w:hint="eastAsia"/>
          <w:color w:val="auto"/>
          <w:highlight w:val="none"/>
          <w:lang w:val="en-US" w:eastAsia="zh-CN"/>
        </w:rPr>
        <w:t>本次规划实施区域水源联通工程，提升供水保障能力，守牢饮水安全底线。</w:t>
      </w:r>
    </w:p>
    <w:p>
      <w:pPr>
        <w:bidi w:val="0"/>
        <w:rPr>
          <w:rFonts w:hint="eastAsia"/>
          <w:color w:val="auto"/>
          <w:highlight w:val="none"/>
          <w:lang w:val="en-US" w:eastAsia="zh-CN"/>
        </w:rPr>
      </w:pPr>
      <w:r>
        <w:rPr>
          <w:rFonts w:hint="eastAsia"/>
          <w:b/>
          <w:bCs/>
          <w:color w:val="auto"/>
          <w:highlight w:val="none"/>
          <w:lang w:val="en-US" w:eastAsia="zh-CN"/>
        </w:rPr>
        <w:t>推进城乡供水一体化工程建设。</w:t>
      </w:r>
      <w:r>
        <w:rPr>
          <w:rFonts w:hint="eastAsia"/>
          <w:color w:val="auto"/>
          <w:highlight w:val="none"/>
          <w:lang w:val="en-US" w:eastAsia="zh-CN"/>
        </w:rPr>
        <w:t>坚持兵地一盘棋，坚持城乡供水一体化，按照“水源可靠、水质优良、保障有力、应对有序、应急有备”的原则，提升农村供水保证率与水质达标率；同时优化区域水资源配置效率，降低运营成本，推动供水管理向专业化、智慧化转型，促进城乡基本公共服务均等化，为乡村振兴战略和新型城镇化提供坚实的水利支撑。</w:t>
      </w:r>
    </w:p>
    <w:bookmarkEnd w:id="72"/>
    <w:p>
      <w:pPr>
        <w:bidi w:val="0"/>
        <w:rPr>
          <w:rFonts w:hint="eastAsia"/>
          <w:color w:val="auto"/>
          <w:highlight w:val="none"/>
          <w:lang w:eastAsia="zh-CN"/>
        </w:rPr>
      </w:pPr>
      <w:r>
        <w:rPr>
          <w:rFonts w:hint="eastAsia" w:ascii="Times New Roman" w:hAnsi="Times New Roman" w:eastAsia="方正仿宋_GBK" w:cs="Times New Roman"/>
          <w:b/>
          <w:bCs/>
          <w:color w:val="auto"/>
          <w:kern w:val="2"/>
          <w:sz w:val="28"/>
          <w:szCs w:val="28"/>
          <w:highlight w:val="none"/>
          <w:lang w:val="en-US" w:eastAsia="zh-CN" w:bidi="ar-SA"/>
        </w:rPr>
        <w:t>深化</w:t>
      </w:r>
      <w:r>
        <w:rPr>
          <w:rFonts w:hint="eastAsia" w:cs="Times New Roman"/>
          <w:b/>
          <w:bCs/>
          <w:color w:val="auto"/>
          <w:kern w:val="2"/>
          <w:sz w:val="28"/>
          <w:szCs w:val="28"/>
          <w:highlight w:val="none"/>
          <w:lang w:val="en-US" w:eastAsia="zh-CN" w:bidi="ar-SA"/>
        </w:rPr>
        <w:t>规模化供水工程建设实施。</w:t>
      </w:r>
      <w:r>
        <w:rPr>
          <w:rFonts w:hint="eastAsia"/>
          <w:color w:val="auto"/>
          <w:highlight w:val="none"/>
          <w:lang w:val="en-US" w:eastAsia="zh-CN"/>
        </w:rPr>
        <w:t>实施规模化供水工程</w:t>
      </w:r>
      <w:r>
        <w:rPr>
          <w:color w:val="auto"/>
          <w:highlight w:val="none"/>
        </w:rPr>
        <w:t>是推动农村供水从</w:t>
      </w:r>
      <w:r>
        <w:rPr>
          <w:rFonts w:hint="eastAsia"/>
          <w:color w:val="auto"/>
          <w:highlight w:val="none"/>
          <w:lang w:eastAsia="zh-CN"/>
        </w:rPr>
        <w:t>“</w:t>
      </w:r>
      <w:r>
        <w:rPr>
          <w:color w:val="auto"/>
          <w:highlight w:val="none"/>
        </w:rPr>
        <w:t>有没有</w:t>
      </w:r>
      <w:r>
        <w:rPr>
          <w:rFonts w:hint="eastAsia"/>
          <w:color w:val="auto"/>
          <w:highlight w:val="none"/>
          <w:lang w:eastAsia="zh-CN"/>
        </w:rPr>
        <w:t>”</w:t>
      </w:r>
      <w:r>
        <w:rPr>
          <w:color w:val="auto"/>
          <w:highlight w:val="none"/>
        </w:rPr>
        <w:t>向</w:t>
      </w:r>
      <w:r>
        <w:rPr>
          <w:rFonts w:hint="eastAsia"/>
          <w:color w:val="auto"/>
          <w:highlight w:val="none"/>
          <w:lang w:eastAsia="zh-CN"/>
        </w:rPr>
        <w:t>“</w:t>
      </w:r>
      <w:r>
        <w:rPr>
          <w:color w:val="auto"/>
          <w:highlight w:val="none"/>
        </w:rPr>
        <w:t>好不好</w:t>
      </w:r>
      <w:r>
        <w:rPr>
          <w:rFonts w:hint="eastAsia"/>
          <w:color w:val="auto"/>
          <w:highlight w:val="none"/>
          <w:lang w:eastAsia="zh-CN"/>
        </w:rPr>
        <w:t>”</w:t>
      </w:r>
      <w:r>
        <w:rPr>
          <w:color w:val="auto"/>
          <w:highlight w:val="none"/>
        </w:rPr>
        <w:t>转变的</w:t>
      </w:r>
      <w:r>
        <w:rPr>
          <w:rFonts w:hint="eastAsia"/>
          <w:color w:val="auto"/>
          <w:highlight w:val="none"/>
          <w:lang w:val="en-US" w:eastAsia="zh-CN"/>
        </w:rPr>
        <w:t>关键举措，不仅显著提升了农村供水保障能力和水质安全水平，还有效破解了传统小型供水工程分布散、标准低、维护难等问题，增强应对干旱、污染等突发事件的应急调度能力，</w:t>
      </w:r>
      <w:r>
        <w:rPr>
          <w:color w:val="auto"/>
          <w:highlight w:val="none"/>
        </w:rPr>
        <w:t>提升</w:t>
      </w:r>
      <w:r>
        <w:rPr>
          <w:rFonts w:hint="default"/>
          <w:color w:val="auto"/>
          <w:highlight w:val="none"/>
        </w:rPr>
        <w:t>供水稳定性、安全性和高效性</w:t>
      </w:r>
      <w:r>
        <w:rPr>
          <w:rFonts w:hint="eastAsia"/>
          <w:color w:val="auto"/>
          <w:highlight w:val="none"/>
          <w:lang w:eastAsia="zh-CN"/>
        </w:rPr>
        <w:t>。</w:t>
      </w:r>
      <w:bookmarkStart w:id="73" w:name="_Toc3799"/>
      <w:bookmarkStart w:id="74" w:name="_Toc32621"/>
      <w:bookmarkStart w:id="75" w:name="_Toc15350"/>
      <w:bookmarkStart w:id="76" w:name="_Toc16004"/>
    </w:p>
    <w:p>
      <w:pPr>
        <w:bidi w:val="0"/>
        <w:rPr>
          <w:color w:val="auto"/>
          <w:highlight w:val="none"/>
        </w:rPr>
      </w:pPr>
      <w:r>
        <w:rPr>
          <w:rFonts w:hint="eastAsia"/>
          <w:b/>
          <w:bCs/>
          <w:color w:val="auto"/>
          <w:highlight w:val="none"/>
          <w:lang w:val="en-US" w:eastAsia="zh-CN"/>
        </w:rPr>
        <w:t>加强</w:t>
      </w:r>
      <w:r>
        <w:rPr>
          <w:rFonts w:hint="eastAsia"/>
          <w:b/>
          <w:bCs/>
          <w:color w:val="auto"/>
          <w:highlight w:val="none"/>
          <w:lang w:val="en" w:eastAsia="zh-CN"/>
        </w:rPr>
        <w:t>小型集中供水工程规范化建设和改造</w:t>
      </w:r>
      <w:bookmarkEnd w:id="73"/>
      <w:bookmarkEnd w:id="74"/>
      <w:bookmarkEnd w:id="75"/>
      <w:bookmarkEnd w:id="76"/>
      <w:r>
        <w:rPr>
          <w:rFonts w:hint="eastAsia"/>
          <w:b/>
          <w:bCs/>
          <w:color w:val="auto"/>
          <w:highlight w:val="none"/>
          <w:lang w:val="en" w:eastAsia="zh-CN"/>
        </w:rPr>
        <w:t>。</w:t>
      </w:r>
      <w:r>
        <w:rPr>
          <w:rFonts w:hint="eastAsia"/>
          <w:color w:val="auto"/>
          <w:highlight w:val="none"/>
          <w:lang w:val="en-US" w:eastAsia="zh-CN"/>
        </w:rPr>
        <w:t>实施小型集中供水工程建设和改造，</w:t>
      </w:r>
      <w:r>
        <w:rPr>
          <w:color w:val="auto"/>
          <w:highlight w:val="none"/>
        </w:rPr>
        <w:t>通过统一技术规范、完善制水工艺、配备在线监测，不仅能系统消除水质安全隐患，还可降低运行成本、延长工程寿命，对巩固拓展脱贫攻坚成果、全面推进乡村振兴具有不可替代的基础支撑作用。</w:t>
      </w:r>
    </w:p>
    <w:p>
      <w:pPr>
        <w:bidi w:val="0"/>
        <w:rPr>
          <w:rFonts w:hint="eastAsia"/>
          <w:b/>
          <w:bCs/>
          <w:color w:val="auto"/>
          <w:highlight w:val="none"/>
          <w:lang w:val="en-US" w:eastAsia="zh-CN"/>
        </w:rPr>
      </w:pPr>
      <w:r>
        <w:rPr>
          <w:rFonts w:hint="eastAsia"/>
          <w:b/>
          <w:bCs/>
          <w:color w:val="auto"/>
          <w:highlight w:val="none"/>
          <w:lang w:val="en-US" w:eastAsia="zh-CN"/>
        </w:rPr>
        <w:t>构建城乡饮水安全“四预”管控新范式。</w:t>
      </w:r>
      <w:r>
        <w:rPr>
          <w:rFonts w:hint="eastAsia"/>
          <w:color w:val="auto"/>
          <w:highlight w:val="none"/>
          <w:lang w:val="en-US" w:eastAsia="zh-CN"/>
        </w:rPr>
        <w:t>“十五五”水安全保障规划将饮水安全水质保障与智慧水利建设作为核心抓手，要求构建从水源到用户的全链条水质监测预警体系，加密水源地和管网末梢监测点位，强化日检、月检、年检制度；同时，深入推进数字化水利建设，将智慧化管控覆盖城乡供水全过程，实现水量水质、设施设备、运行调度的动态感知与智能分析，打造“预报－预警－预演－预案”四预功能，提升风险研判与应急响应能力。通过水质监管与智慧应用深度融合，推动城乡供水一体化管理平台建设，促进数据互联互通，为农村规模化供水工程和小型集中供水工程规范化改造提供远程监控、在线诊断等技术支撑，最终实现供水管理从“被动应对”向“主动防控”转型。</w:t>
      </w:r>
    </w:p>
    <w:p>
      <w:pPr>
        <w:pStyle w:val="3"/>
        <w:bidi w:val="0"/>
        <w:rPr>
          <w:rFonts w:hint="default"/>
          <w:color w:val="auto"/>
          <w:highlight w:val="none"/>
          <w:lang w:val="en-US" w:eastAsia="zh-CN"/>
        </w:rPr>
      </w:pPr>
      <w:bookmarkStart w:id="77" w:name="_Toc5602"/>
      <w:bookmarkStart w:id="78" w:name="_Toc32069"/>
      <w:bookmarkStart w:id="79" w:name="_Toc31718"/>
      <w:r>
        <w:rPr>
          <w:rFonts w:hint="eastAsia"/>
          <w:color w:val="auto"/>
          <w:highlight w:val="none"/>
          <w:lang w:val="en-US" w:eastAsia="zh-CN"/>
        </w:rPr>
        <w:t>四、提升水旱灾害防御</w:t>
      </w:r>
      <w:bookmarkEnd w:id="77"/>
      <w:bookmarkEnd w:id="78"/>
      <w:r>
        <w:rPr>
          <w:rFonts w:hint="eastAsia"/>
          <w:color w:val="auto"/>
          <w:highlight w:val="none"/>
          <w:lang w:val="en-US" w:eastAsia="zh-CN"/>
        </w:rPr>
        <w:t>能力</w:t>
      </w:r>
      <w:bookmarkEnd w:id="79"/>
    </w:p>
    <w:p>
      <w:pPr>
        <w:pStyle w:val="4"/>
        <w:numPr>
          <w:ilvl w:val="2"/>
          <w:numId w:val="0"/>
        </w:numPr>
        <w:bidi w:val="0"/>
        <w:ind w:leftChars="200"/>
        <w:rPr>
          <w:rFonts w:hint="eastAsia"/>
          <w:color w:val="auto"/>
          <w:highlight w:val="none"/>
          <w:lang w:val="en-US" w:eastAsia="zh-CN"/>
        </w:rPr>
      </w:pPr>
      <w:bookmarkStart w:id="80" w:name="_Toc25737"/>
      <w:bookmarkStart w:id="81" w:name="_Toc10475"/>
      <w:r>
        <w:rPr>
          <w:rFonts w:hint="eastAsia"/>
          <w:color w:val="auto"/>
          <w:highlight w:val="none"/>
          <w:lang w:val="en-US" w:eastAsia="zh-CN"/>
        </w:rPr>
        <w:t>（二十六）完善流域防洪工程体系</w:t>
      </w:r>
      <w:bookmarkEnd w:id="80"/>
      <w:bookmarkEnd w:id="81"/>
    </w:p>
    <w:p>
      <w:pPr>
        <w:bidi w:val="0"/>
        <w:rPr>
          <w:rFonts w:hint="eastAsia"/>
          <w:color w:val="auto"/>
          <w:highlight w:val="none"/>
          <w:lang w:val="en-US" w:eastAsia="zh-CN"/>
        </w:rPr>
      </w:pPr>
      <w:bookmarkStart w:id="82" w:name="_Toc4470"/>
      <w:r>
        <w:rPr>
          <w:color w:val="auto"/>
          <w:highlight w:val="none"/>
        </w:rPr>
        <w:t>坚持系统观念，统筹上下游、左右岸</w:t>
      </w:r>
      <w:r>
        <w:rPr>
          <w:rFonts w:hint="eastAsia"/>
          <w:color w:val="auto"/>
          <w:highlight w:val="none"/>
          <w:lang w:val="en-US" w:eastAsia="zh-CN"/>
        </w:rPr>
        <w:t>协同推进</w:t>
      </w:r>
      <w:r>
        <w:rPr>
          <w:color w:val="auto"/>
          <w:highlight w:val="none"/>
        </w:rPr>
        <w:t>，将河道疏浚、堤防加固、岸坡整治与生态修复、空间管控有机结合。通过建立常态化管护机制、强化河湖长制责任落实、运用数字化手段动态监测，实现从</w:t>
      </w:r>
      <w:r>
        <w:rPr>
          <w:rFonts w:hint="eastAsia"/>
          <w:color w:val="auto"/>
          <w:highlight w:val="none"/>
        </w:rPr>
        <w:t>“</w:t>
      </w:r>
      <w:r>
        <w:rPr>
          <w:color w:val="auto"/>
          <w:highlight w:val="none"/>
        </w:rPr>
        <w:t>被动应急</w:t>
      </w:r>
      <w:r>
        <w:rPr>
          <w:rFonts w:hint="eastAsia"/>
          <w:color w:val="auto"/>
          <w:highlight w:val="none"/>
        </w:rPr>
        <w:t>”</w:t>
      </w:r>
      <w:r>
        <w:rPr>
          <w:color w:val="auto"/>
          <w:highlight w:val="none"/>
        </w:rPr>
        <w:t>向</w:t>
      </w:r>
      <w:r>
        <w:rPr>
          <w:rFonts w:hint="eastAsia"/>
          <w:color w:val="auto"/>
          <w:highlight w:val="none"/>
        </w:rPr>
        <w:t>“</w:t>
      </w:r>
      <w:r>
        <w:rPr>
          <w:color w:val="auto"/>
          <w:highlight w:val="none"/>
        </w:rPr>
        <w:t>主动治理</w:t>
      </w:r>
      <w:r>
        <w:rPr>
          <w:rFonts w:hint="eastAsia"/>
          <w:color w:val="auto"/>
          <w:highlight w:val="none"/>
        </w:rPr>
        <w:t>”</w:t>
      </w:r>
      <w:r>
        <w:rPr>
          <w:color w:val="auto"/>
          <w:highlight w:val="none"/>
        </w:rPr>
        <w:t>转变，从</w:t>
      </w:r>
      <w:r>
        <w:rPr>
          <w:rFonts w:hint="eastAsia"/>
          <w:color w:val="auto"/>
          <w:highlight w:val="none"/>
        </w:rPr>
        <w:t>“</w:t>
      </w:r>
      <w:r>
        <w:rPr>
          <w:color w:val="auto"/>
          <w:highlight w:val="none"/>
        </w:rPr>
        <w:t>单点突破</w:t>
      </w:r>
      <w:r>
        <w:rPr>
          <w:rFonts w:hint="eastAsia"/>
          <w:color w:val="auto"/>
          <w:highlight w:val="none"/>
        </w:rPr>
        <w:t>”</w:t>
      </w:r>
      <w:r>
        <w:rPr>
          <w:color w:val="auto"/>
          <w:highlight w:val="none"/>
        </w:rPr>
        <w:t>向</w:t>
      </w:r>
      <w:r>
        <w:rPr>
          <w:rFonts w:hint="eastAsia"/>
          <w:color w:val="auto"/>
          <w:highlight w:val="none"/>
        </w:rPr>
        <w:t>“</w:t>
      </w:r>
      <w:r>
        <w:rPr>
          <w:color w:val="auto"/>
          <w:highlight w:val="none"/>
        </w:rPr>
        <w:t>整体提升</w:t>
      </w:r>
      <w:r>
        <w:rPr>
          <w:rFonts w:hint="eastAsia"/>
          <w:color w:val="auto"/>
          <w:highlight w:val="none"/>
        </w:rPr>
        <w:t>”</w:t>
      </w:r>
      <w:r>
        <w:rPr>
          <w:color w:val="auto"/>
          <w:highlight w:val="none"/>
        </w:rPr>
        <w:t>跃迁</w:t>
      </w:r>
      <w:r>
        <w:rPr>
          <w:rFonts w:hint="eastAsia"/>
          <w:color w:val="auto"/>
          <w:highlight w:val="none"/>
          <w:lang w:eastAsia="zh-CN"/>
        </w:rPr>
        <w:t>，</w:t>
      </w:r>
      <w:r>
        <w:rPr>
          <w:rFonts w:hint="eastAsia"/>
          <w:color w:val="auto"/>
          <w:highlight w:val="none"/>
          <w:lang w:val="en-US" w:eastAsia="zh-CN"/>
        </w:rPr>
        <w:t>提升洪水灾害防御能力，完善流域防洪减灾体系。</w:t>
      </w:r>
    </w:p>
    <w:bookmarkEnd w:id="82"/>
    <w:p>
      <w:pPr>
        <w:pStyle w:val="4"/>
        <w:numPr>
          <w:ilvl w:val="2"/>
          <w:numId w:val="0"/>
        </w:numPr>
        <w:bidi w:val="0"/>
        <w:ind w:leftChars="200"/>
        <w:rPr>
          <w:rFonts w:hint="default"/>
          <w:color w:val="auto"/>
          <w:highlight w:val="none"/>
          <w:lang w:val="en-US" w:eastAsia="zh-CN"/>
        </w:rPr>
      </w:pPr>
      <w:bookmarkStart w:id="83" w:name="_Toc195289613"/>
      <w:bookmarkStart w:id="84" w:name="_Toc93906584"/>
      <w:bookmarkStart w:id="85" w:name="_Toc751133464"/>
      <w:bookmarkStart w:id="86" w:name="_Toc607486470_WPSOffice_Level2"/>
      <w:r>
        <w:rPr>
          <w:rFonts w:hint="eastAsia"/>
          <w:color w:val="auto"/>
          <w:highlight w:val="none"/>
          <w:lang w:val="en-US" w:eastAsia="zh-CN"/>
        </w:rPr>
        <w:t>（二十七）完善抗旱减灾工程保障体系</w:t>
      </w:r>
    </w:p>
    <w:p>
      <w:pPr>
        <w:pStyle w:val="15"/>
        <w:keepNext w:val="0"/>
        <w:keepLines w:val="0"/>
        <w:pageBreakBefore w:val="0"/>
        <w:widowControl w:val="0"/>
        <w:kinsoku/>
        <w:wordWrap/>
        <w:overflowPunct/>
        <w:topLinePunct w:val="0"/>
        <w:autoSpaceDE/>
        <w:autoSpaceDN/>
        <w:bidi w:val="0"/>
        <w:adjustRightInd/>
        <w:snapToGrid/>
        <w:spacing w:before="0" w:after="0" w:afterLines="0" w:line="560" w:lineRule="exact"/>
        <w:textAlignment w:val="auto"/>
        <w:rPr>
          <w:rFonts w:hint="eastAsia" w:ascii="Times New Roman" w:hAnsi="Times New Roman" w:eastAsia="方正仿宋_GBK" w:cs="Times New Roman"/>
          <w:color w:val="auto"/>
          <w:kern w:val="2"/>
          <w:sz w:val="28"/>
          <w:szCs w:val="28"/>
          <w:highlight w:val="none"/>
          <w:lang w:val="en-US" w:eastAsia="zh-CN" w:bidi="ar-SA"/>
        </w:rPr>
      </w:pPr>
      <w:r>
        <w:rPr>
          <w:rFonts w:hint="eastAsia" w:ascii="Times New Roman" w:hAnsi="Times New Roman" w:eastAsia="方正仿宋_GBK" w:cs="Times New Roman"/>
          <w:color w:val="auto"/>
          <w:kern w:val="2"/>
          <w:sz w:val="28"/>
          <w:szCs w:val="28"/>
          <w:highlight w:val="none"/>
          <w:lang w:val="en-US" w:eastAsia="zh-CN" w:bidi="ar-SA"/>
        </w:rPr>
        <w:t xml:space="preserve"> 完善抗旱减灾工程保障体系，是应对极端气候频发、保障区域水安全的战略性举措，必须坚持“开源与节流并重、工程与管理并举、应急与谋远结合”的系统思维，加快构建“蓄引提调并举、大中小微协同、区域城乡覆盖、丰枯季节调剂”的现代化抗旱工程网络。</w:t>
      </w:r>
      <w:r>
        <w:rPr>
          <w:rFonts w:hint="eastAsia" w:ascii="Times New Roman" w:hAnsi="Times New Roman" w:eastAsia="方正仿宋_GBK" w:cs="Times New Roman"/>
          <w:b/>
          <w:bCs/>
          <w:color w:val="auto"/>
          <w:kern w:val="2"/>
          <w:sz w:val="28"/>
          <w:szCs w:val="28"/>
          <w:highlight w:val="none"/>
          <w:lang w:val="en-US" w:eastAsia="zh-CN" w:bidi="ar-SA"/>
        </w:rPr>
        <w:t>一是</w:t>
      </w:r>
      <w:r>
        <w:rPr>
          <w:rFonts w:hint="eastAsia" w:ascii="Times New Roman" w:hAnsi="Times New Roman" w:eastAsia="方正仿宋_GBK" w:cs="Times New Roman"/>
          <w:color w:val="auto"/>
          <w:kern w:val="2"/>
          <w:sz w:val="28"/>
          <w:szCs w:val="28"/>
          <w:highlight w:val="none"/>
          <w:lang w:val="en-US" w:eastAsia="zh-CN" w:bidi="ar-SA"/>
        </w:rPr>
        <w:t>强化水源工程体系</w:t>
      </w:r>
      <w:r>
        <w:rPr>
          <w:rFonts w:hint="eastAsia" w:cs="Times New Roman"/>
          <w:color w:val="auto"/>
          <w:kern w:val="2"/>
          <w:sz w:val="28"/>
          <w:szCs w:val="28"/>
          <w:highlight w:val="none"/>
          <w:lang w:val="en-US" w:eastAsia="zh-CN" w:bidi="ar-SA"/>
        </w:rPr>
        <w:t>，</w:t>
      </w:r>
      <w:r>
        <w:rPr>
          <w:rFonts w:hint="eastAsia" w:ascii="Times New Roman" w:hAnsi="Times New Roman" w:eastAsia="方正仿宋_GBK" w:cs="Times New Roman"/>
          <w:color w:val="auto"/>
          <w:kern w:val="2"/>
          <w:sz w:val="28"/>
          <w:szCs w:val="28"/>
          <w:highlight w:val="none"/>
          <w:lang w:val="en-US" w:eastAsia="zh-CN" w:bidi="ar-SA"/>
        </w:rPr>
        <w:t xml:space="preserve"> 以大中型水库为骨干增强跨区域调蓄能力，</w:t>
      </w:r>
      <w:r>
        <w:rPr>
          <w:rFonts w:hint="default" w:ascii="Times New Roman" w:hAnsi="Times New Roman" w:eastAsia="方正仿宋_GBK" w:cs="Times New Roman"/>
          <w:color w:val="auto"/>
          <w:kern w:val="2"/>
          <w:sz w:val="28"/>
          <w:szCs w:val="28"/>
          <w:highlight w:val="none"/>
          <w:lang w:val="en-US" w:eastAsia="zh-CN" w:bidi="ar-SA"/>
        </w:rPr>
        <w:t>构建</w:t>
      </w:r>
      <w:r>
        <w:rPr>
          <w:rFonts w:hint="eastAsia" w:ascii="Times New Roman" w:hAnsi="Times New Roman" w:eastAsia="方正仿宋_GBK" w:cs="Times New Roman"/>
          <w:color w:val="auto"/>
          <w:kern w:val="2"/>
          <w:sz w:val="28"/>
          <w:szCs w:val="28"/>
          <w:highlight w:val="none"/>
          <w:lang w:val="en-US" w:eastAsia="zh-CN" w:bidi="ar-SA"/>
        </w:rPr>
        <w:t>“</w:t>
      </w:r>
      <w:r>
        <w:rPr>
          <w:rFonts w:hint="default" w:ascii="Times New Roman" w:hAnsi="Times New Roman" w:eastAsia="方正仿宋_GBK" w:cs="Times New Roman"/>
          <w:color w:val="auto"/>
          <w:kern w:val="2"/>
          <w:sz w:val="28"/>
          <w:szCs w:val="28"/>
          <w:highlight w:val="none"/>
          <w:lang w:val="en-US" w:eastAsia="zh-CN" w:bidi="ar-SA"/>
        </w:rPr>
        <w:t>区域互通、多源互补</w:t>
      </w:r>
      <w:r>
        <w:rPr>
          <w:rFonts w:hint="eastAsia" w:ascii="Times New Roman" w:hAnsi="Times New Roman" w:eastAsia="方正仿宋_GBK" w:cs="Times New Roman"/>
          <w:color w:val="auto"/>
          <w:kern w:val="2"/>
          <w:sz w:val="28"/>
          <w:szCs w:val="28"/>
          <w:highlight w:val="none"/>
          <w:lang w:val="en-US" w:eastAsia="zh-CN" w:bidi="ar-SA"/>
        </w:rPr>
        <w:t>”</w:t>
      </w:r>
      <w:r>
        <w:rPr>
          <w:rFonts w:hint="default" w:ascii="Times New Roman" w:hAnsi="Times New Roman" w:eastAsia="方正仿宋_GBK" w:cs="Times New Roman"/>
          <w:color w:val="auto"/>
          <w:kern w:val="2"/>
          <w:sz w:val="28"/>
          <w:szCs w:val="28"/>
          <w:highlight w:val="none"/>
          <w:lang w:val="en-US" w:eastAsia="zh-CN" w:bidi="ar-SA"/>
        </w:rPr>
        <w:t>的应急备用水源体系，加强调节池等调蓄设施建设，完善应对特大干旱和突发水安全事件的供水保障格局。</w:t>
      </w:r>
      <w:r>
        <w:rPr>
          <w:rFonts w:hint="eastAsia" w:ascii="Times New Roman" w:hAnsi="Times New Roman" w:eastAsia="方正仿宋_GBK" w:cs="Times New Roman"/>
          <w:b/>
          <w:bCs/>
          <w:color w:val="auto"/>
          <w:kern w:val="2"/>
          <w:sz w:val="28"/>
          <w:szCs w:val="28"/>
          <w:highlight w:val="none"/>
          <w:lang w:val="en-US" w:eastAsia="zh-CN" w:bidi="ar-SA"/>
        </w:rPr>
        <w:t>二是</w:t>
      </w:r>
      <w:r>
        <w:rPr>
          <w:rFonts w:hint="eastAsia" w:ascii="Times New Roman" w:hAnsi="Times New Roman" w:eastAsia="方正仿宋_GBK" w:cs="Times New Roman"/>
          <w:color w:val="auto"/>
          <w:kern w:val="2"/>
          <w:sz w:val="28"/>
          <w:szCs w:val="28"/>
          <w:highlight w:val="none"/>
          <w:lang w:val="en-US" w:eastAsia="zh-CN" w:bidi="ar-SA"/>
        </w:rPr>
        <w:t>深化灌区节水改造</w:t>
      </w:r>
      <w:r>
        <w:rPr>
          <w:rFonts w:hint="eastAsia" w:cs="Times New Roman"/>
          <w:color w:val="auto"/>
          <w:kern w:val="2"/>
          <w:sz w:val="28"/>
          <w:szCs w:val="28"/>
          <w:highlight w:val="none"/>
          <w:lang w:val="en-US" w:eastAsia="zh-CN" w:bidi="ar-SA"/>
        </w:rPr>
        <w:t>，</w:t>
      </w:r>
      <w:r>
        <w:rPr>
          <w:rFonts w:hint="eastAsia" w:ascii="Times New Roman" w:hAnsi="Times New Roman" w:eastAsia="方正仿宋_GBK" w:cs="Times New Roman"/>
          <w:color w:val="auto"/>
          <w:kern w:val="2"/>
          <w:sz w:val="28"/>
          <w:szCs w:val="28"/>
          <w:highlight w:val="none"/>
          <w:lang w:val="en-US" w:eastAsia="zh-CN" w:bidi="ar-SA"/>
        </w:rPr>
        <w:t xml:space="preserve"> 推进重点灌区渠系防渗、管道化改造，大力推广喷灌、高频滴灌水肥一体化等高效节水技术；同步深化农业水价综合改革，建立节水激励机制，实现“工程、管理、行为”三位一体节水。</w:t>
      </w:r>
      <w:r>
        <w:rPr>
          <w:rFonts w:hint="eastAsia" w:ascii="Times New Roman" w:hAnsi="Times New Roman" w:eastAsia="方正仿宋_GBK" w:cs="Times New Roman"/>
          <w:b/>
          <w:bCs/>
          <w:color w:val="auto"/>
          <w:kern w:val="2"/>
          <w:sz w:val="28"/>
          <w:szCs w:val="28"/>
          <w:highlight w:val="none"/>
          <w:lang w:val="en-US" w:eastAsia="zh-CN" w:bidi="ar-SA"/>
        </w:rPr>
        <w:t>三是</w:t>
      </w:r>
      <w:r>
        <w:rPr>
          <w:rFonts w:hint="eastAsia" w:ascii="Times New Roman" w:hAnsi="Times New Roman" w:eastAsia="方正仿宋_GBK" w:cs="Times New Roman"/>
          <w:color w:val="auto"/>
          <w:kern w:val="2"/>
          <w:sz w:val="28"/>
          <w:szCs w:val="28"/>
          <w:highlight w:val="none"/>
          <w:lang w:val="en-US" w:eastAsia="zh-CN" w:bidi="ar-SA"/>
        </w:rPr>
        <w:t>优化引调水布局</w:t>
      </w:r>
      <w:r>
        <w:rPr>
          <w:rFonts w:hint="eastAsia" w:cs="Times New Roman"/>
          <w:color w:val="auto"/>
          <w:kern w:val="2"/>
          <w:sz w:val="28"/>
          <w:szCs w:val="28"/>
          <w:highlight w:val="none"/>
          <w:lang w:val="en-US" w:eastAsia="zh-CN" w:bidi="ar-SA"/>
        </w:rPr>
        <w:t>，</w:t>
      </w:r>
      <w:r>
        <w:rPr>
          <w:rFonts w:hint="eastAsia" w:ascii="Times New Roman" w:hAnsi="Times New Roman" w:eastAsia="方正仿宋_GBK" w:cs="Times New Roman"/>
          <w:color w:val="auto"/>
          <w:kern w:val="2"/>
          <w:sz w:val="28"/>
          <w:szCs w:val="28"/>
          <w:highlight w:val="none"/>
          <w:lang w:val="en-US" w:eastAsia="zh-CN" w:bidi="ar-SA"/>
        </w:rPr>
        <w:t>推进河库水系连通，构建区域水网主骨架；加强生态流量保障，统筹抗旱、生态与城乡供水。</w:t>
      </w:r>
      <w:r>
        <w:rPr>
          <w:rFonts w:hint="eastAsia" w:ascii="Times New Roman" w:hAnsi="Times New Roman" w:eastAsia="方正仿宋_GBK" w:cs="Times New Roman"/>
          <w:b/>
          <w:bCs/>
          <w:color w:val="auto"/>
          <w:kern w:val="2"/>
          <w:sz w:val="28"/>
          <w:szCs w:val="28"/>
          <w:highlight w:val="none"/>
          <w:lang w:val="en-US" w:eastAsia="zh-CN" w:bidi="ar-SA"/>
        </w:rPr>
        <w:t>四是</w:t>
      </w:r>
      <w:r>
        <w:rPr>
          <w:rFonts w:hint="eastAsia" w:ascii="Times New Roman" w:hAnsi="Times New Roman" w:eastAsia="方正仿宋_GBK" w:cs="Times New Roman"/>
          <w:color w:val="auto"/>
          <w:kern w:val="2"/>
          <w:sz w:val="28"/>
          <w:szCs w:val="28"/>
          <w:highlight w:val="none"/>
          <w:lang w:val="en-US" w:eastAsia="zh-CN" w:bidi="ar-SA"/>
        </w:rPr>
        <w:t>健全监测预警体系</w:t>
      </w:r>
      <w:r>
        <w:rPr>
          <w:rFonts w:hint="eastAsia" w:cs="Times New Roman"/>
          <w:color w:val="auto"/>
          <w:kern w:val="2"/>
          <w:sz w:val="28"/>
          <w:szCs w:val="28"/>
          <w:highlight w:val="none"/>
          <w:lang w:val="en-US" w:eastAsia="zh-CN" w:bidi="ar-SA"/>
        </w:rPr>
        <w:t>，</w:t>
      </w:r>
      <w:r>
        <w:rPr>
          <w:rFonts w:hint="eastAsia" w:ascii="Times New Roman" w:hAnsi="Times New Roman" w:eastAsia="方正仿宋_GBK" w:cs="Times New Roman"/>
          <w:color w:val="auto"/>
          <w:kern w:val="2"/>
          <w:sz w:val="28"/>
          <w:szCs w:val="28"/>
          <w:highlight w:val="none"/>
          <w:lang w:val="en-US" w:eastAsia="zh-CN" w:bidi="ar-SA"/>
        </w:rPr>
        <w:t>建设覆盖墒情、雨情、水情、工情的立体监测网，运用物联网、大数据等技术智能研判旱情；强化抗旱水源统一调度，建立流域区域协同应急指挥机制。</w:t>
      </w:r>
      <w:r>
        <w:rPr>
          <w:rFonts w:hint="eastAsia" w:ascii="Times New Roman" w:hAnsi="Times New Roman" w:eastAsia="方正仿宋_GBK" w:cs="Times New Roman"/>
          <w:b/>
          <w:bCs/>
          <w:color w:val="auto"/>
          <w:kern w:val="2"/>
          <w:sz w:val="28"/>
          <w:szCs w:val="28"/>
          <w:highlight w:val="none"/>
          <w:lang w:val="en-US" w:eastAsia="zh-CN" w:bidi="ar-SA"/>
        </w:rPr>
        <w:t>五是</w:t>
      </w:r>
      <w:r>
        <w:rPr>
          <w:rFonts w:hint="eastAsia" w:ascii="Times New Roman" w:hAnsi="Times New Roman" w:eastAsia="方正仿宋_GBK" w:cs="Times New Roman"/>
          <w:color w:val="auto"/>
          <w:kern w:val="2"/>
          <w:sz w:val="28"/>
          <w:szCs w:val="28"/>
          <w:highlight w:val="none"/>
          <w:lang w:val="en-US" w:eastAsia="zh-CN" w:bidi="ar-SA"/>
        </w:rPr>
        <w:t>构建长效运维机制</w:t>
      </w:r>
      <w:r>
        <w:rPr>
          <w:rFonts w:hint="eastAsia" w:cs="Times New Roman"/>
          <w:color w:val="auto"/>
          <w:kern w:val="2"/>
          <w:sz w:val="28"/>
          <w:szCs w:val="28"/>
          <w:highlight w:val="none"/>
          <w:lang w:val="en-US" w:eastAsia="zh-CN" w:bidi="ar-SA"/>
        </w:rPr>
        <w:t>，</w:t>
      </w:r>
      <w:r>
        <w:rPr>
          <w:rFonts w:hint="eastAsia" w:ascii="Times New Roman" w:hAnsi="Times New Roman" w:eastAsia="方正仿宋_GBK" w:cs="Times New Roman"/>
          <w:color w:val="auto"/>
          <w:kern w:val="2"/>
          <w:sz w:val="28"/>
          <w:szCs w:val="28"/>
          <w:highlight w:val="none"/>
          <w:lang w:val="en-US" w:eastAsia="zh-CN" w:bidi="ar-SA"/>
        </w:rPr>
        <w:t>明晰工程产权，落实管护主体责任；加强基层抗旱服务组织建设，确保工程长期良性运行，全面提升区域抗旱减灾韧性。</w:t>
      </w:r>
    </w:p>
    <w:p>
      <w:pPr>
        <w:pStyle w:val="4"/>
        <w:numPr>
          <w:ilvl w:val="2"/>
          <w:numId w:val="0"/>
        </w:numPr>
        <w:bidi w:val="0"/>
        <w:ind w:leftChars="200"/>
        <w:rPr>
          <w:rFonts w:hint="default"/>
          <w:color w:val="auto"/>
          <w:highlight w:val="none"/>
          <w:lang w:val="en-US" w:eastAsia="zh-CN"/>
        </w:rPr>
      </w:pPr>
      <w:bookmarkStart w:id="87" w:name="_Toc12595"/>
      <w:bookmarkStart w:id="88" w:name="_Toc3991"/>
      <w:r>
        <w:rPr>
          <w:rFonts w:hint="eastAsia"/>
          <w:color w:val="auto"/>
          <w:highlight w:val="none"/>
          <w:lang w:val="en-US" w:eastAsia="zh-CN"/>
        </w:rPr>
        <w:t>（二十八）完善雨水情监测预报体系</w:t>
      </w:r>
      <w:bookmarkEnd w:id="87"/>
      <w:bookmarkEnd w:id="88"/>
    </w:p>
    <w:p>
      <w:pPr>
        <w:keepNext w:val="0"/>
        <w:keepLines w:val="0"/>
        <w:pageBreakBefore w:val="0"/>
        <w:widowControl w:val="0"/>
        <w:kinsoku/>
        <w:wordWrap/>
        <w:overflowPunct/>
        <w:topLinePunct w:val="0"/>
        <w:autoSpaceDE/>
        <w:autoSpaceDN/>
        <w:bidi w:val="0"/>
        <w:adjustRightInd/>
        <w:snapToGrid/>
        <w:textAlignment w:val="auto"/>
        <w:rPr>
          <w:rFonts w:hint="eastAsia"/>
          <w:color w:val="auto"/>
          <w:highlight w:val="none"/>
          <w:lang w:val="en-US" w:eastAsia="zh-CN"/>
        </w:rPr>
      </w:pPr>
      <w:r>
        <w:rPr>
          <w:rFonts w:hint="eastAsia"/>
          <w:color w:val="auto"/>
          <w:highlight w:val="none"/>
          <w:lang w:val="en-US" w:eastAsia="zh-CN"/>
        </w:rPr>
        <w:t xml:space="preserve"> 构建</w:t>
      </w:r>
      <w:r>
        <w:rPr>
          <w:rFonts w:hint="eastAsia" w:ascii="Times New Roman" w:hAnsi="Times New Roman" w:eastAsia="方正仿宋_GBK" w:cs="Times New Roman"/>
          <w:color w:val="auto"/>
          <w:kern w:val="2"/>
          <w:sz w:val="28"/>
          <w:szCs w:val="28"/>
          <w:highlight w:val="none"/>
          <w:lang w:val="en-US" w:eastAsia="zh-CN" w:bidi="ar-SA"/>
        </w:rPr>
        <w:t>“</w:t>
      </w:r>
      <w:r>
        <w:rPr>
          <w:rFonts w:hint="eastAsia"/>
          <w:color w:val="auto"/>
          <w:highlight w:val="none"/>
          <w:lang w:val="en-US" w:eastAsia="zh-CN"/>
        </w:rPr>
        <w:t>三道防线+三项机制</w:t>
      </w:r>
      <w:r>
        <w:rPr>
          <w:rFonts w:hint="eastAsia" w:ascii="Times New Roman" w:hAnsi="Times New Roman" w:eastAsia="方正仿宋_GBK" w:cs="Times New Roman"/>
          <w:color w:val="auto"/>
          <w:kern w:val="2"/>
          <w:sz w:val="28"/>
          <w:szCs w:val="28"/>
          <w:highlight w:val="none"/>
          <w:lang w:val="en-US" w:eastAsia="zh-CN" w:bidi="ar-SA"/>
        </w:rPr>
        <w:t>”</w:t>
      </w:r>
      <w:r>
        <w:rPr>
          <w:rFonts w:hint="eastAsia"/>
          <w:color w:val="auto"/>
          <w:highlight w:val="none"/>
          <w:lang w:val="en-US" w:eastAsia="zh-CN"/>
        </w:rPr>
        <w:t>防洪减灾体系。三道防线是以流域为单元，由测雨雷达、雨量站、水文站及相应模型组成的现代化雨水情监测预报体系，形成</w:t>
      </w:r>
      <w:r>
        <w:rPr>
          <w:rFonts w:hint="eastAsia" w:ascii="Times New Roman" w:hAnsi="Times New Roman" w:eastAsia="方正仿宋_GBK" w:cs="Times New Roman"/>
          <w:color w:val="auto"/>
          <w:kern w:val="2"/>
          <w:sz w:val="28"/>
          <w:szCs w:val="28"/>
          <w:highlight w:val="none"/>
          <w:lang w:val="en-US" w:eastAsia="zh-CN" w:bidi="ar-SA"/>
        </w:rPr>
        <w:t>“</w:t>
      </w:r>
      <w:r>
        <w:rPr>
          <w:rFonts w:hint="eastAsia"/>
          <w:color w:val="auto"/>
          <w:highlight w:val="none"/>
          <w:lang w:val="en-US" w:eastAsia="zh-CN"/>
        </w:rPr>
        <w:t>云中雨—落地雨—河中水</w:t>
      </w:r>
      <w:r>
        <w:rPr>
          <w:rFonts w:hint="eastAsia" w:ascii="Times New Roman" w:hAnsi="Times New Roman" w:eastAsia="方正仿宋_GBK" w:cs="Times New Roman"/>
          <w:color w:val="auto"/>
          <w:kern w:val="2"/>
          <w:sz w:val="28"/>
          <w:szCs w:val="28"/>
          <w:highlight w:val="none"/>
          <w:lang w:val="en-US" w:eastAsia="zh-CN" w:bidi="ar-SA"/>
        </w:rPr>
        <w:t>”</w:t>
      </w:r>
      <w:r>
        <w:rPr>
          <w:rFonts w:hint="eastAsia"/>
          <w:color w:val="auto"/>
          <w:highlight w:val="none"/>
          <w:lang w:val="en-US" w:eastAsia="zh-CN"/>
        </w:rPr>
        <w:t>递进式监测链条。三项机制包括责任落实机制（明确各级防汛责任主体，建立</w:t>
      </w:r>
      <w:r>
        <w:rPr>
          <w:rFonts w:hint="eastAsia" w:ascii="Times New Roman" w:hAnsi="Times New Roman" w:eastAsia="方正仿宋_GBK" w:cs="Times New Roman"/>
          <w:color w:val="auto"/>
          <w:kern w:val="2"/>
          <w:sz w:val="28"/>
          <w:szCs w:val="28"/>
          <w:highlight w:val="none"/>
          <w:lang w:val="en-US" w:eastAsia="zh-CN" w:bidi="ar-SA"/>
        </w:rPr>
        <w:t>“</w:t>
      </w:r>
      <w:r>
        <w:rPr>
          <w:rFonts w:hint="eastAsia"/>
          <w:color w:val="auto"/>
          <w:highlight w:val="none"/>
          <w:lang w:val="en-US" w:eastAsia="zh-CN"/>
        </w:rPr>
        <w:t>包保</w:t>
      </w:r>
      <w:r>
        <w:rPr>
          <w:rFonts w:hint="eastAsia" w:ascii="Times New Roman" w:hAnsi="Times New Roman" w:eastAsia="方正仿宋_GBK" w:cs="Times New Roman"/>
          <w:color w:val="auto"/>
          <w:kern w:val="2"/>
          <w:sz w:val="28"/>
          <w:szCs w:val="28"/>
          <w:highlight w:val="none"/>
          <w:lang w:val="en-US" w:eastAsia="zh-CN" w:bidi="ar-SA"/>
        </w:rPr>
        <w:t>”</w:t>
      </w:r>
      <w:r>
        <w:rPr>
          <w:rFonts w:hint="eastAsia"/>
          <w:color w:val="auto"/>
          <w:highlight w:val="none"/>
          <w:lang w:val="en-US" w:eastAsia="zh-CN"/>
        </w:rPr>
        <w:t>责任制体系）、决策支持机制（强化预警预报、会商研判与信息共享，提升决策科学化水平）和调度指挥机制（完善统一指挥、部门协同、上下联动的应急调度体系）。山洪灾害防御坚持</w:t>
      </w:r>
      <w:r>
        <w:rPr>
          <w:rFonts w:hint="eastAsia" w:ascii="Times New Roman" w:hAnsi="Times New Roman" w:eastAsia="方正仿宋_GBK" w:cs="Times New Roman"/>
          <w:color w:val="auto"/>
          <w:kern w:val="2"/>
          <w:sz w:val="28"/>
          <w:szCs w:val="28"/>
          <w:highlight w:val="none"/>
          <w:lang w:val="en-US" w:eastAsia="zh-CN" w:bidi="ar-SA"/>
        </w:rPr>
        <w:t>“</w:t>
      </w:r>
      <w:r>
        <w:rPr>
          <w:rFonts w:hint="eastAsia"/>
          <w:color w:val="auto"/>
          <w:highlight w:val="none"/>
          <w:lang w:val="en-US" w:eastAsia="zh-CN"/>
        </w:rPr>
        <w:t>以防为主、防治结合</w:t>
      </w:r>
      <w:r>
        <w:rPr>
          <w:rFonts w:hint="eastAsia" w:ascii="Times New Roman" w:hAnsi="Times New Roman" w:eastAsia="方正仿宋_GBK" w:cs="Times New Roman"/>
          <w:color w:val="auto"/>
          <w:kern w:val="2"/>
          <w:sz w:val="28"/>
          <w:szCs w:val="28"/>
          <w:highlight w:val="none"/>
          <w:lang w:val="en-US" w:eastAsia="zh-CN" w:bidi="ar-SA"/>
        </w:rPr>
        <w:t>”</w:t>
      </w:r>
      <w:r>
        <w:rPr>
          <w:rFonts w:hint="eastAsia"/>
          <w:color w:val="auto"/>
          <w:highlight w:val="none"/>
          <w:lang w:val="en-US" w:eastAsia="zh-CN"/>
        </w:rPr>
        <w:t>，非工程措施为主、工程措施为辅：加强监测预警，增设水雨情站点，强化县级预警平台；完善群测群防，建立县乡村三级责任制，每年更新预案并开展演练；开展</w:t>
      </w:r>
      <w:r>
        <w:rPr>
          <w:rFonts w:hint="eastAsia" w:ascii="Times New Roman" w:hAnsi="Times New Roman" w:eastAsia="方正仿宋_GBK" w:cs="Times New Roman"/>
          <w:color w:val="auto"/>
          <w:kern w:val="2"/>
          <w:sz w:val="28"/>
          <w:szCs w:val="28"/>
          <w:highlight w:val="none"/>
          <w:lang w:val="en-US" w:eastAsia="zh-CN" w:bidi="ar-SA"/>
        </w:rPr>
        <w:t>“</w:t>
      </w:r>
      <w:r>
        <w:rPr>
          <w:rFonts w:hint="eastAsia"/>
          <w:color w:val="auto"/>
          <w:highlight w:val="none"/>
          <w:lang w:val="en-US" w:eastAsia="zh-CN"/>
        </w:rPr>
        <w:t>四预</w:t>
      </w:r>
      <w:r>
        <w:rPr>
          <w:rFonts w:hint="eastAsia" w:ascii="Times New Roman" w:hAnsi="Times New Roman" w:eastAsia="方正仿宋_GBK" w:cs="Times New Roman"/>
          <w:color w:val="auto"/>
          <w:kern w:val="2"/>
          <w:sz w:val="28"/>
          <w:szCs w:val="28"/>
          <w:highlight w:val="none"/>
          <w:lang w:val="en-US" w:eastAsia="zh-CN" w:bidi="ar-SA"/>
        </w:rPr>
        <w:t>”</w:t>
      </w:r>
      <w:r>
        <w:rPr>
          <w:rFonts w:hint="eastAsia"/>
          <w:color w:val="auto"/>
          <w:highlight w:val="none"/>
          <w:lang w:val="en-US" w:eastAsia="zh-CN"/>
        </w:rPr>
        <w:t>建设，在重点小流域建立风险清单，</w:t>
      </w:r>
      <w:r>
        <w:rPr>
          <w:color w:val="auto"/>
          <w:highlight w:val="none"/>
        </w:rPr>
        <w:t>在监测盲区补充增设自动监测站点</w:t>
      </w:r>
      <w:r>
        <w:rPr>
          <w:rFonts w:hint="eastAsia"/>
          <w:color w:val="auto"/>
          <w:highlight w:val="none"/>
          <w:lang w:val="en-US" w:eastAsia="zh-CN"/>
        </w:rPr>
        <w:t>，利用气象数值预报强化预报预警预演预案能力。</w:t>
      </w:r>
    </w:p>
    <w:p>
      <w:pPr>
        <w:pStyle w:val="4"/>
        <w:numPr>
          <w:ilvl w:val="2"/>
          <w:numId w:val="0"/>
        </w:numPr>
        <w:bidi w:val="0"/>
        <w:ind w:leftChars="200"/>
        <w:rPr>
          <w:rFonts w:hint="eastAsia"/>
          <w:color w:val="auto"/>
          <w:highlight w:val="none"/>
          <w:lang w:val="en-US" w:eastAsia="zh-CN"/>
        </w:rPr>
      </w:pPr>
      <w:bookmarkStart w:id="89" w:name="_Toc21221"/>
      <w:bookmarkStart w:id="90" w:name="_Toc6491"/>
      <w:r>
        <w:rPr>
          <w:rFonts w:hint="eastAsia"/>
          <w:color w:val="auto"/>
          <w:highlight w:val="none"/>
          <w:lang w:val="en-US" w:eastAsia="zh-CN"/>
        </w:rPr>
        <w:t>（二十九）健全水旱灾害防御工作体系</w:t>
      </w:r>
      <w:bookmarkEnd w:id="89"/>
      <w:bookmarkEnd w:id="90"/>
    </w:p>
    <w:p>
      <w:pPr>
        <w:bidi w:val="0"/>
        <w:rPr>
          <w:rFonts w:hint="eastAsia"/>
          <w:color w:val="auto"/>
          <w:highlight w:val="none"/>
        </w:rPr>
      </w:pPr>
      <w:r>
        <w:rPr>
          <w:rFonts w:hint="eastAsia"/>
          <w:color w:val="auto"/>
          <w:highlight w:val="none"/>
        </w:rPr>
        <w:t xml:space="preserve"> 健全水旱灾害防御工作体系，关键在于构建科学高效、权责清晰、上下贯通的工作机制，重点健全以下五项核心机制：</w:t>
      </w:r>
    </w:p>
    <w:p>
      <w:pPr>
        <w:bidi w:val="0"/>
        <w:rPr>
          <w:rFonts w:hint="eastAsia" w:eastAsia="方正仿宋_GBK"/>
          <w:color w:val="auto"/>
          <w:highlight w:val="none"/>
          <w:lang w:eastAsia="zh-CN"/>
        </w:rPr>
      </w:pPr>
      <w:r>
        <w:rPr>
          <w:rFonts w:hint="eastAsia"/>
          <w:b/>
          <w:bCs/>
          <w:color w:val="auto"/>
          <w:highlight w:val="none"/>
        </w:rPr>
        <w:t>完善预警</w:t>
      </w:r>
      <w:r>
        <w:rPr>
          <w:rFonts w:hint="eastAsia" w:ascii="Times New Roman" w:hAnsi="Times New Roman" w:eastAsia="方正仿宋_GBK" w:cs="Times New Roman"/>
          <w:b/>
          <w:bCs/>
          <w:color w:val="auto"/>
          <w:kern w:val="2"/>
          <w:sz w:val="28"/>
          <w:szCs w:val="28"/>
          <w:highlight w:val="none"/>
          <w:lang w:val="en-US" w:eastAsia="zh-CN" w:bidi="ar-SA"/>
        </w:rPr>
        <w:t>“</w:t>
      </w:r>
      <w:r>
        <w:rPr>
          <w:rFonts w:hint="eastAsia"/>
          <w:b/>
          <w:bCs/>
          <w:color w:val="auto"/>
          <w:highlight w:val="none"/>
        </w:rPr>
        <w:t>叫应</w:t>
      </w:r>
      <w:r>
        <w:rPr>
          <w:rFonts w:hint="eastAsia" w:ascii="Times New Roman" w:hAnsi="Times New Roman" w:eastAsia="方正仿宋_GBK" w:cs="Times New Roman"/>
          <w:b/>
          <w:bCs/>
          <w:color w:val="auto"/>
          <w:kern w:val="2"/>
          <w:sz w:val="28"/>
          <w:szCs w:val="28"/>
          <w:highlight w:val="none"/>
          <w:lang w:val="en-US" w:eastAsia="zh-CN" w:bidi="ar-SA"/>
        </w:rPr>
        <w:t>”</w:t>
      </w:r>
      <w:r>
        <w:rPr>
          <w:rFonts w:hint="eastAsia"/>
          <w:b/>
          <w:bCs/>
          <w:color w:val="auto"/>
          <w:highlight w:val="none"/>
        </w:rPr>
        <w:t>机制，确保信息直达快响。</w:t>
      </w:r>
      <w:r>
        <w:rPr>
          <w:rFonts w:hint="eastAsia"/>
          <w:color w:val="auto"/>
          <w:highlight w:val="none"/>
        </w:rPr>
        <w:t>预警</w:t>
      </w:r>
      <w:r>
        <w:rPr>
          <w:rFonts w:hint="eastAsia" w:ascii="Times New Roman" w:hAnsi="Times New Roman" w:eastAsia="方正仿宋_GBK" w:cs="Times New Roman"/>
          <w:color w:val="auto"/>
          <w:kern w:val="2"/>
          <w:sz w:val="28"/>
          <w:szCs w:val="28"/>
          <w:highlight w:val="none"/>
          <w:lang w:val="en-US" w:eastAsia="zh-CN" w:bidi="ar-SA"/>
        </w:rPr>
        <w:t>“</w:t>
      </w:r>
      <w:r>
        <w:rPr>
          <w:rFonts w:hint="eastAsia"/>
          <w:color w:val="auto"/>
          <w:highlight w:val="none"/>
        </w:rPr>
        <w:t>叫应</w:t>
      </w:r>
      <w:r>
        <w:rPr>
          <w:rFonts w:hint="eastAsia" w:ascii="Times New Roman" w:hAnsi="Times New Roman" w:eastAsia="方正仿宋_GBK" w:cs="Times New Roman"/>
          <w:color w:val="auto"/>
          <w:kern w:val="2"/>
          <w:sz w:val="28"/>
          <w:szCs w:val="28"/>
          <w:highlight w:val="none"/>
          <w:lang w:val="en-US" w:eastAsia="zh-CN" w:bidi="ar-SA"/>
        </w:rPr>
        <w:t>”</w:t>
      </w:r>
      <w:r>
        <w:rPr>
          <w:rFonts w:hint="eastAsia"/>
          <w:color w:val="auto"/>
          <w:highlight w:val="none"/>
        </w:rPr>
        <w:t>机制</w:t>
      </w:r>
      <w:r>
        <w:rPr>
          <w:rFonts w:hint="default"/>
          <w:color w:val="auto"/>
          <w:highlight w:val="none"/>
        </w:rPr>
        <w:t>依托</w:t>
      </w:r>
      <w:r>
        <w:rPr>
          <w:rFonts w:hint="eastAsia" w:ascii="Times New Roman" w:hAnsi="Times New Roman" w:eastAsia="方正仿宋_GBK" w:cs="Times New Roman"/>
          <w:color w:val="auto"/>
          <w:kern w:val="2"/>
          <w:sz w:val="28"/>
          <w:szCs w:val="28"/>
          <w:highlight w:val="none"/>
          <w:lang w:val="en-US" w:eastAsia="zh-CN" w:bidi="ar-SA"/>
        </w:rPr>
        <w:t>“</w:t>
      </w:r>
      <w:r>
        <w:rPr>
          <w:rFonts w:hint="default"/>
          <w:color w:val="auto"/>
          <w:highlight w:val="none"/>
        </w:rPr>
        <w:t>三道防线</w:t>
      </w:r>
      <w:r>
        <w:rPr>
          <w:rFonts w:hint="eastAsia" w:ascii="Times New Roman" w:hAnsi="Times New Roman" w:eastAsia="方正仿宋_GBK" w:cs="Times New Roman"/>
          <w:color w:val="auto"/>
          <w:kern w:val="2"/>
          <w:sz w:val="28"/>
          <w:szCs w:val="28"/>
          <w:highlight w:val="none"/>
          <w:lang w:val="en-US" w:eastAsia="zh-CN" w:bidi="ar-SA"/>
        </w:rPr>
        <w:t>”</w:t>
      </w:r>
      <w:r>
        <w:rPr>
          <w:rFonts w:hint="default"/>
          <w:color w:val="auto"/>
          <w:highlight w:val="none"/>
        </w:rPr>
        <w:t>建立部门协同平台，明确县乡村三级责任人清单，通过多渠道发布预警并建立回应确认闭环，确保信息直达基层</w:t>
      </w:r>
      <w:r>
        <w:rPr>
          <w:rFonts w:hint="eastAsia"/>
          <w:color w:val="auto"/>
          <w:highlight w:val="none"/>
          <w:lang w:eastAsia="zh-CN"/>
        </w:rPr>
        <w:t>。</w:t>
      </w:r>
    </w:p>
    <w:p>
      <w:pPr>
        <w:bidi w:val="0"/>
        <w:rPr>
          <w:rFonts w:hint="eastAsia"/>
          <w:color w:val="auto"/>
          <w:highlight w:val="none"/>
        </w:rPr>
      </w:pPr>
      <w:r>
        <w:rPr>
          <w:rFonts w:hint="eastAsia"/>
          <w:b/>
          <w:bCs/>
          <w:color w:val="auto"/>
          <w:highlight w:val="none"/>
        </w:rPr>
        <w:t>强化科学决策机制，提升会商研判水平。</w:t>
      </w:r>
      <w:r>
        <w:rPr>
          <w:rFonts w:hint="eastAsia"/>
          <w:color w:val="auto"/>
          <w:highlight w:val="none"/>
        </w:rPr>
        <w:t>建立分级分类的决策会商制度，发生重大汛情时，立即启动应急会商，组织气象、水利、应急、自然资源等部门及技术专家进行联合研判，充分发挥监测预警平台、洪水预报模型和水利专业优势，科学评估洪水风险、工程安全状况和社会影响，为防御决策提供有力支撑。重大调度决策必须执行专家咨询和技术论证程序，综合考虑上下游、左右岸利益，平衡防洪保安与水资源利用关系，确保决策依据充分、方案科学、风险可控。</w:t>
      </w:r>
    </w:p>
    <w:p>
      <w:pPr>
        <w:bidi w:val="0"/>
        <w:rPr>
          <w:rFonts w:hint="eastAsia"/>
          <w:color w:val="auto"/>
          <w:highlight w:val="none"/>
        </w:rPr>
      </w:pPr>
      <w:r>
        <w:rPr>
          <w:rFonts w:hint="eastAsia"/>
          <w:b/>
          <w:bCs/>
          <w:color w:val="auto"/>
          <w:highlight w:val="none"/>
        </w:rPr>
        <w:t>优化统一调度机制，发挥工程体系效益。</w:t>
      </w:r>
      <w:r>
        <w:rPr>
          <w:rFonts w:hint="eastAsia"/>
          <w:color w:val="auto"/>
          <w:highlight w:val="none"/>
        </w:rPr>
        <w:t>坚持流域统一调度原则，明晰各级调度权限和责任，建立流域管理机构与行政区域分级负责、协同配合的调度指挥体系。完善水库、拦河闸坝、分洪河道、滞洪区等重点工程的联合调度机制，根据雨水情发展态势和洪水预报成果，按照批准的调度运用方案和汛限水位管理规定，科学实施预泄腾库、拦洪削峰、分洪滞洪等调度措施。建立调度指令下达、执行、反馈的快速通道，强化调度过程的监督检查和后评估，确保调度指令执行到位、工程安全运行。</w:t>
      </w:r>
    </w:p>
    <w:p>
      <w:pPr>
        <w:bidi w:val="0"/>
        <w:rPr>
          <w:rFonts w:hint="eastAsia"/>
          <w:color w:val="auto"/>
          <w:highlight w:val="none"/>
        </w:rPr>
      </w:pPr>
      <w:r>
        <w:rPr>
          <w:rFonts w:hint="eastAsia"/>
          <w:b/>
          <w:bCs/>
          <w:color w:val="auto"/>
          <w:highlight w:val="none"/>
        </w:rPr>
        <w:t>细化实化洪水调度方案，增强预案可操作性。</w:t>
      </w:r>
      <w:r>
        <w:rPr>
          <w:rFonts w:hint="eastAsia"/>
          <w:color w:val="auto"/>
          <w:highlight w:val="none"/>
        </w:rPr>
        <w:t xml:space="preserve"> 按照</w:t>
      </w:r>
      <w:r>
        <w:rPr>
          <w:rFonts w:hint="eastAsia" w:ascii="Times New Roman" w:hAnsi="Times New Roman" w:eastAsia="方正仿宋_GBK" w:cs="Times New Roman"/>
          <w:color w:val="auto"/>
          <w:kern w:val="2"/>
          <w:sz w:val="28"/>
          <w:szCs w:val="28"/>
          <w:highlight w:val="none"/>
          <w:lang w:val="en-US" w:eastAsia="zh-CN" w:bidi="ar-SA"/>
        </w:rPr>
        <w:t>“</w:t>
      </w:r>
      <w:r>
        <w:rPr>
          <w:rFonts w:hint="eastAsia"/>
          <w:color w:val="auto"/>
          <w:highlight w:val="none"/>
        </w:rPr>
        <w:t>一河一策、一库一策</w:t>
      </w:r>
      <w:r>
        <w:rPr>
          <w:rFonts w:hint="eastAsia" w:ascii="Times New Roman" w:hAnsi="Times New Roman" w:eastAsia="方正仿宋_GBK" w:cs="Times New Roman"/>
          <w:color w:val="auto"/>
          <w:kern w:val="2"/>
          <w:sz w:val="28"/>
          <w:szCs w:val="28"/>
          <w:highlight w:val="none"/>
          <w:lang w:val="en-US" w:eastAsia="zh-CN" w:bidi="ar-SA"/>
        </w:rPr>
        <w:t>”</w:t>
      </w:r>
      <w:r>
        <w:rPr>
          <w:rFonts w:hint="eastAsia"/>
          <w:color w:val="auto"/>
          <w:highlight w:val="none"/>
        </w:rPr>
        <w:t>要求，组织修订完善主要江河、重要支流、控制性水库的洪水调度方案，明确不同量级洪水的调度目标、调度原则和具体调度方式，合理确定调度权限和启动条件。方案编制要充分考虑工程现状、河道行洪能力、保护区重要性等因素，细化超标洪水应对策略和弃守顺序。强化调度方案的审批管理，经批准的方案具有法定效力，必须严格执行。定期开展洪水调度模拟演练和实战预演，检验方案科学性，提升调度人员熟练程度，确保发生洪水时能够迅即响应、精准调度、有序应对。</w:t>
      </w:r>
    </w:p>
    <w:p>
      <w:pPr>
        <w:bidi w:val="0"/>
        <w:rPr>
          <w:rFonts w:hint="eastAsia"/>
          <w:color w:val="auto"/>
          <w:highlight w:val="none"/>
        </w:rPr>
      </w:pPr>
      <w:r>
        <w:rPr>
          <w:rFonts w:hint="eastAsia"/>
          <w:b/>
          <w:bCs/>
          <w:color w:val="auto"/>
          <w:highlight w:val="none"/>
        </w:rPr>
        <w:t>强化物资保障机制，夯实防汛抗洪基础。</w:t>
      </w:r>
      <w:r>
        <w:rPr>
          <w:rFonts w:hint="eastAsia"/>
          <w:color w:val="auto"/>
          <w:highlight w:val="none"/>
        </w:rPr>
        <w:t>建立防汛抗旱物资储备体系，根据区域洪涝风险等级、工程分布特点和人口密集程度，差异化配置防汛抢险物资种类与数量，重点储备编织袋、土工布、铅丝网片、救生衣等关键物料设备。推行物资储备管理信息化，完善紧急调拨机制，建立跨地区、跨部门的物资协同保障机制，确保大灾发生时能迅速启动</w:t>
      </w:r>
      <w:r>
        <w:rPr>
          <w:rFonts w:hint="eastAsia" w:ascii="Times New Roman" w:hAnsi="Times New Roman" w:eastAsia="方正仿宋_GBK" w:cs="Times New Roman"/>
          <w:color w:val="auto"/>
          <w:kern w:val="2"/>
          <w:sz w:val="28"/>
          <w:szCs w:val="28"/>
          <w:highlight w:val="none"/>
          <w:lang w:val="en-US" w:eastAsia="zh-CN" w:bidi="ar-SA"/>
        </w:rPr>
        <w:t>“</w:t>
      </w:r>
      <w:r>
        <w:rPr>
          <w:rFonts w:hint="eastAsia"/>
          <w:color w:val="auto"/>
          <w:highlight w:val="none"/>
        </w:rPr>
        <w:t>就近调配、快速装运、精准投放</w:t>
      </w:r>
      <w:r>
        <w:rPr>
          <w:rFonts w:hint="eastAsia" w:ascii="Times New Roman" w:hAnsi="Times New Roman" w:eastAsia="方正仿宋_GBK" w:cs="Times New Roman"/>
          <w:color w:val="auto"/>
          <w:kern w:val="2"/>
          <w:sz w:val="28"/>
          <w:szCs w:val="28"/>
          <w:highlight w:val="none"/>
          <w:lang w:val="en-US" w:eastAsia="zh-CN" w:bidi="ar-SA"/>
        </w:rPr>
        <w:t>”</w:t>
      </w:r>
      <w:r>
        <w:rPr>
          <w:rFonts w:hint="eastAsia"/>
          <w:color w:val="auto"/>
          <w:highlight w:val="none"/>
        </w:rPr>
        <w:t>。建立物资更新补充与轮换机制，定期检测维护，及时淘汰更新过期、失效物资，保证物资始终处于良好状态，切实做到</w:t>
      </w:r>
      <w:r>
        <w:rPr>
          <w:rFonts w:hint="eastAsia" w:ascii="Times New Roman" w:hAnsi="Times New Roman" w:eastAsia="方正仿宋_GBK" w:cs="Times New Roman"/>
          <w:color w:val="auto"/>
          <w:kern w:val="2"/>
          <w:sz w:val="28"/>
          <w:szCs w:val="28"/>
          <w:highlight w:val="none"/>
          <w:lang w:val="en-US" w:eastAsia="zh-CN" w:bidi="ar-SA"/>
        </w:rPr>
        <w:t>“</w:t>
      </w:r>
      <w:r>
        <w:rPr>
          <w:rFonts w:hint="eastAsia"/>
          <w:color w:val="auto"/>
          <w:highlight w:val="none"/>
        </w:rPr>
        <w:t>宁可备而不用、不可用时无备</w:t>
      </w:r>
      <w:r>
        <w:rPr>
          <w:rFonts w:hint="eastAsia" w:ascii="Times New Roman" w:hAnsi="Times New Roman" w:eastAsia="方正仿宋_GBK" w:cs="Times New Roman"/>
          <w:color w:val="auto"/>
          <w:kern w:val="2"/>
          <w:sz w:val="28"/>
          <w:szCs w:val="28"/>
          <w:highlight w:val="none"/>
          <w:lang w:val="en-US" w:eastAsia="zh-CN" w:bidi="ar-SA"/>
        </w:rPr>
        <w:t>”</w:t>
      </w:r>
      <w:r>
        <w:rPr>
          <w:rFonts w:hint="eastAsia"/>
          <w:color w:val="auto"/>
          <w:highlight w:val="none"/>
        </w:rPr>
        <w:t>，为调度决策和抢险救灾提供坚实物质基础。</w:t>
      </w:r>
    </w:p>
    <w:bookmarkEnd w:id="83"/>
    <w:bookmarkEnd w:id="84"/>
    <w:bookmarkEnd w:id="85"/>
    <w:bookmarkEnd w:id="86"/>
    <w:p>
      <w:pPr>
        <w:pStyle w:val="3"/>
        <w:bidi w:val="0"/>
        <w:rPr>
          <w:rFonts w:hint="default"/>
          <w:color w:val="auto"/>
          <w:highlight w:val="none"/>
          <w:lang w:val="en-US" w:eastAsia="zh-CN"/>
        </w:rPr>
      </w:pPr>
      <w:bookmarkStart w:id="91" w:name="_Toc7516"/>
      <w:bookmarkStart w:id="92" w:name="_Toc26583"/>
      <w:bookmarkStart w:id="93" w:name="_Toc7141"/>
      <w:bookmarkStart w:id="94" w:name="_Toc849137481_WPSOffice_Level1"/>
      <w:bookmarkStart w:id="95" w:name="_Toc195289618"/>
      <w:r>
        <w:rPr>
          <w:rFonts w:hint="eastAsia"/>
          <w:color w:val="auto"/>
          <w:highlight w:val="none"/>
          <w:lang w:val="en-US" w:eastAsia="zh-CN"/>
        </w:rPr>
        <w:t>五、</w:t>
      </w:r>
      <w:bookmarkStart w:id="96" w:name="OLE_LINK8"/>
      <w:r>
        <w:rPr>
          <w:rFonts w:hint="eastAsia"/>
          <w:color w:val="auto"/>
          <w:highlight w:val="none"/>
          <w:lang w:val="en-US" w:eastAsia="zh-CN"/>
        </w:rPr>
        <w:t>综合治理河湖生态环境</w:t>
      </w:r>
      <w:bookmarkEnd w:id="91"/>
      <w:bookmarkEnd w:id="92"/>
      <w:bookmarkEnd w:id="93"/>
    </w:p>
    <w:bookmarkEnd w:id="94"/>
    <w:bookmarkEnd w:id="95"/>
    <w:bookmarkEnd w:id="96"/>
    <w:p>
      <w:pPr>
        <w:pStyle w:val="4"/>
        <w:numPr>
          <w:ilvl w:val="2"/>
          <w:numId w:val="0"/>
        </w:numPr>
        <w:bidi w:val="0"/>
        <w:ind w:leftChars="200"/>
        <w:rPr>
          <w:rFonts w:hint="eastAsia"/>
          <w:color w:val="auto"/>
          <w:highlight w:val="none"/>
          <w:lang w:val="en-US" w:eastAsia="zh-CN"/>
        </w:rPr>
      </w:pPr>
      <w:bookmarkStart w:id="97" w:name="_Toc1110461599"/>
      <w:bookmarkStart w:id="98" w:name="_Toc93906587"/>
      <w:bookmarkStart w:id="99" w:name="_Toc393305618_WPSOffice_Level2"/>
      <w:bookmarkStart w:id="100" w:name="_Toc195289619"/>
      <w:r>
        <w:rPr>
          <w:rFonts w:hint="eastAsia"/>
          <w:color w:val="auto"/>
          <w:highlight w:val="none"/>
          <w:lang w:val="en-US" w:eastAsia="zh-CN"/>
        </w:rPr>
        <w:t>（三十）推进河湖生态保护修复</w:t>
      </w:r>
    </w:p>
    <w:p>
      <w:pPr>
        <w:bidi w:val="0"/>
        <w:rPr>
          <w:rFonts w:hint="eastAsia"/>
          <w:b/>
          <w:bCs/>
          <w:color w:val="auto"/>
          <w:highlight w:val="none"/>
          <w:lang w:val="en-US" w:eastAsia="zh-CN"/>
        </w:rPr>
      </w:pPr>
      <w:r>
        <w:rPr>
          <w:rFonts w:hint="eastAsia"/>
          <w:b/>
          <w:bCs/>
          <w:color w:val="auto"/>
          <w:highlight w:val="none"/>
          <w:lang w:val="en-US" w:eastAsia="zh-CN"/>
        </w:rPr>
        <w:t>保障重点河湖生态流（水）量。</w:t>
      </w:r>
      <w:r>
        <w:rPr>
          <w:color w:val="auto"/>
          <w:highlight w:val="none"/>
        </w:rPr>
        <w:t>建立健全生态流量管理机制，落实生态流量保障目标，明确生态流量保障工作责任主体、主要任务和保障措施，实施清单式管理，定期开展保障情况评估和考核。加强水库、水电站生态流量泄放监管，加强生态流量监测预警，采取专项检查、现场督导、在线监测等方式，强化生态流量保障情况监督检查。建立跨部门的生态流量监督管理协调机制，协同推进河流生态流量监督管理工作。严格生态流量保障监督考核，定期开展河流生态流量保障情况评估，将年度生态流量考核结果和生态流量问题整改情况，纳入最严格水资源管理制度考核。</w:t>
      </w:r>
    </w:p>
    <w:p>
      <w:pPr>
        <w:bidi w:val="0"/>
        <w:rPr>
          <w:rFonts w:hint="eastAsia"/>
          <w:color w:val="auto"/>
          <w:highlight w:val="none"/>
          <w:lang w:val="en-US" w:eastAsia="zh-CN"/>
        </w:rPr>
      </w:pPr>
      <w:bookmarkStart w:id="101" w:name="_Toc13960"/>
      <w:bookmarkStart w:id="102" w:name="_Toc328"/>
      <w:bookmarkStart w:id="103" w:name="_Toc195289628"/>
      <w:bookmarkStart w:id="104" w:name="_Toc296139871_WPSOffice_Level3"/>
      <w:bookmarkStart w:id="105" w:name="_Toc9683"/>
      <w:bookmarkStart w:id="106" w:name="_Toc30186"/>
      <w:bookmarkStart w:id="107" w:name="_Toc12473"/>
      <w:bookmarkStart w:id="108" w:name="_Toc12990"/>
      <w:r>
        <w:rPr>
          <w:rFonts w:hint="eastAsia"/>
          <w:b/>
          <w:bCs/>
          <w:color w:val="auto"/>
          <w:highlight w:val="none"/>
          <w:lang w:val="en-US" w:eastAsia="zh-CN"/>
        </w:rPr>
        <w:t>加强生态廊道保护与修复</w:t>
      </w:r>
      <w:bookmarkEnd w:id="101"/>
      <w:bookmarkEnd w:id="102"/>
      <w:bookmarkEnd w:id="103"/>
      <w:bookmarkEnd w:id="104"/>
      <w:bookmarkEnd w:id="105"/>
      <w:bookmarkEnd w:id="106"/>
      <w:bookmarkEnd w:id="107"/>
      <w:bookmarkEnd w:id="108"/>
      <w:r>
        <w:rPr>
          <w:rFonts w:hint="eastAsia"/>
          <w:b/>
          <w:bCs/>
          <w:color w:val="auto"/>
          <w:highlight w:val="none"/>
          <w:lang w:val="en-US" w:eastAsia="zh-CN"/>
        </w:rPr>
        <w:t>。</w:t>
      </w:r>
      <w:r>
        <w:rPr>
          <w:color w:val="auto"/>
          <w:highlight w:val="none"/>
          <w:lang w:val="en-US" w:eastAsia="zh-CN"/>
        </w:rPr>
        <w:t>以叶尔羌河、喀什噶尔河为绿色走廊，统筹上中下游，因地制宜，分类治理：将河道分为河源区水源涵养与保护型、山区河段生态保护型、河岸林草保护与修复型、水环境保护与治理型，河源区以自然保护及水源涵养为保护重点，山区段以维持河段现有生态系统为重点、河岸林草保护与修复段以河岸林草面积不减少为保护重点，水环境保护与治理段以提升改善水质类别为重点。</w:t>
      </w:r>
    </w:p>
    <w:p>
      <w:pPr>
        <w:bidi w:val="0"/>
        <w:rPr>
          <w:color w:val="auto"/>
          <w:highlight w:val="none"/>
        </w:rPr>
      </w:pPr>
      <w:bookmarkStart w:id="109" w:name="_Toc15244"/>
      <w:bookmarkStart w:id="110" w:name="_Toc1585153193_WPSOffice_Level3"/>
      <w:bookmarkStart w:id="111" w:name="_Toc30416"/>
      <w:bookmarkStart w:id="112" w:name="_Toc17540"/>
      <w:bookmarkStart w:id="113" w:name="_Toc14820"/>
      <w:bookmarkStart w:id="114" w:name="_Toc195289629"/>
      <w:bookmarkStart w:id="115" w:name="_Toc1868"/>
      <w:bookmarkStart w:id="116" w:name="_Toc1282"/>
      <w:r>
        <w:rPr>
          <w:rFonts w:hint="eastAsia"/>
          <w:b/>
          <w:bCs/>
          <w:color w:val="auto"/>
          <w:highlight w:val="none"/>
          <w:lang w:val="en-US" w:eastAsia="zh-CN"/>
        </w:rPr>
        <w:t>持续开展河流健康评价</w:t>
      </w:r>
      <w:bookmarkEnd w:id="109"/>
      <w:bookmarkEnd w:id="110"/>
      <w:bookmarkEnd w:id="111"/>
      <w:bookmarkEnd w:id="112"/>
      <w:bookmarkEnd w:id="113"/>
      <w:bookmarkEnd w:id="114"/>
      <w:bookmarkEnd w:id="115"/>
      <w:bookmarkEnd w:id="116"/>
      <w:r>
        <w:rPr>
          <w:rFonts w:hint="eastAsia"/>
          <w:b/>
          <w:bCs/>
          <w:color w:val="auto"/>
          <w:highlight w:val="none"/>
          <w:lang w:val="en-US" w:eastAsia="zh-CN"/>
        </w:rPr>
        <w:t>。</w:t>
      </w:r>
      <w:r>
        <w:rPr>
          <w:rFonts w:hint="eastAsia"/>
          <w:color w:val="auto"/>
          <w:highlight w:val="none"/>
          <w:lang w:val="en-US" w:eastAsia="zh-CN"/>
        </w:rPr>
        <w:t>根据</w:t>
      </w:r>
      <w:r>
        <w:rPr>
          <w:color w:val="auto"/>
          <w:highlight w:val="none"/>
        </w:rPr>
        <w:t>《水利部河湖管理司关于进一步明确河湖健康评价有关事项的通知》（河湖〔2023〕1号）、《新疆河湖健康评价技术指南（试行）》要求，按照叶尔羌河、提孜那甫河、喀什噶尔河、盖孜河、库山河、恰克马克河、依格孜牙河、乌鲁克河、塔什库尔干河、吐曼河等河流健康评价，确保上述河流健康程度保持在健康以上。逐步推进其他开发利用程度较高、受人类活动影响较大、确有管理保护任务的河湖开展河湖健康评价，形成完整的喀什地区河湖健康档案库。</w:t>
      </w:r>
      <w:r>
        <w:rPr>
          <w:rFonts w:hint="eastAsia"/>
          <w:color w:val="auto"/>
          <w:highlight w:val="none"/>
        </w:rPr>
        <w:t>在此基础上积极摸排其余河流，有序编制健康评价报告或健康评价表，更加完善河湖健康档案库。</w:t>
      </w:r>
    </w:p>
    <w:p>
      <w:pPr>
        <w:bidi w:val="0"/>
        <w:rPr>
          <w:rFonts w:hint="eastAsia"/>
          <w:color w:val="auto"/>
          <w:highlight w:val="none"/>
        </w:rPr>
      </w:pPr>
      <w:bookmarkStart w:id="117" w:name="_Toc1118"/>
      <w:bookmarkStart w:id="118" w:name="_Toc4721"/>
      <w:bookmarkStart w:id="119" w:name="_Toc12554"/>
      <w:bookmarkStart w:id="120" w:name="_Toc716464136_WPSOffice_Level3"/>
      <w:bookmarkStart w:id="121" w:name="_Toc195289630"/>
      <w:bookmarkStart w:id="122" w:name="_Toc17276"/>
      <w:bookmarkStart w:id="123" w:name="_Toc21582"/>
      <w:bookmarkStart w:id="124" w:name="_Toc27655"/>
      <w:r>
        <w:rPr>
          <w:rFonts w:hint="eastAsia"/>
          <w:b/>
          <w:bCs/>
          <w:color w:val="auto"/>
          <w:highlight w:val="none"/>
          <w:lang w:val="en-US" w:eastAsia="zh-CN"/>
        </w:rPr>
        <w:t>加强水生态保护和修复</w:t>
      </w:r>
      <w:bookmarkEnd w:id="117"/>
      <w:bookmarkEnd w:id="118"/>
      <w:bookmarkEnd w:id="119"/>
      <w:bookmarkEnd w:id="120"/>
      <w:bookmarkEnd w:id="121"/>
      <w:bookmarkEnd w:id="122"/>
      <w:bookmarkEnd w:id="123"/>
      <w:bookmarkEnd w:id="124"/>
      <w:r>
        <w:rPr>
          <w:rFonts w:hint="eastAsia"/>
          <w:b/>
          <w:bCs/>
          <w:color w:val="auto"/>
          <w:highlight w:val="none"/>
          <w:lang w:val="en-US" w:eastAsia="zh-CN"/>
        </w:rPr>
        <w:t>。</w:t>
      </w:r>
      <w:r>
        <w:rPr>
          <w:rFonts w:hint="eastAsia"/>
          <w:color w:val="auto"/>
          <w:highlight w:val="none"/>
        </w:rPr>
        <w:t>加强叶尔羌河特有鱼类国家级水产种质资源保护区建设和管理，重点对塔里木裂腹鱼和斑重唇鱼特有鱼类产卵场、索饵场、越冬场等重要栖息地实施保护和修复，研究流域水工程生态调度方式，为鱼类创造繁殖生产水文条件，持续推进提孜那甫河、叶尔羌河、喀什噶尔河土著鱼类增殖放流。</w:t>
      </w:r>
      <w:bookmarkStart w:id="125" w:name="_Toc195289632"/>
      <w:bookmarkStart w:id="126" w:name="_Toc835853212_WPSOffice_Level3"/>
      <w:bookmarkStart w:id="127" w:name="_Toc27041"/>
    </w:p>
    <w:p>
      <w:pPr>
        <w:bidi w:val="0"/>
        <w:rPr>
          <w:rFonts w:hint="eastAsia"/>
          <w:color w:val="auto"/>
          <w:highlight w:val="none"/>
        </w:rPr>
      </w:pPr>
      <w:bookmarkStart w:id="128" w:name="_Toc3663"/>
      <w:bookmarkStart w:id="129" w:name="_Toc2584"/>
      <w:bookmarkStart w:id="130" w:name="_Toc7076"/>
      <w:bookmarkStart w:id="131" w:name="_Toc5231"/>
      <w:bookmarkStart w:id="132" w:name="_Toc10945"/>
      <w:r>
        <w:rPr>
          <w:rFonts w:hint="eastAsia"/>
          <w:b/>
          <w:bCs/>
          <w:color w:val="auto"/>
          <w:highlight w:val="none"/>
          <w:lang w:val="en-US" w:eastAsia="zh-CN"/>
        </w:rPr>
        <w:t>巩固扩大幸福河湖建设成果</w:t>
      </w:r>
      <w:bookmarkEnd w:id="125"/>
      <w:bookmarkEnd w:id="126"/>
      <w:bookmarkEnd w:id="127"/>
      <w:bookmarkEnd w:id="128"/>
      <w:bookmarkEnd w:id="129"/>
      <w:bookmarkEnd w:id="130"/>
      <w:bookmarkEnd w:id="131"/>
      <w:bookmarkEnd w:id="132"/>
      <w:r>
        <w:rPr>
          <w:rFonts w:hint="eastAsia"/>
          <w:b/>
          <w:bCs/>
          <w:color w:val="auto"/>
          <w:highlight w:val="none"/>
          <w:lang w:val="en-US" w:eastAsia="zh-CN"/>
        </w:rPr>
        <w:t>。</w:t>
      </w:r>
      <w:r>
        <w:rPr>
          <w:rFonts w:hint="eastAsia"/>
          <w:color w:val="auto"/>
          <w:highlight w:val="none"/>
        </w:rPr>
        <w:t>巩固做好叶尔羌河莎车县段、持续推进叶尔羌河泽普县段、麦盖提县段幸福河湖建设工作，推进吐曼河等幸福河湖建设，</w:t>
      </w:r>
      <w:r>
        <w:rPr>
          <w:rFonts w:hint="eastAsia"/>
          <w:color w:val="auto"/>
          <w:highlight w:val="none"/>
          <w:lang w:val="zh-CN" w:eastAsia="zh-CN"/>
        </w:rPr>
        <w:t>谋划上报疏附县且木干河、喀什噶尔河流域水环境综合治理建设项目（</w:t>
      </w:r>
      <w:r>
        <w:rPr>
          <w:rFonts w:hint="eastAsia"/>
          <w:color w:val="auto"/>
          <w:highlight w:val="none"/>
          <w:lang w:val="en-US" w:eastAsia="zh-CN"/>
        </w:rPr>
        <w:t>巴楚段</w:t>
      </w:r>
      <w:r>
        <w:rPr>
          <w:rFonts w:hint="eastAsia"/>
          <w:color w:val="auto"/>
          <w:highlight w:val="none"/>
          <w:lang w:val="zh-CN" w:eastAsia="zh-CN"/>
        </w:rPr>
        <w:t>），</w:t>
      </w:r>
      <w:r>
        <w:rPr>
          <w:rFonts w:hint="eastAsia"/>
          <w:color w:val="auto"/>
          <w:highlight w:val="none"/>
        </w:rPr>
        <w:t>积极争取国家资金提升河流综合价值</w:t>
      </w:r>
      <w:r>
        <w:rPr>
          <w:rFonts w:hint="eastAsia"/>
          <w:color w:val="auto"/>
          <w:highlight w:val="none"/>
          <w:lang w:eastAsia="zh-CN"/>
        </w:rPr>
        <w:t>，</w:t>
      </w:r>
      <w:r>
        <w:rPr>
          <w:rFonts w:hint="eastAsia"/>
          <w:color w:val="auto"/>
          <w:highlight w:val="none"/>
        </w:rPr>
        <w:t>以吐曼河</w:t>
      </w:r>
      <w:r>
        <w:rPr>
          <w:rFonts w:hint="eastAsia"/>
          <w:color w:val="auto"/>
          <w:highlight w:val="none"/>
          <w:lang w:val="en-US" w:eastAsia="zh-CN"/>
        </w:rPr>
        <w:t>等</w:t>
      </w:r>
      <w:r>
        <w:rPr>
          <w:rFonts w:hint="eastAsia"/>
          <w:color w:val="auto"/>
          <w:highlight w:val="none"/>
        </w:rPr>
        <w:t>已建幸福河湖为核心，围绕防洪安全与生态保护双目标，开展河湖系统治理。申请幸福河湖专项资金，推进河道清淤疏浚、堤防加固工程，划定生态保护红线，严控水域岸线开发强度。同步启动沿河绿色廊道建设，种植耐旱适生植被，构建生态缓冲带。结合乡村振兴战略，在沿河村建设亲水步道、休憩广场等便民设施，提升群众日常亲水体验，为后续发展筑牢生态本底。</w:t>
      </w:r>
    </w:p>
    <w:p>
      <w:pPr>
        <w:pStyle w:val="4"/>
        <w:numPr>
          <w:ilvl w:val="2"/>
          <w:numId w:val="0"/>
        </w:numPr>
        <w:bidi w:val="0"/>
        <w:ind w:leftChars="200"/>
        <w:rPr>
          <w:rFonts w:hint="eastAsia"/>
          <w:color w:val="auto"/>
          <w:highlight w:val="none"/>
          <w:lang w:val="en-US" w:eastAsia="zh-CN"/>
        </w:rPr>
      </w:pPr>
      <w:bookmarkStart w:id="133" w:name="_Toc503910582_WPSOffice_Level2"/>
      <w:bookmarkStart w:id="134" w:name="_Toc195289620"/>
      <w:bookmarkStart w:id="135" w:name="_Toc5758"/>
      <w:bookmarkStart w:id="136" w:name="_Toc25844"/>
      <w:r>
        <w:rPr>
          <w:rFonts w:hint="eastAsia"/>
          <w:color w:val="auto"/>
          <w:highlight w:val="none"/>
          <w:lang w:val="en-US" w:eastAsia="zh-CN"/>
        </w:rPr>
        <w:t>（三十一）加强水域</w:t>
      </w:r>
      <w:bookmarkEnd w:id="133"/>
      <w:bookmarkEnd w:id="134"/>
      <w:r>
        <w:rPr>
          <w:rFonts w:hint="eastAsia"/>
          <w:color w:val="auto"/>
          <w:highlight w:val="none"/>
          <w:lang w:val="en-US" w:eastAsia="zh-CN"/>
        </w:rPr>
        <w:t>岸线保护治理</w:t>
      </w:r>
      <w:bookmarkEnd w:id="135"/>
      <w:bookmarkEnd w:id="136"/>
    </w:p>
    <w:p>
      <w:pPr>
        <w:bidi w:val="0"/>
        <w:rPr>
          <w:rFonts w:hint="eastAsia"/>
          <w:color w:val="auto"/>
          <w:highlight w:val="none"/>
        </w:rPr>
      </w:pPr>
      <w:r>
        <w:rPr>
          <w:rFonts w:hint="eastAsia"/>
          <w:b/>
          <w:bCs/>
          <w:color w:val="auto"/>
          <w:highlight w:val="none"/>
        </w:rPr>
        <w:t>进一步强化落实河湖长制。</w:t>
      </w:r>
      <w:r>
        <w:rPr>
          <w:rFonts w:hint="eastAsia"/>
          <w:color w:val="auto"/>
          <w:highlight w:val="none"/>
        </w:rPr>
        <w:t>持续完善河湖长制，落实河长动态调整与责任递补，运用无人机、遥感等技术提升巡查效能，</w:t>
      </w:r>
      <w:r>
        <w:rPr>
          <w:rFonts w:hint="eastAsia"/>
          <w:color w:val="auto"/>
          <w:highlight w:val="none"/>
          <w:lang w:val="en-US" w:eastAsia="zh-CN"/>
        </w:rPr>
        <w:t>推进</w:t>
      </w:r>
      <w:r>
        <w:rPr>
          <w:rFonts w:hint="eastAsia" w:eastAsia="宋体"/>
          <w:color w:val="auto"/>
          <w:highlight w:val="none"/>
          <w:lang w:eastAsia="zh-CN"/>
        </w:rPr>
        <w:t>“</w:t>
      </w:r>
      <w:r>
        <w:rPr>
          <w:rFonts w:hint="eastAsia"/>
          <w:color w:val="auto"/>
          <w:highlight w:val="none"/>
        </w:rPr>
        <w:t>河湖长</w:t>
      </w:r>
      <w:r>
        <w:rPr>
          <w:rFonts w:hint="eastAsia"/>
          <w:color w:val="auto"/>
          <w:highlight w:val="none"/>
          <w:lang w:val="en-US" w:eastAsia="zh-CN"/>
        </w:rPr>
        <w:t>+</w:t>
      </w:r>
      <w:r>
        <w:rPr>
          <w:rFonts w:hint="eastAsia"/>
          <w:color w:val="auto"/>
          <w:highlight w:val="none"/>
          <w:lang w:eastAsia="zh-CN"/>
        </w:rPr>
        <w:t>”</w:t>
      </w:r>
      <w:r>
        <w:rPr>
          <w:rFonts w:hint="eastAsia"/>
          <w:color w:val="auto"/>
          <w:highlight w:val="none"/>
        </w:rPr>
        <w:t>协作机制，构建跨部门联防联治格局；健全日常管护制度，培育民间河长与志愿服务队，打通管护</w:t>
      </w:r>
      <w:r>
        <w:rPr>
          <w:rFonts w:hint="eastAsia"/>
          <w:color w:val="auto"/>
          <w:highlight w:val="none"/>
          <w:lang w:eastAsia="zh-CN"/>
        </w:rPr>
        <w:t>“</w:t>
      </w:r>
      <w:r>
        <w:rPr>
          <w:rFonts w:hint="eastAsia"/>
          <w:color w:val="auto"/>
          <w:highlight w:val="none"/>
        </w:rPr>
        <w:t>最后一公里</w:t>
      </w:r>
      <w:r>
        <w:rPr>
          <w:rFonts w:hint="eastAsia"/>
          <w:color w:val="auto"/>
          <w:highlight w:val="none"/>
          <w:lang w:eastAsia="zh-CN"/>
        </w:rPr>
        <w:t>”</w:t>
      </w:r>
      <w:r>
        <w:rPr>
          <w:rFonts w:hint="eastAsia"/>
          <w:color w:val="auto"/>
          <w:highlight w:val="none"/>
        </w:rPr>
        <w:t>，推动统一规划、统一治理、统一调度、统一管理，实现全流域协同治理。</w:t>
      </w:r>
    </w:p>
    <w:p>
      <w:pPr>
        <w:bidi w:val="0"/>
        <w:rPr>
          <w:rFonts w:hint="default" w:eastAsia="方正仿宋_GBK"/>
          <w:color w:val="auto"/>
          <w:highlight w:val="none"/>
          <w:lang w:val="en-US" w:eastAsia="zh-CN"/>
        </w:rPr>
      </w:pPr>
      <w:r>
        <w:rPr>
          <w:rFonts w:hint="eastAsia"/>
          <w:b/>
          <w:bCs/>
          <w:color w:val="auto"/>
          <w:highlight w:val="none"/>
        </w:rPr>
        <w:t>持续推进河湖水域岸线管理范围划定及岸线保护与利用方案制定。</w:t>
      </w:r>
      <w:r>
        <w:rPr>
          <w:rFonts w:hint="eastAsia"/>
          <w:color w:val="auto"/>
          <w:highlight w:val="none"/>
        </w:rPr>
        <w:t>喀什地区已完成44条河流的岸线划界与保护利用规划</w:t>
      </w:r>
      <w:r>
        <w:rPr>
          <w:rFonts w:hint="eastAsia"/>
          <w:color w:val="auto"/>
          <w:highlight w:val="none"/>
          <w:lang w:val="en-US" w:eastAsia="zh-CN"/>
        </w:rPr>
        <w:t>方案制定</w:t>
      </w:r>
      <w:r>
        <w:rPr>
          <w:rFonts w:hint="eastAsia"/>
          <w:color w:val="auto"/>
          <w:highlight w:val="none"/>
        </w:rPr>
        <w:t>，规划优先推进16条山区河道水域岸线管理范围划定及岸线保护与利用方案编制工作，并逐步对50</w:t>
      </w:r>
      <w:r>
        <w:rPr>
          <w:rFonts w:hint="eastAsia"/>
          <w:color w:val="auto"/>
          <w:highlight w:val="none"/>
          <w:lang w:eastAsia="zh-CN"/>
        </w:rPr>
        <w:t>—</w:t>
      </w:r>
      <w:r>
        <w:rPr>
          <w:rFonts w:hint="eastAsia"/>
          <w:color w:val="auto"/>
          <w:highlight w:val="none"/>
        </w:rPr>
        <w:t>200km²有防洪任务</w:t>
      </w:r>
      <w:r>
        <w:rPr>
          <w:rFonts w:hint="eastAsia"/>
          <w:color w:val="auto"/>
          <w:highlight w:val="none"/>
          <w:lang w:eastAsia="zh-CN"/>
        </w:rPr>
        <w:t>、</w:t>
      </w:r>
      <w:r>
        <w:rPr>
          <w:rFonts w:hint="eastAsia"/>
          <w:color w:val="auto"/>
          <w:highlight w:val="none"/>
        </w:rPr>
        <w:t>人员密集的河道开展划界。严格岸线分区管控，强化河湖长制，做好河湖划界与</w:t>
      </w:r>
      <w:r>
        <w:rPr>
          <w:rFonts w:hint="eastAsia"/>
          <w:color w:val="auto"/>
          <w:highlight w:val="none"/>
          <w:lang w:eastAsia="zh-CN"/>
        </w:rPr>
        <w:t>“</w:t>
      </w:r>
      <w:r>
        <w:rPr>
          <w:rFonts w:hint="eastAsia"/>
          <w:color w:val="auto"/>
          <w:highlight w:val="none"/>
        </w:rPr>
        <w:t>三区三线</w:t>
      </w:r>
      <w:r>
        <w:rPr>
          <w:rFonts w:hint="eastAsia"/>
          <w:color w:val="auto"/>
          <w:highlight w:val="none"/>
          <w:lang w:eastAsia="zh-CN"/>
        </w:rPr>
        <w:t>”</w:t>
      </w:r>
      <w:r>
        <w:rPr>
          <w:rFonts w:hint="eastAsia"/>
          <w:color w:val="auto"/>
          <w:highlight w:val="none"/>
        </w:rPr>
        <w:t>划定等工作的衔接</w:t>
      </w:r>
      <w:r>
        <w:rPr>
          <w:color w:val="auto"/>
          <w:highlight w:val="none"/>
        </w:rPr>
        <w:t>，</w:t>
      </w:r>
      <w:r>
        <w:rPr>
          <w:rFonts w:hint="eastAsia"/>
          <w:color w:val="auto"/>
          <w:highlight w:val="none"/>
          <w:lang w:val="en-US" w:eastAsia="zh-CN"/>
        </w:rPr>
        <w:t>持续推进河流确权划界工作。</w:t>
      </w:r>
    </w:p>
    <w:p>
      <w:pPr>
        <w:bidi w:val="0"/>
        <w:rPr>
          <w:rFonts w:hint="eastAsia"/>
          <w:color w:val="auto"/>
          <w:highlight w:val="none"/>
        </w:rPr>
      </w:pPr>
      <w:r>
        <w:rPr>
          <w:rFonts w:hint="eastAsia"/>
          <w:b/>
          <w:bCs/>
          <w:color w:val="auto"/>
          <w:highlight w:val="none"/>
        </w:rPr>
        <w:t>强化不同岸线功能分区保护与管控要求。</w:t>
      </w:r>
      <w:r>
        <w:rPr>
          <w:rFonts w:hint="eastAsia"/>
          <w:color w:val="auto"/>
          <w:highlight w:val="none"/>
        </w:rPr>
        <w:t xml:space="preserve"> </w:t>
      </w:r>
      <w:r>
        <w:rPr>
          <w:rFonts w:hint="eastAsia"/>
          <w:b/>
          <w:bCs/>
          <w:color w:val="auto"/>
          <w:highlight w:val="none"/>
        </w:rPr>
        <w:t>一</w:t>
      </w:r>
      <w:r>
        <w:rPr>
          <w:rFonts w:hint="eastAsia"/>
          <w:b/>
          <w:bCs/>
          <w:color w:val="auto"/>
          <w:highlight w:val="none"/>
          <w:lang w:val="en-US" w:eastAsia="zh-CN"/>
        </w:rPr>
        <w:t>是</w:t>
      </w:r>
      <w:r>
        <w:rPr>
          <w:rFonts w:hint="eastAsia"/>
          <w:color w:val="auto"/>
          <w:highlight w:val="none"/>
        </w:rPr>
        <w:t>依法依规管理</w:t>
      </w:r>
      <w:r>
        <w:rPr>
          <w:rFonts w:hint="eastAsia"/>
          <w:color w:val="auto"/>
          <w:highlight w:val="none"/>
          <w:lang w:eastAsia="zh-CN"/>
        </w:rPr>
        <w:t>，</w:t>
      </w:r>
      <w:r>
        <w:rPr>
          <w:rFonts w:hint="eastAsia"/>
          <w:color w:val="auto"/>
          <w:highlight w:val="none"/>
        </w:rPr>
        <w:t>严格依据《</w:t>
      </w:r>
      <w:r>
        <w:rPr>
          <w:rFonts w:hint="eastAsia"/>
          <w:color w:val="auto"/>
          <w:highlight w:val="none"/>
          <w:lang w:eastAsia="zh-CN"/>
        </w:rPr>
        <w:t>中华人民共和国水法</w:t>
      </w:r>
      <w:r>
        <w:rPr>
          <w:rFonts w:hint="eastAsia"/>
          <w:color w:val="auto"/>
          <w:highlight w:val="none"/>
        </w:rPr>
        <w:t>》《</w:t>
      </w:r>
      <w:r>
        <w:rPr>
          <w:rFonts w:hint="eastAsia"/>
          <w:color w:val="auto"/>
          <w:highlight w:val="none"/>
          <w:lang w:eastAsia="zh-CN"/>
        </w:rPr>
        <w:t>中华人民共和国防洪法</w:t>
      </w:r>
      <w:r>
        <w:rPr>
          <w:rFonts w:hint="eastAsia"/>
          <w:color w:val="auto"/>
          <w:highlight w:val="none"/>
        </w:rPr>
        <w:t>》《</w:t>
      </w:r>
      <w:r>
        <w:rPr>
          <w:rFonts w:hint="eastAsia"/>
          <w:color w:val="auto"/>
          <w:highlight w:val="none"/>
          <w:lang w:eastAsia="zh-CN"/>
        </w:rPr>
        <w:t>中华人民共和国河道管理条例</w:t>
      </w:r>
      <w:r>
        <w:rPr>
          <w:rFonts w:hint="eastAsia"/>
          <w:color w:val="auto"/>
          <w:highlight w:val="none"/>
        </w:rPr>
        <w:t>》等法律法规，对岸线保护区、保留区、控制利用区、开发利用区实施分类管控，全面开展喀什噶尔河、叶尔羌河等河流涉河建设项目拉网式排查，建立问题台账，逐步清理整治，修复受损岸线，恢复自然风貌。</w:t>
      </w:r>
      <w:r>
        <w:rPr>
          <w:rFonts w:hint="eastAsia"/>
          <w:b/>
          <w:bCs/>
          <w:color w:val="auto"/>
          <w:highlight w:val="none"/>
        </w:rPr>
        <w:t>二</w:t>
      </w:r>
      <w:r>
        <w:rPr>
          <w:rFonts w:hint="eastAsia"/>
          <w:b/>
          <w:bCs/>
          <w:color w:val="auto"/>
          <w:highlight w:val="none"/>
          <w:lang w:val="en-US" w:eastAsia="zh-CN"/>
        </w:rPr>
        <w:t>是</w:t>
      </w:r>
      <w:r>
        <w:rPr>
          <w:rFonts w:hint="eastAsia"/>
          <w:color w:val="auto"/>
          <w:highlight w:val="none"/>
        </w:rPr>
        <w:t>强化规划约束</w:t>
      </w:r>
      <w:r>
        <w:rPr>
          <w:rFonts w:hint="eastAsia"/>
          <w:color w:val="auto"/>
          <w:highlight w:val="none"/>
          <w:lang w:eastAsia="zh-CN"/>
        </w:rPr>
        <w:t>，</w:t>
      </w:r>
      <w:r>
        <w:rPr>
          <w:rFonts w:hint="eastAsia"/>
          <w:color w:val="auto"/>
          <w:highlight w:val="none"/>
        </w:rPr>
        <w:t>对已编制岸线规划的河流开展实施成效评估，依据水质、岸线占用率、生态修复进展等指标优化功能分区，强化生态敏感区刚性管控。严格按照规划要求，明确各区禁止和允许的建设项目类型，提出具体管控要求，推动岸线资源节约集约利用。</w:t>
      </w:r>
      <w:r>
        <w:rPr>
          <w:rFonts w:hint="eastAsia"/>
          <w:b/>
          <w:bCs/>
          <w:color w:val="auto"/>
          <w:highlight w:val="none"/>
        </w:rPr>
        <w:t>三</w:t>
      </w:r>
      <w:r>
        <w:rPr>
          <w:rFonts w:hint="eastAsia"/>
          <w:b/>
          <w:bCs/>
          <w:color w:val="auto"/>
          <w:highlight w:val="none"/>
          <w:lang w:val="en-US" w:eastAsia="zh-CN"/>
        </w:rPr>
        <w:t>是</w:t>
      </w:r>
      <w:r>
        <w:rPr>
          <w:rFonts w:hint="eastAsia"/>
          <w:color w:val="auto"/>
          <w:highlight w:val="none"/>
        </w:rPr>
        <w:t>完善审批监管</w:t>
      </w:r>
      <w:r>
        <w:rPr>
          <w:rFonts w:hint="eastAsia"/>
          <w:color w:val="auto"/>
          <w:highlight w:val="none"/>
          <w:lang w:eastAsia="zh-CN"/>
        </w:rPr>
        <w:t>，</w:t>
      </w:r>
      <w:r>
        <w:rPr>
          <w:rFonts w:hint="eastAsia"/>
          <w:color w:val="auto"/>
          <w:highlight w:val="none"/>
        </w:rPr>
        <w:t>完善部门协调机制，严格落实审批许可制度，严禁未批先建、越权审批、批建不符，实现涉河项目监管全覆盖。</w:t>
      </w:r>
      <w:r>
        <w:rPr>
          <w:rFonts w:hint="eastAsia"/>
          <w:b/>
          <w:bCs/>
          <w:color w:val="auto"/>
          <w:highlight w:val="none"/>
        </w:rPr>
        <w:t>四</w:t>
      </w:r>
      <w:r>
        <w:rPr>
          <w:rFonts w:hint="eastAsia"/>
          <w:b/>
          <w:bCs/>
          <w:color w:val="auto"/>
          <w:highlight w:val="none"/>
          <w:lang w:val="en-US" w:eastAsia="zh-CN"/>
        </w:rPr>
        <w:t>是</w:t>
      </w:r>
      <w:r>
        <w:rPr>
          <w:rFonts w:hint="eastAsia"/>
          <w:color w:val="auto"/>
          <w:highlight w:val="none"/>
        </w:rPr>
        <w:t>推进</w:t>
      </w:r>
      <w:r>
        <w:rPr>
          <w:rFonts w:hint="eastAsia"/>
          <w:color w:val="auto"/>
          <w:highlight w:val="none"/>
          <w:lang w:eastAsia="zh-CN"/>
        </w:rPr>
        <w:t>“</w:t>
      </w:r>
      <w:r>
        <w:rPr>
          <w:rFonts w:hint="eastAsia"/>
          <w:color w:val="auto"/>
          <w:highlight w:val="none"/>
        </w:rPr>
        <w:t>清四乱</w:t>
      </w:r>
      <w:r>
        <w:rPr>
          <w:rFonts w:hint="eastAsia"/>
          <w:color w:val="auto"/>
          <w:highlight w:val="none"/>
          <w:lang w:eastAsia="zh-CN"/>
        </w:rPr>
        <w:t>”</w:t>
      </w:r>
      <w:r>
        <w:rPr>
          <w:rFonts w:hint="eastAsia"/>
          <w:color w:val="auto"/>
          <w:highlight w:val="none"/>
        </w:rPr>
        <w:t>常态化</w:t>
      </w:r>
      <w:r>
        <w:rPr>
          <w:rFonts w:hint="eastAsia"/>
          <w:color w:val="auto"/>
          <w:highlight w:val="none"/>
          <w:lang w:eastAsia="zh-CN"/>
        </w:rPr>
        <w:t>，</w:t>
      </w:r>
      <w:r>
        <w:rPr>
          <w:rFonts w:hint="eastAsia"/>
          <w:color w:val="auto"/>
          <w:highlight w:val="none"/>
        </w:rPr>
        <w:t>聚焦妨碍行洪、侵占库容等突出问题，坚持</w:t>
      </w:r>
      <w:r>
        <w:rPr>
          <w:rFonts w:hint="eastAsia"/>
          <w:color w:val="auto"/>
          <w:highlight w:val="none"/>
          <w:lang w:eastAsia="zh-CN"/>
        </w:rPr>
        <w:t>“</w:t>
      </w:r>
      <w:r>
        <w:rPr>
          <w:rFonts w:hint="eastAsia"/>
          <w:color w:val="auto"/>
          <w:highlight w:val="none"/>
        </w:rPr>
        <w:t>遏增量、清存量、防反弹</w:t>
      </w:r>
      <w:r>
        <w:rPr>
          <w:rFonts w:hint="eastAsia"/>
          <w:color w:val="auto"/>
          <w:highlight w:val="none"/>
          <w:lang w:eastAsia="zh-CN"/>
        </w:rPr>
        <w:t>”</w:t>
      </w:r>
      <w:r>
        <w:rPr>
          <w:rFonts w:hint="eastAsia"/>
          <w:color w:val="auto"/>
          <w:highlight w:val="none"/>
        </w:rPr>
        <w:t>，</w:t>
      </w:r>
      <w:r>
        <w:rPr>
          <w:rFonts w:hint="eastAsia"/>
          <w:color w:val="auto"/>
          <w:highlight w:val="none"/>
          <w:lang w:val="en-US" w:eastAsia="zh-CN"/>
        </w:rPr>
        <w:t>常态化规范化</w:t>
      </w:r>
      <w:r>
        <w:rPr>
          <w:rFonts w:hint="eastAsia"/>
          <w:color w:val="auto"/>
          <w:highlight w:val="none"/>
        </w:rPr>
        <w:t>开展河湖库</w:t>
      </w:r>
      <w:r>
        <w:rPr>
          <w:rFonts w:hint="eastAsia"/>
          <w:color w:val="auto"/>
          <w:highlight w:val="none"/>
          <w:lang w:eastAsia="zh-CN"/>
        </w:rPr>
        <w:t>“</w:t>
      </w:r>
      <w:r>
        <w:rPr>
          <w:rFonts w:hint="eastAsia"/>
          <w:color w:val="auto"/>
          <w:highlight w:val="none"/>
        </w:rPr>
        <w:t>四乱</w:t>
      </w:r>
      <w:r>
        <w:rPr>
          <w:rFonts w:hint="eastAsia"/>
          <w:color w:val="auto"/>
          <w:highlight w:val="none"/>
          <w:lang w:eastAsia="zh-CN"/>
        </w:rPr>
        <w:t>”</w:t>
      </w:r>
      <w:r>
        <w:rPr>
          <w:rFonts w:hint="eastAsia"/>
          <w:color w:val="auto"/>
          <w:highlight w:val="none"/>
        </w:rPr>
        <w:t>排查整治，建立问题台账，落实年内动态清零。</w:t>
      </w:r>
    </w:p>
    <w:p>
      <w:pPr>
        <w:bidi w:val="0"/>
        <w:rPr>
          <w:rFonts w:hint="eastAsia"/>
          <w:color w:val="auto"/>
          <w:highlight w:val="none"/>
          <w:lang w:eastAsia="zh-CN"/>
        </w:rPr>
      </w:pPr>
      <w:r>
        <w:rPr>
          <w:rFonts w:hint="eastAsia"/>
          <w:b/>
          <w:bCs/>
          <w:color w:val="auto"/>
          <w:highlight w:val="none"/>
        </w:rPr>
        <w:t>进一步规范采砂活动</w:t>
      </w:r>
      <w:r>
        <w:rPr>
          <w:rFonts w:hint="eastAsia"/>
          <w:b/>
          <w:bCs/>
          <w:color w:val="auto"/>
          <w:highlight w:val="none"/>
          <w:lang w:eastAsia="zh-CN"/>
        </w:rPr>
        <w:t>。</w:t>
      </w:r>
      <w:r>
        <w:rPr>
          <w:rFonts w:hint="eastAsia"/>
          <w:color w:val="auto"/>
          <w:highlight w:val="none"/>
        </w:rPr>
        <w:t>坚持</w:t>
      </w:r>
      <w:r>
        <w:rPr>
          <w:rFonts w:hint="eastAsia"/>
          <w:color w:val="auto"/>
          <w:highlight w:val="none"/>
          <w:lang w:eastAsia="zh-CN"/>
        </w:rPr>
        <w:t>“</w:t>
      </w:r>
      <w:r>
        <w:rPr>
          <w:rFonts w:hint="eastAsia"/>
          <w:color w:val="auto"/>
          <w:highlight w:val="none"/>
        </w:rPr>
        <w:t>采砂规划未经审批一律禁止采砂</w:t>
      </w:r>
      <w:r>
        <w:rPr>
          <w:rFonts w:hint="eastAsia"/>
          <w:color w:val="auto"/>
          <w:highlight w:val="none"/>
          <w:lang w:eastAsia="zh-CN"/>
        </w:rPr>
        <w:t>”</w:t>
      </w:r>
      <w:r>
        <w:rPr>
          <w:rFonts w:hint="eastAsia"/>
          <w:color w:val="auto"/>
          <w:highlight w:val="none"/>
        </w:rPr>
        <w:t>原则，严格落实规划、许可、监管、执法全过程管理，实行采运单制度，鼓励规模化统一开采，加强日常巡查执法，严厉打击无证开采、禁采区采砂、超许可范围等各类非法采砂行为，维护河道采砂管理秩序与安全。</w:t>
      </w:r>
    </w:p>
    <w:p>
      <w:pPr>
        <w:bidi w:val="0"/>
        <w:rPr>
          <w:rFonts w:hint="eastAsia"/>
          <w:highlight w:val="none"/>
          <w:lang w:val="en-US" w:eastAsia="zh-CN"/>
        </w:rPr>
      </w:pPr>
      <w:bookmarkStart w:id="137" w:name="_Toc1301219128_WPSOffice_Level3"/>
      <w:bookmarkStart w:id="138" w:name="_Toc195289622"/>
      <w:bookmarkStart w:id="139" w:name="_Toc20766"/>
      <w:bookmarkStart w:id="140" w:name="_Toc30365"/>
      <w:bookmarkStart w:id="141" w:name="_Toc9041"/>
      <w:bookmarkStart w:id="142" w:name="_Toc10670"/>
      <w:bookmarkStart w:id="143" w:name="_Toc29472"/>
      <w:bookmarkStart w:id="144" w:name="_Toc18399"/>
      <w:r>
        <w:rPr>
          <w:rFonts w:hint="eastAsia"/>
          <w:b/>
          <w:bCs/>
          <w:highlight w:val="none"/>
          <w:lang w:val="en" w:eastAsia="zh-CN"/>
        </w:rPr>
        <w:t>合理划定水利基础设施空间布局</w:t>
      </w:r>
      <w:bookmarkEnd w:id="137"/>
      <w:bookmarkEnd w:id="138"/>
      <w:bookmarkEnd w:id="139"/>
      <w:bookmarkEnd w:id="140"/>
      <w:bookmarkEnd w:id="141"/>
      <w:bookmarkEnd w:id="142"/>
      <w:bookmarkEnd w:id="143"/>
      <w:bookmarkEnd w:id="144"/>
      <w:r>
        <w:rPr>
          <w:rFonts w:hint="eastAsia"/>
          <w:b/>
          <w:bCs/>
          <w:highlight w:val="none"/>
          <w:lang w:val="en" w:eastAsia="zh-CN"/>
        </w:rPr>
        <w:t>。</w:t>
      </w:r>
      <w:r>
        <w:rPr>
          <w:rFonts w:hint="eastAsia"/>
          <w:highlight w:val="none"/>
          <w:lang w:val="en-US" w:eastAsia="zh-CN"/>
        </w:rPr>
        <w:t>合理划定水利基础设施空间布局，协调与生态保护红线的关系，全面完成水库、水闸、堤防、泵站、骨干输水工程等水利工程划界确权，明确管理范围和保护范围，确保工程安全运行。</w:t>
      </w:r>
    </w:p>
    <w:p>
      <w:pPr>
        <w:pStyle w:val="4"/>
        <w:numPr>
          <w:ilvl w:val="2"/>
          <w:numId w:val="0"/>
        </w:numPr>
        <w:bidi w:val="0"/>
        <w:ind w:leftChars="200"/>
        <w:rPr>
          <w:rFonts w:hint="default"/>
          <w:color w:val="auto"/>
          <w:highlight w:val="none"/>
          <w:lang w:val="en-US" w:eastAsia="zh-CN"/>
        </w:rPr>
      </w:pPr>
      <w:r>
        <w:rPr>
          <w:rFonts w:hint="eastAsia"/>
          <w:color w:val="auto"/>
          <w:highlight w:val="none"/>
          <w:lang w:val="en-US" w:eastAsia="zh-CN"/>
        </w:rPr>
        <w:t>（三十二）推进地下水保护</w:t>
      </w:r>
    </w:p>
    <w:p>
      <w:pPr>
        <w:bidi w:val="0"/>
        <w:rPr>
          <w:rFonts w:hint="eastAsia"/>
          <w:highlight w:val="none"/>
          <w:lang w:val="en-US" w:eastAsia="zh-CN"/>
        </w:rPr>
      </w:pPr>
      <w:r>
        <w:rPr>
          <w:rFonts w:hint="eastAsia"/>
          <w:b/>
          <w:bCs/>
          <w:highlight w:val="none"/>
          <w:lang w:val="en" w:eastAsia="zh-CN"/>
        </w:rPr>
        <w:t>加强机电井管理。</w:t>
      </w:r>
      <w:r>
        <w:rPr>
          <w:rFonts w:hint="default"/>
          <w:highlight w:val="none"/>
          <w:lang w:val="en-US" w:eastAsia="zh-CN"/>
        </w:rPr>
        <w:t>喀什地区现有3</w:t>
      </w:r>
      <w:r>
        <w:rPr>
          <w:rFonts w:hint="eastAsia"/>
          <w:highlight w:val="none"/>
          <w:lang w:val="en-US" w:eastAsia="zh-CN"/>
        </w:rPr>
        <w:t>0524</w:t>
      </w:r>
      <w:r>
        <w:rPr>
          <w:rFonts w:hint="default"/>
          <w:highlight w:val="none"/>
          <w:lang w:val="en-US" w:eastAsia="zh-CN"/>
        </w:rPr>
        <w:t>眼机井，大部分使用超10年，老化严重、出水不足、水质含砂高。各县市可编制更新改造方案，</w:t>
      </w:r>
      <w:r>
        <w:rPr>
          <w:rFonts w:hint="eastAsia"/>
          <w:highlight w:val="none"/>
          <w:lang w:val="en-US" w:eastAsia="zh-CN"/>
        </w:rPr>
        <w:t>结合地区沙漠区地下水资源调查评价及地下水资源利用保护规划修编成果，对全县机井进行布局优化。结合地下水水质分布，将地表水调入微咸水、咸水及水位下降区，实现采补平衡。</w:t>
      </w:r>
    </w:p>
    <w:p>
      <w:pPr>
        <w:bidi w:val="0"/>
        <w:rPr>
          <w:rFonts w:hint="eastAsia"/>
          <w:highlight w:val="none"/>
          <w:lang w:val="en-US" w:eastAsia="zh-CN"/>
        </w:rPr>
      </w:pPr>
      <w:r>
        <w:rPr>
          <w:rFonts w:hint="eastAsia"/>
          <w:b/>
          <w:bCs/>
          <w:highlight w:val="none"/>
          <w:lang w:val="en" w:eastAsia="zh-CN"/>
        </w:rPr>
        <w:t>加快推进塔克拉玛干沙漠边缘阻击战实施。</w:t>
      </w:r>
      <w:r>
        <w:rPr>
          <w:rFonts w:hint="default"/>
          <w:highlight w:val="none"/>
          <w:lang w:val="en-US" w:eastAsia="zh-CN"/>
        </w:rPr>
        <w:t>防沙治沙生态用水解决需坚持</w:t>
      </w:r>
      <w:r>
        <w:rPr>
          <w:rFonts w:hint="eastAsia"/>
          <w:highlight w:val="none"/>
          <w:lang w:val="en-US" w:eastAsia="zh-CN"/>
        </w:rPr>
        <w:t>“</w:t>
      </w:r>
      <w:r>
        <w:rPr>
          <w:rFonts w:hint="default"/>
          <w:highlight w:val="none"/>
          <w:lang w:val="en-US" w:eastAsia="zh-CN"/>
        </w:rPr>
        <w:t>以水定绿、量水而行</w:t>
      </w:r>
      <w:r>
        <w:rPr>
          <w:rFonts w:hint="eastAsia"/>
          <w:highlight w:val="none"/>
          <w:lang w:val="en-US" w:eastAsia="zh-CN"/>
        </w:rPr>
        <w:t>”</w:t>
      </w:r>
      <w:r>
        <w:rPr>
          <w:rFonts w:hint="default"/>
          <w:highlight w:val="none"/>
          <w:lang w:val="en-US" w:eastAsia="zh-CN"/>
        </w:rPr>
        <w:t>原则，构建</w:t>
      </w:r>
      <w:r>
        <w:rPr>
          <w:rFonts w:hint="eastAsia"/>
          <w:highlight w:val="none"/>
          <w:lang w:val="en-US" w:eastAsia="zh-CN"/>
        </w:rPr>
        <w:t>“</w:t>
      </w:r>
      <w:r>
        <w:rPr>
          <w:rFonts w:hint="default"/>
          <w:highlight w:val="none"/>
          <w:lang w:val="en-US" w:eastAsia="zh-CN"/>
        </w:rPr>
        <w:t>洪水</w:t>
      </w:r>
      <w:r>
        <w:rPr>
          <w:rFonts w:hint="eastAsia"/>
          <w:highlight w:val="none"/>
          <w:lang w:val="en-US" w:eastAsia="zh-CN"/>
        </w:rPr>
        <w:t>资源化</w:t>
      </w:r>
      <w:r>
        <w:rPr>
          <w:rFonts w:hint="default"/>
          <w:highlight w:val="none"/>
          <w:lang w:val="en-US" w:eastAsia="zh-CN"/>
        </w:rPr>
        <w:t>利用—苦咸水</w:t>
      </w:r>
      <w:r>
        <w:rPr>
          <w:rFonts w:hint="eastAsia"/>
          <w:highlight w:val="none"/>
          <w:lang w:val="en-US" w:eastAsia="zh-CN"/>
        </w:rPr>
        <w:t>利用</w:t>
      </w:r>
      <w:r>
        <w:rPr>
          <w:rFonts w:hint="default"/>
          <w:highlight w:val="none"/>
          <w:lang w:val="en-US" w:eastAsia="zh-CN"/>
        </w:rPr>
        <w:t>—精准节水</w:t>
      </w:r>
      <w:r>
        <w:rPr>
          <w:rFonts w:hint="eastAsia"/>
          <w:highlight w:val="none"/>
          <w:lang w:val="en-US" w:eastAsia="zh-CN"/>
        </w:rPr>
        <w:t>”</w:t>
      </w:r>
      <w:r>
        <w:rPr>
          <w:rFonts w:hint="default"/>
          <w:highlight w:val="none"/>
          <w:lang w:val="en-US" w:eastAsia="zh-CN"/>
        </w:rPr>
        <w:t>三位一体保障体系</w:t>
      </w:r>
      <w:r>
        <w:rPr>
          <w:rFonts w:hint="eastAsia"/>
          <w:highlight w:val="none"/>
          <w:lang w:val="en-US" w:eastAsia="zh-CN"/>
        </w:rPr>
        <w:t>。</w:t>
      </w:r>
      <w:r>
        <w:rPr>
          <w:rFonts w:hint="default"/>
          <w:highlight w:val="none"/>
          <w:lang w:val="en-US" w:eastAsia="zh-CN"/>
        </w:rPr>
        <w:t>为支持塔克拉玛干沙漠边缘阻击战，地区水利局统一开展沙漠区地下水资源调查评价及保护规划修编</w:t>
      </w:r>
      <w:r>
        <w:rPr>
          <w:rFonts w:hint="eastAsia"/>
          <w:highlight w:val="none"/>
          <w:lang w:val="en-US" w:eastAsia="zh-CN"/>
        </w:rPr>
        <w:t>。</w:t>
      </w:r>
      <w:r>
        <w:rPr>
          <w:rFonts w:hint="default"/>
          <w:highlight w:val="none"/>
          <w:lang w:val="en-US" w:eastAsia="zh-CN"/>
        </w:rPr>
        <w:t>调查范围：塔克拉玛干沙漠、布谷里沙漠和托格拉克沙漠的防沙治沙项目区及外扩1公里范围。</w:t>
      </w:r>
      <w:r>
        <w:rPr>
          <w:rFonts w:hint="eastAsia"/>
          <w:highlight w:val="none"/>
          <w:lang w:val="en-US" w:eastAsia="zh-CN"/>
        </w:rPr>
        <w:t>主要工作</w:t>
      </w:r>
      <w:r>
        <w:rPr>
          <w:rFonts w:hint="default"/>
          <w:highlight w:val="none"/>
          <w:lang w:val="en-US" w:eastAsia="zh-CN"/>
        </w:rPr>
        <w:t>： ① 分析地下水分布、水质、可利用量及动态规律，评估与生态环境关系，提出利用保护建议； ② 修编地区地下水资源利用保护规划。</w:t>
      </w:r>
      <w:r>
        <w:rPr>
          <w:rFonts w:hint="eastAsia"/>
          <w:highlight w:val="none"/>
          <w:lang w:val="en-US" w:eastAsia="zh-CN"/>
        </w:rPr>
        <w:t>各县市编制县域水资源承载能力分析报告和规划水资源论证报告，单个防沙治沙项目编制水资源论证报告。</w:t>
      </w:r>
    </w:p>
    <w:p>
      <w:pPr>
        <w:pStyle w:val="4"/>
        <w:numPr>
          <w:ilvl w:val="2"/>
          <w:numId w:val="0"/>
        </w:numPr>
        <w:bidi w:val="0"/>
        <w:ind w:leftChars="200"/>
        <w:rPr>
          <w:rFonts w:hint="eastAsia"/>
          <w:color w:val="auto"/>
          <w:highlight w:val="none"/>
          <w:lang w:val="en-US" w:eastAsia="zh-CN"/>
        </w:rPr>
      </w:pPr>
      <w:bookmarkStart w:id="145" w:name="_Toc20414"/>
      <w:bookmarkStart w:id="146" w:name="_Toc18648"/>
      <w:r>
        <w:rPr>
          <w:rFonts w:hint="eastAsia"/>
          <w:color w:val="auto"/>
          <w:highlight w:val="none"/>
          <w:lang w:val="en-US" w:eastAsia="zh-CN"/>
        </w:rPr>
        <w:t>（三十三）加强水土</w:t>
      </w:r>
      <w:bookmarkEnd w:id="97"/>
      <w:bookmarkEnd w:id="98"/>
      <w:bookmarkEnd w:id="99"/>
      <w:bookmarkEnd w:id="100"/>
      <w:bookmarkEnd w:id="145"/>
      <w:bookmarkEnd w:id="146"/>
      <w:r>
        <w:rPr>
          <w:rFonts w:hint="eastAsia"/>
          <w:color w:val="auto"/>
          <w:highlight w:val="none"/>
          <w:lang w:val="en-US" w:eastAsia="zh-CN"/>
        </w:rPr>
        <w:t xml:space="preserve">流失综合治理 </w:t>
      </w:r>
    </w:p>
    <w:p>
      <w:pPr>
        <w:bidi w:val="0"/>
        <w:rPr>
          <w:rFonts w:hint="default"/>
          <w:highlight w:val="none"/>
          <w:lang w:val="en-US" w:eastAsia="zh-CN"/>
        </w:rPr>
      </w:pPr>
      <w:r>
        <w:rPr>
          <w:rFonts w:hint="eastAsia"/>
          <w:b/>
          <w:bCs/>
          <w:highlight w:val="none"/>
          <w:lang w:val="en-US" w:eastAsia="zh-CN"/>
        </w:rPr>
        <w:t>建立喀什地区水土保持空间管控制度。</w:t>
      </w:r>
      <w:r>
        <w:rPr>
          <w:rFonts w:hint="default"/>
          <w:highlight w:val="none"/>
          <w:lang w:val="en-US" w:eastAsia="zh-CN"/>
        </w:rPr>
        <w:t>建立与国土空间规划相衔接的水土保持空间管控制度，核心是以</w:t>
      </w:r>
      <w:r>
        <w:rPr>
          <w:rFonts w:hint="eastAsia"/>
          <w:highlight w:val="none"/>
          <w:lang w:val="en-US" w:eastAsia="zh-CN"/>
        </w:rPr>
        <w:t>“</w:t>
      </w:r>
      <w:r>
        <w:rPr>
          <w:rFonts w:hint="default"/>
          <w:highlight w:val="none"/>
          <w:lang w:val="en-US" w:eastAsia="zh-CN"/>
        </w:rPr>
        <w:t>三区三线</w:t>
      </w:r>
      <w:r>
        <w:rPr>
          <w:rFonts w:hint="eastAsia"/>
          <w:highlight w:val="none"/>
          <w:lang w:val="en-US" w:eastAsia="zh-CN"/>
        </w:rPr>
        <w:t>”</w:t>
      </w:r>
      <w:r>
        <w:rPr>
          <w:rFonts w:hint="default"/>
          <w:highlight w:val="none"/>
          <w:lang w:val="en-US" w:eastAsia="zh-CN"/>
        </w:rPr>
        <w:t>为基底，划定水土保持重点预防区、重点治理区、一般防治区，实行分类精准管控。重点强化塔克拉玛干沙漠边缘等生态脆弱区的预防保护，严格落实水土保持准入要求，防范开发建设造成人为水土流失；对绿洲内部、河流两岸等治理区实施生态修复工程清单化管理；建立山水林田湖草沙一体化监测网络，实现水土流失动态</w:t>
      </w:r>
      <w:r>
        <w:rPr>
          <w:rFonts w:hint="eastAsia"/>
          <w:highlight w:val="none"/>
          <w:lang w:val="en-US" w:eastAsia="zh-CN"/>
        </w:rPr>
        <w:t>“</w:t>
      </w:r>
      <w:r>
        <w:rPr>
          <w:rFonts w:hint="default"/>
          <w:highlight w:val="none"/>
          <w:lang w:val="en-US" w:eastAsia="zh-CN"/>
        </w:rPr>
        <w:t>一张图</w:t>
      </w:r>
      <w:r>
        <w:rPr>
          <w:rFonts w:hint="eastAsia"/>
          <w:highlight w:val="none"/>
          <w:lang w:val="en-US" w:eastAsia="zh-CN"/>
        </w:rPr>
        <w:t>”</w:t>
      </w:r>
      <w:r>
        <w:rPr>
          <w:rFonts w:hint="default"/>
          <w:highlight w:val="none"/>
          <w:lang w:val="en-US" w:eastAsia="zh-CN"/>
        </w:rPr>
        <w:t>监管；压实</w:t>
      </w:r>
      <w:r>
        <w:rPr>
          <w:rFonts w:hint="eastAsia"/>
          <w:highlight w:val="none"/>
          <w:lang w:val="en-US" w:eastAsia="zh-CN"/>
        </w:rPr>
        <w:t>“</w:t>
      </w:r>
      <w:r>
        <w:rPr>
          <w:rFonts w:hint="default"/>
          <w:highlight w:val="none"/>
          <w:lang w:val="en-US" w:eastAsia="zh-CN"/>
        </w:rPr>
        <w:t>五级</w:t>
      </w:r>
      <w:r>
        <w:rPr>
          <w:rFonts w:hint="eastAsia"/>
          <w:highlight w:val="none"/>
          <w:lang w:val="en-US" w:eastAsia="zh-CN"/>
        </w:rPr>
        <w:t>”</w:t>
      </w:r>
      <w:r>
        <w:rPr>
          <w:rFonts w:hint="default"/>
          <w:highlight w:val="none"/>
          <w:lang w:val="en-US" w:eastAsia="zh-CN"/>
        </w:rPr>
        <w:t>林长制与河湖长制协同责任，将水土保持目标纳入生态文明建设考核，严守生态安全底线。</w:t>
      </w:r>
    </w:p>
    <w:p>
      <w:pPr>
        <w:bidi w:val="0"/>
        <w:rPr>
          <w:rFonts w:hint="eastAsia"/>
          <w:highlight w:val="none"/>
          <w:lang w:val="en-US" w:eastAsia="zh-CN"/>
        </w:rPr>
      </w:pPr>
      <w:r>
        <w:rPr>
          <w:rFonts w:hint="eastAsia"/>
          <w:b/>
          <w:bCs/>
          <w:highlight w:val="none"/>
          <w:lang w:val="en-US" w:eastAsia="zh-CN"/>
        </w:rPr>
        <w:t>加快水土流失综合治理。</w:t>
      </w:r>
      <w:r>
        <w:rPr>
          <w:rFonts w:hint="eastAsia"/>
          <w:highlight w:val="none"/>
          <w:lang w:val="en-US" w:eastAsia="zh-CN"/>
        </w:rPr>
        <w:t>开展水生态保护与修复工作，促进人与生态和谐发展，人为水土流失得到基本遏制，水土流失面积和侵蚀强度持续下降，林草植被得到保护和恢复水土保持开发保护空间得到优化，水土流失治理水平明显提高。</w:t>
      </w:r>
    </w:p>
    <w:p>
      <w:pPr>
        <w:bidi w:val="0"/>
        <w:rPr>
          <w:rFonts w:hint="eastAsia"/>
          <w:highlight w:val="none"/>
          <w:lang w:val="en-US" w:eastAsia="zh-CN"/>
        </w:rPr>
      </w:pPr>
      <w:r>
        <w:rPr>
          <w:rFonts w:hint="eastAsia"/>
          <w:b/>
          <w:bCs/>
          <w:highlight w:val="none"/>
          <w:lang w:val="en-US" w:eastAsia="zh-CN"/>
        </w:rPr>
        <w:t>推进水土保持治理现代化。</w:t>
      </w:r>
      <w:r>
        <w:rPr>
          <w:rFonts w:hint="eastAsia"/>
          <w:highlight w:val="none"/>
          <w:lang w:val="en-US" w:eastAsia="zh-CN"/>
        </w:rPr>
        <w:t>“十五五”时期，水土保持工作将紧紧围绕强化管理、改革创新两条主线，推动水治理体系和治理能力现代化实现新突破。坚持预防为主、保护优先，健全以遥感监管为基本手段、地面监测为补充的天地一体化监管体系，实现生产建设项目扰动、水土流失状况、治理成效动态监控全覆盖，强化水土保持目标责任考核与执法问责刚性约束；深化体制机制改革，创新以奖代补等激励机制，引导社会资本参与水土保持工程建设，推动流域协同治理和区域联防联控，为高质量发展提供坚实水土资源保障。</w:t>
      </w:r>
      <w:bookmarkStart w:id="147" w:name="_Toc306387776"/>
      <w:bookmarkStart w:id="148" w:name="_Toc93906596"/>
    </w:p>
    <w:p>
      <w:pPr>
        <w:pStyle w:val="3"/>
        <w:bidi w:val="0"/>
        <w:rPr>
          <w:rFonts w:hint="eastAsia"/>
          <w:color w:val="auto"/>
          <w:highlight w:val="none"/>
          <w:lang w:val="en-US" w:eastAsia="zh-CN"/>
        </w:rPr>
      </w:pPr>
      <w:bookmarkStart w:id="149" w:name="_Toc39269_WPSOffice_Level1"/>
      <w:bookmarkStart w:id="150" w:name="_Toc1082"/>
      <w:bookmarkStart w:id="151" w:name="_Toc22659"/>
      <w:bookmarkStart w:id="152" w:name="_Toc195289636"/>
      <w:bookmarkStart w:id="153" w:name="_Toc32361"/>
      <w:r>
        <w:rPr>
          <w:rFonts w:hint="eastAsia"/>
          <w:color w:val="auto"/>
          <w:highlight w:val="none"/>
          <w:lang w:val="en-US" w:eastAsia="zh-CN"/>
        </w:rPr>
        <w:t>六、</w:t>
      </w:r>
      <w:bookmarkStart w:id="154" w:name="OLE_LINK11"/>
      <w:r>
        <w:rPr>
          <w:rFonts w:hint="eastAsia"/>
          <w:color w:val="auto"/>
          <w:highlight w:val="none"/>
          <w:lang w:val="en-US" w:eastAsia="zh-CN"/>
        </w:rPr>
        <w:t>推进智慧水利建设</w:t>
      </w:r>
      <w:bookmarkEnd w:id="149"/>
      <w:bookmarkEnd w:id="150"/>
      <w:bookmarkEnd w:id="151"/>
      <w:bookmarkEnd w:id="152"/>
      <w:bookmarkEnd w:id="153"/>
    </w:p>
    <w:bookmarkEnd w:id="154"/>
    <w:p>
      <w:pPr>
        <w:pStyle w:val="4"/>
        <w:numPr>
          <w:ilvl w:val="2"/>
          <w:numId w:val="0"/>
        </w:numPr>
        <w:bidi w:val="0"/>
        <w:ind w:leftChars="200"/>
        <w:rPr>
          <w:rFonts w:hint="default"/>
          <w:color w:val="auto"/>
          <w:highlight w:val="none"/>
          <w:lang w:val="en-US" w:eastAsia="zh-CN"/>
        </w:rPr>
      </w:pPr>
      <w:bookmarkStart w:id="155" w:name="_Toc12821"/>
      <w:bookmarkStart w:id="156" w:name="_Toc3831"/>
      <w:bookmarkStart w:id="157" w:name="OLE_LINK12"/>
      <w:bookmarkStart w:id="158" w:name="_Toc345592449_WPSOffice_Level2"/>
      <w:bookmarkStart w:id="159" w:name="_Toc195289642"/>
      <w:r>
        <w:rPr>
          <w:rFonts w:hint="eastAsia"/>
          <w:color w:val="auto"/>
          <w:highlight w:val="none"/>
          <w:lang w:val="en-US" w:eastAsia="zh-CN"/>
        </w:rPr>
        <w:t>（三十四）</w:t>
      </w:r>
      <w:r>
        <w:rPr>
          <w:rFonts w:hint="default"/>
          <w:color w:val="auto"/>
          <w:highlight w:val="none"/>
          <w:lang w:val="en-US" w:eastAsia="zh-CN"/>
        </w:rPr>
        <w:t>防洪</w:t>
      </w:r>
      <w:r>
        <w:rPr>
          <w:rFonts w:hint="eastAsia"/>
          <w:color w:val="auto"/>
          <w:highlight w:val="none"/>
          <w:lang w:val="en-US" w:eastAsia="zh-CN"/>
        </w:rPr>
        <w:t>应用信息化改造提升</w:t>
      </w:r>
      <w:bookmarkEnd w:id="155"/>
      <w:bookmarkEnd w:id="156"/>
      <w:r>
        <w:rPr>
          <w:rFonts w:hint="default"/>
          <w:color w:val="auto"/>
          <w:highlight w:val="none"/>
          <w:lang w:val="en-US" w:eastAsia="zh-CN"/>
        </w:rPr>
        <w:t xml:space="preserve"> </w:t>
      </w:r>
    </w:p>
    <w:p>
      <w:pPr>
        <w:bidi w:val="0"/>
        <w:rPr>
          <w:rFonts w:hint="default"/>
          <w:color w:val="auto"/>
          <w:highlight w:val="none"/>
          <w:lang w:val="en-US" w:eastAsia="zh-CN"/>
        </w:rPr>
      </w:pPr>
      <w:r>
        <w:rPr>
          <w:rFonts w:hint="default"/>
          <w:color w:val="auto"/>
          <w:highlight w:val="none"/>
          <w:lang w:val="en-US" w:eastAsia="zh-CN"/>
        </w:rPr>
        <w:t>积极践行</w:t>
      </w:r>
      <w:r>
        <w:rPr>
          <w:rFonts w:hint="eastAsia"/>
          <w:color w:val="auto"/>
          <w:highlight w:val="none"/>
          <w:lang w:val="en-US" w:eastAsia="zh-CN"/>
        </w:rPr>
        <w:t>“</w:t>
      </w:r>
      <w:r>
        <w:rPr>
          <w:rFonts w:hint="default"/>
          <w:color w:val="auto"/>
          <w:highlight w:val="none"/>
          <w:lang w:val="en-US" w:eastAsia="zh-CN"/>
        </w:rPr>
        <w:t>两个坚持、三个转变</w:t>
      </w:r>
      <w:r>
        <w:rPr>
          <w:rFonts w:hint="eastAsia"/>
          <w:color w:val="auto"/>
          <w:highlight w:val="none"/>
          <w:lang w:val="en-US" w:eastAsia="zh-CN"/>
        </w:rPr>
        <w:t>”</w:t>
      </w:r>
      <w:r>
        <w:rPr>
          <w:rFonts w:hint="default"/>
          <w:color w:val="auto"/>
          <w:highlight w:val="none"/>
          <w:lang w:val="en-US" w:eastAsia="zh-CN"/>
        </w:rPr>
        <w:t>防灾减灾救灾理念，锚定</w:t>
      </w:r>
      <w:r>
        <w:rPr>
          <w:rFonts w:hint="eastAsia"/>
          <w:color w:val="auto"/>
          <w:highlight w:val="none"/>
          <w:lang w:val="en-US" w:eastAsia="zh-CN"/>
        </w:rPr>
        <w:t>“</w:t>
      </w:r>
      <w:r>
        <w:rPr>
          <w:rFonts w:hint="default"/>
          <w:color w:val="auto"/>
          <w:highlight w:val="none"/>
          <w:lang w:val="en-US" w:eastAsia="zh-CN"/>
        </w:rPr>
        <w:t>人员不伤亡</w:t>
      </w:r>
      <w:r>
        <w:rPr>
          <w:rFonts w:hint="eastAsia"/>
          <w:color w:val="auto"/>
          <w:highlight w:val="none"/>
          <w:lang w:val="en-US" w:eastAsia="zh-CN"/>
        </w:rPr>
        <w:t>”</w:t>
      </w:r>
      <w:r>
        <w:rPr>
          <w:rFonts w:hint="default"/>
          <w:color w:val="auto"/>
          <w:highlight w:val="none"/>
          <w:lang w:val="en-US" w:eastAsia="zh-CN"/>
        </w:rPr>
        <w:t>目标不放松，坚持</w:t>
      </w:r>
      <w:r>
        <w:rPr>
          <w:rFonts w:hint="eastAsia"/>
          <w:color w:val="auto"/>
          <w:highlight w:val="none"/>
          <w:lang w:val="en-US" w:eastAsia="zh-CN"/>
        </w:rPr>
        <w:t>“</w:t>
      </w:r>
      <w:r>
        <w:rPr>
          <w:rFonts w:hint="default"/>
          <w:color w:val="auto"/>
          <w:highlight w:val="none"/>
          <w:lang w:val="en-US" w:eastAsia="zh-CN"/>
        </w:rPr>
        <w:t>防住为王</w:t>
      </w:r>
      <w:r>
        <w:rPr>
          <w:rFonts w:hint="eastAsia"/>
          <w:color w:val="auto"/>
          <w:highlight w:val="none"/>
          <w:lang w:val="en-US" w:eastAsia="zh-CN"/>
        </w:rPr>
        <w:t>”</w:t>
      </w:r>
      <w:r>
        <w:rPr>
          <w:rFonts w:hint="default"/>
          <w:color w:val="auto"/>
          <w:highlight w:val="none"/>
          <w:lang w:val="en-US" w:eastAsia="zh-CN"/>
        </w:rPr>
        <w:t>，着眼山洪灾害防御实战，把握重点关键环节，以山洪灾害防治项目建设为抓手，加快提升山洪灾害防御能力，推动构建工程措施与非工程措施相结合的小流域山洪灾害综合防御体系。</w:t>
      </w:r>
    </w:p>
    <w:p>
      <w:pPr>
        <w:bidi w:val="0"/>
        <w:rPr>
          <w:rFonts w:hint="default"/>
          <w:color w:val="auto"/>
          <w:highlight w:val="none"/>
          <w:lang w:val="en-US" w:eastAsia="zh-CN"/>
        </w:rPr>
      </w:pPr>
      <w:r>
        <w:rPr>
          <w:rFonts w:hint="default"/>
          <w:color w:val="auto"/>
          <w:highlight w:val="none"/>
          <w:lang w:val="en-US" w:eastAsia="zh-CN"/>
        </w:rPr>
        <w:t>工程措施通过新建堤防、护岸、排洪渠和疏浚，非工程措施依托现有山洪灾害监测感知体系及自治区水旱灾害监测预警平台，结合全区小流域山洪灾害防御</w:t>
      </w:r>
      <w:r>
        <w:rPr>
          <w:rFonts w:hint="eastAsia"/>
          <w:color w:val="auto"/>
          <w:highlight w:val="none"/>
          <w:lang w:val="en-US" w:eastAsia="zh-CN"/>
        </w:rPr>
        <w:t>“</w:t>
      </w:r>
      <w:r>
        <w:rPr>
          <w:rFonts w:hint="default"/>
          <w:color w:val="auto"/>
          <w:highlight w:val="none"/>
          <w:lang w:val="en-US" w:eastAsia="zh-CN"/>
        </w:rPr>
        <w:t>四预</w:t>
      </w:r>
      <w:r>
        <w:rPr>
          <w:rFonts w:hint="eastAsia"/>
          <w:color w:val="auto"/>
          <w:highlight w:val="none"/>
          <w:lang w:val="en-US" w:eastAsia="zh-CN"/>
        </w:rPr>
        <w:t>”</w:t>
      </w:r>
      <w:r>
        <w:rPr>
          <w:rFonts w:hint="default"/>
          <w:color w:val="auto"/>
          <w:highlight w:val="none"/>
          <w:lang w:val="en-US" w:eastAsia="zh-CN"/>
        </w:rPr>
        <w:t>能力提升试点项目建设，持续开展山洪灾害风险隐患调查，优化雨水情监测感知站网布局，以监测预报预警平台为载体，以数字化场景、智慧化模拟、靶向化预警、精准化防控为路径，以山洪灾害防治时空大数据平台、开放式模型算法管理云平台、分布式并行计算云平台建设为支撑，逐步实现三维数字化场景下的小流域暴雨（融雪）洪水预报、山洪（风险）演化过程模拟、灾害场景和影响分析预演，智能预案应用和预警信息多渠道靶向发布等应用功能，全面提升全区山洪灾害监测预报预警水平和山洪灾害智能防御能力。</w:t>
      </w:r>
    </w:p>
    <w:p>
      <w:pPr>
        <w:bidi w:val="0"/>
        <w:rPr>
          <w:rFonts w:hint="default"/>
          <w:color w:val="auto"/>
          <w:highlight w:val="none"/>
          <w:lang w:val="en-US" w:eastAsia="zh-CN"/>
        </w:rPr>
      </w:pPr>
      <w:r>
        <w:rPr>
          <w:rFonts w:hint="default"/>
          <w:color w:val="auto"/>
          <w:highlight w:val="none"/>
          <w:lang w:val="en-US" w:eastAsia="zh-CN"/>
        </w:rPr>
        <w:t>通过工程措施和非工程措施相结合的方式实现全区山洪灾害防御体系从</w:t>
      </w:r>
      <w:r>
        <w:rPr>
          <w:rFonts w:hint="eastAsia"/>
          <w:color w:val="auto"/>
          <w:highlight w:val="none"/>
          <w:lang w:val="en-US" w:eastAsia="zh-CN"/>
        </w:rPr>
        <w:t>“</w:t>
      </w:r>
      <w:r>
        <w:rPr>
          <w:rFonts w:hint="default"/>
          <w:color w:val="auto"/>
          <w:highlight w:val="none"/>
          <w:lang w:val="en-US" w:eastAsia="zh-CN"/>
        </w:rPr>
        <w:t>有</w:t>
      </w:r>
      <w:r>
        <w:rPr>
          <w:rFonts w:hint="eastAsia"/>
          <w:color w:val="auto"/>
          <w:highlight w:val="none"/>
          <w:lang w:val="en-US" w:eastAsia="zh-CN"/>
        </w:rPr>
        <w:t>”</w:t>
      </w:r>
      <w:r>
        <w:rPr>
          <w:rFonts w:hint="default"/>
          <w:color w:val="auto"/>
          <w:highlight w:val="none"/>
          <w:lang w:val="en-US" w:eastAsia="zh-CN"/>
        </w:rPr>
        <w:t>到</w:t>
      </w:r>
      <w:r>
        <w:rPr>
          <w:rFonts w:hint="eastAsia"/>
          <w:color w:val="auto"/>
          <w:highlight w:val="none"/>
          <w:lang w:val="en-US" w:eastAsia="zh-CN"/>
        </w:rPr>
        <w:t>“</w:t>
      </w:r>
      <w:r>
        <w:rPr>
          <w:rFonts w:hint="default"/>
          <w:color w:val="auto"/>
          <w:highlight w:val="none"/>
          <w:lang w:val="en-US" w:eastAsia="zh-CN"/>
        </w:rPr>
        <w:t>好</w:t>
      </w:r>
      <w:r>
        <w:rPr>
          <w:rFonts w:hint="eastAsia"/>
          <w:color w:val="auto"/>
          <w:highlight w:val="none"/>
          <w:lang w:val="en-US" w:eastAsia="zh-CN"/>
        </w:rPr>
        <w:t>”</w:t>
      </w:r>
      <w:r>
        <w:rPr>
          <w:rFonts w:hint="default"/>
          <w:color w:val="auto"/>
          <w:highlight w:val="none"/>
          <w:lang w:val="en-US" w:eastAsia="zh-CN"/>
        </w:rPr>
        <w:t>的转变，进而推动传统水利向</w:t>
      </w:r>
      <w:r>
        <w:rPr>
          <w:rFonts w:hint="eastAsia"/>
          <w:color w:val="auto"/>
          <w:highlight w:val="none"/>
          <w:lang w:val="en-US" w:eastAsia="zh-CN"/>
        </w:rPr>
        <w:t>现代水利转变</w:t>
      </w:r>
      <w:r>
        <w:rPr>
          <w:rFonts w:hint="default"/>
          <w:color w:val="auto"/>
          <w:highlight w:val="none"/>
          <w:lang w:val="en-US" w:eastAsia="zh-CN"/>
        </w:rPr>
        <w:t>。</w:t>
      </w:r>
    </w:p>
    <w:bookmarkEnd w:id="157"/>
    <w:p>
      <w:pPr>
        <w:pStyle w:val="4"/>
        <w:numPr>
          <w:ilvl w:val="2"/>
          <w:numId w:val="0"/>
        </w:numPr>
        <w:bidi w:val="0"/>
        <w:ind w:leftChars="200"/>
        <w:rPr>
          <w:rFonts w:hint="default"/>
          <w:color w:val="auto"/>
          <w:highlight w:val="none"/>
          <w:lang w:val="en-US" w:eastAsia="zh-CN"/>
        </w:rPr>
      </w:pPr>
      <w:bookmarkStart w:id="160" w:name="_Toc15846"/>
      <w:bookmarkStart w:id="161" w:name="_Toc11758"/>
      <w:bookmarkStart w:id="162" w:name="_Toc19090"/>
      <w:bookmarkStart w:id="163" w:name="_Toc31054"/>
      <w:r>
        <w:rPr>
          <w:rFonts w:hint="eastAsia"/>
          <w:color w:val="auto"/>
          <w:highlight w:val="none"/>
          <w:lang w:val="en-US" w:eastAsia="zh-CN"/>
        </w:rPr>
        <w:t>（三十五）灌区信息化改造提升</w:t>
      </w:r>
      <w:bookmarkEnd w:id="160"/>
      <w:bookmarkEnd w:id="161"/>
      <w:bookmarkEnd w:id="162"/>
      <w:bookmarkEnd w:id="163"/>
    </w:p>
    <w:p>
      <w:pPr>
        <w:bidi w:val="0"/>
        <w:rPr>
          <w:rFonts w:hint="eastAsia"/>
          <w:color w:val="auto"/>
          <w:highlight w:val="none"/>
          <w:lang w:val="en-US" w:eastAsia="zh-CN"/>
        </w:rPr>
      </w:pPr>
      <w:r>
        <w:rPr>
          <w:rFonts w:hint="eastAsia"/>
          <w:color w:val="auto"/>
          <w:highlight w:val="none"/>
          <w:lang w:val="en-US" w:eastAsia="zh-CN"/>
        </w:rPr>
        <w:t>叶尔羌河大型灌区、喀什噶尔河大型灌区信息化建设，紧扣新疆当地水资源匮乏特点开展，加强灌区“科学灌溉制度体系、用水计量监测体系、农业水价政策体系、调水自动化制度体系、节水技术及信息赋能服务体系”等灌溉五大体系建设，提升农业节水增效的能力，围绕推动农田灌溉自动化、灌溉方式高效化、用水计量精准化、灌区管理智能化建设目标，建设具有新疆特点的干旱区智慧灌区，在全疆起到示范作用。</w:t>
      </w:r>
    </w:p>
    <w:bookmarkEnd w:id="158"/>
    <w:bookmarkEnd w:id="159"/>
    <w:p>
      <w:pPr>
        <w:pStyle w:val="4"/>
        <w:numPr>
          <w:ilvl w:val="2"/>
          <w:numId w:val="0"/>
        </w:numPr>
        <w:bidi w:val="0"/>
        <w:ind w:leftChars="200"/>
        <w:rPr>
          <w:rFonts w:hint="default"/>
          <w:color w:val="auto"/>
          <w:highlight w:val="none"/>
          <w:lang w:val="en-US" w:eastAsia="zh-CN"/>
        </w:rPr>
      </w:pPr>
      <w:bookmarkStart w:id="164" w:name="_Toc23524"/>
      <w:bookmarkStart w:id="165" w:name="_Toc30881"/>
      <w:bookmarkStart w:id="166" w:name="OLE_LINK26"/>
      <w:bookmarkStart w:id="167" w:name="_Toc18771"/>
      <w:bookmarkStart w:id="168" w:name="_Toc23493"/>
      <w:bookmarkStart w:id="169" w:name="_Toc195289643"/>
      <w:bookmarkStart w:id="170" w:name="_Toc686407111_WPSOffice_Level1"/>
      <w:r>
        <w:rPr>
          <w:rFonts w:hint="eastAsia"/>
          <w:color w:val="auto"/>
          <w:highlight w:val="none"/>
          <w:lang w:val="en-US" w:eastAsia="zh-CN"/>
        </w:rPr>
        <w:t>（三十六）城乡一体化供水工程信息化改造提升</w:t>
      </w:r>
      <w:bookmarkEnd w:id="164"/>
      <w:bookmarkEnd w:id="165"/>
    </w:p>
    <w:p>
      <w:pPr>
        <w:bidi w:val="0"/>
        <w:rPr>
          <w:rFonts w:hint="default"/>
          <w:color w:val="auto"/>
          <w:highlight w:val="none"/>
          <w:lang w:val="en-US" w:eastAsia="zh-CN"/>
        </w:rPr>
      </w:pPr>
      <w:r>
        <w:rPr>
          <w:rFonts w:hint="default"/>
          <w:color w:val="auto"/>
          <w:highlight w:val="none"/>
          <w:lang w:val="en-US" w:eastAsia="zh-CN"/>
        </w:rPr>
        <w:t>供水系统是城市生存、发展的基础，供水事业的发展与城市的社会经济发展息息相关，而供水企业的服务质量不仅关系到自身利益，更直接影响社会稳定和政府形象。</w:t>
      </w:r>
    </w:p>
    <w:p>
      <w:pPr>
        <w:bidi w:val="0"/>
        <w:rPr>
          <w:rFonts w:hint="eastAsia"/>
          <w:color w:val="auto"/>
          <w:highlight w:val="none"/>
          <w:lang w:val="en-US" w:eastAsia="zh-CN"/>
        </w:rPr>
      </w:pPr>
      <w:r>
        <w:rPr>
          <w:rFonts w:hint="default"/>
          <w:color w:val="auto"/>
          <w:highlight w:val="none"/>
          <w:lang w:val="en-US" w:eastAsia="zh-CN"/>
        </w:rPr>
        <w:t>结合水务行业信息化发展经验，聚焦安全运行、科学调度、高效管理、快速应急等信息化核心业务，融合新兴技术，构建城乡供水智慧水务平台。智慧水务平台着力于供水生产运营监控、水质水量保障、漏损监测、节水节能等方面，实现城乡供水管理、调度、运行的现代化、信息化、精细化</w:t>
      </w:r>
      <w:r>
        <w:rPr>
          <w:rFonts w:hint="eastAsia"/>
          <w:color w:val="auto"/>
          <w:highlight w:val="none"/>
          <w:lang w:val="en-US" w:eastAsia="zh-CN"/>
        </w:rPr>
        <w:t>。</w:t>
      </w:r>
    </w:p>
    <w:bookmarkEnd w:id="166"/>
    <w:p>
      <w:pPr>
        <w:pStyle w:val="3"/>
        <w:bidi w:val="0"/>
        <w:rPr>
          <w:rFonts w:hint="eastAsia"/>
          <w:color w:val="auto"/>
          <w:highlight w:val="none"/>
          <w:lang w:val="en-US" w:eastAsia="zh-CN"/>
        </w:rPr>
      </w:pPr>
      <w:bookmarkStart w:id="171" w:name="_Toc31582"/>
      <w:r>
        <w:rPr>
          <w:rFonts w:hint="eastAsia"/>
          <w:color w:val="auto"/>
          <w:highlight w:val="none"/>
          <w:lang w:val="en-US" w:eastAsia="zh-CN"/>
        </w:rPr>
        <w:t>七、</w:t>
      </w:r>
      <w:bookmarkStart w:id="172" w:name="OLE_LINK27"/>
      <w:r>
        <w:rPr>
          <w:rFonts w:hint="eastAsia"/>
          <w:color w:val="auto"/>
          <w:highlight w:val="none"/>
          <w:lang w:val="en-US" w:eastAsia="zh-CN"/>
        </w:rPr>
        <w:t>提升水利治理能力法治效能</w:t>
      </w:r>
      <w:bookmarkEnd w:id="147"/>
      <w:bookmarkEnd w:id="148"/>
      <w:bookmarkEnd w:id="167"/>
      <w:bookmarkEnd w:id="168"/>
      <w:bookmarkEnd w:id="169"/>
      <w:bookmarkEnd w:id="170"/>
      <w:bookmarkEnd w:id="171"/>
    </w:p>
    <w:bookmarkEnd w:id="172"/>
    <w:p>
      <w:pPr>
        <w:bidi w:val="0"/>
        <w:rPr>
          <w:rFonts w:hint="eastAsia"/>
          <w:color w:val="auto"/>
          <w:highlight w:val="none"/>
        </w:rPr>
      </w:pPr>
      <w:r>
        <w:rPr>
          <w:rFonts w:hint="eastAsia"/>
          <w:color w:val="auto"/>
          <w:highlight w:val="none"/>
        </w:rPr>
        <w:t>按照习近平总书记关于保障国家水安全的重要论述和</w:t>
      </w:r>
      <w:r>
        <w:rPr>
          <w:rFonts w:hint="eastAsia"/>
          <w:color w:val="auto"/>
          <w:highlight w:val="none"/>
          <w:lang w:eastAsia="zh-CN"/>
        </w:rPr>
        <w:t>“</w:t>
      </w:r>
      <w:r>
        <w:rPr>
          <w:rFonts w:hint="eastAsia"/>
          <w:color w:val="auto"/>
          <w:highlight w:val="none"/>
        </w:rPr>
        <w:t>节水优先、空间均衡、系统治理、两手发力</w:t>
      </w:r>
      <w:r>
        <w:rPr>
          <w:rFonts w:hint="eastAsia"/>
          <w:color w:val="auto"/>
          <w:highlight w:val="none"/>
          <w:lang w:eastAsia="zh-CN"/>
        </w:rPr>
        <w:t>”</w:t>
      </w:r>
      <w:r>
        <w:rPr>
          <w:rFonts w:hint="eastAsia"/>
          <w:color w:val="auto"/>
          <w:highlight w:val="none"/>
        </w:rPr>
        <w:t>治水思路，聚焦新老水问题，着眼于生态文明建设对水治理体系和治理能力建设需求，加强人才队伍建设，深化水利管理改革攻坚，深入推进新疆水</w:t>
      </w:r>
      <w:r>
        <w:rPr>
          <w:rFonts w:hint="eastAsia"/>
          <w:color w:val="auto"/>
          <w:highlight w:val="none"/>
          <w:lang w:eastAsia="zh-CN"/>
        </w:rPr>
        <w:t>治理体系和治理能力现代化</w:t>
      </w:r>
      <w:r>
        <w:rPr>
          <w:rFonts w:hint="eastAsia"/>
          <w:color w:val="auto"/>
          <w:highlight w:val="none"/>
        </w:rPr>
        <w:t>建设。以健全水治理体系为基础，以体制机制创新为突破口，以推进智慧水利建设为手段，全面提升水安全监管水平。</w:t>
      </w:r>
    </w:p>
    <w:p>
      <w:pPr>
        <w:pStyle w:val="4"/>
        <w:numPr>
          <w:ilvl w:val="2"/>
          <w:numId w:val="0"/>
        </w:numPr>
        <w:bidi w:val="0"/>
        <w:ind w:leftChars="200"/>
        <w:rPr>
          <w:rFonts w:hint="eastAsia"/>
          <w:color w:val="auto"/>
          <w:highlight w:val="none"/>
          <w:lang w:val="en-US" w:eastAsia="zh-CN"/>
        </w:rPr>
      </w:pPr>
      <w:bookmarkStart w:id="173" w:name="_Toc3626"/>
      <w:bookmarkStart w:id="174" w:name="_Toc195289644"/>
      <w:bookmarkStart w:id="175" w:name="_Toc249354094_WPSOffice_Level2"/>
      <w:bookmarkStart w:id="176" w:name="_Toc13316"/>
      <w:r>
        <w:rPr>
          <w:rFonts w:hint="eastAsia"/>
          <w:color w:val="auto"/>
          <w:highlight w:val="none"/>
          <w:lang w:val="en-US" w:eastAsia="zh-CN"/>
        </w:rPr>
        <w:t>（三十七）完善水资源管理体制机制</w:t>
      </w:r>
      <w:bookmarkEnd w:id="173"/>
      <w:bookmarkEnd w:id="174"/>
      <w:bookmarkEnd w:id="175"/>
      <w:bookmarkEnd w:id="176"/>
    </w:p>
    <w:p>
      <w:pPr>
        <w:bidi w:val="0"/>
        <w:rPr>
          <w:rFonts w:hint="eastAsia"/>
          <w:color w:val="auto"/>
          <w:highlight w:val="none"/>
        </w:rPr>
      </w:pPr>
      <w:r>
        <w:rPr>
          <w:rFonts w:hint="eastAsia"/>
          <w:color w:val="auto"/>
          <w:highlight w:val="none"/>
        </w:rPr>
        <w:t>在水资源管理委员会统一领导下，具体负责所辖区域涉水事务管理。</w:t>
      </w:r>
    </w:p>
    <w:p>
      <w:pPr>
        <w:bidi w:val="0"/>
        <w:rPr>
          <w:rFonts w:hint="eastAsia"/>
          <w:color w:val="auto"/>
          <w:highlight w:val="none"/>
        </w:rPr>
      </w:pPr>
      <w:bookmarkStart w:id="177" w:name="_Toc29202"/>
      <w:bookmarkStart w:id="178" w:name="_Toc1661723877_WPSOffice_Level3"/>
      <w:bookmarkStart w:id="179" w:name="_Toc16664"/>
      <w:bookmarkStart w:id="180" w:name="_Toc16083"/>
      <w:bookmarkStart w:id="181" w:name="_Toc13141"/>
      <w:bookmarkStart w:id="182" w:name="_Toc27843"/>
      <w:bookmarkStart w:id="183" w:name="_Toc23556"/>
      <w:bookmarkStart w:id="184" w:name="_Toc195289645"/>
      <w:r>
        <w:rPr>
          <w:rFonts w:hint="eastAsia"/>
          <w:b/>
          <w:bCs/>
          <w:color w:val="auto"/>
          <w:highlight w:val="none"/>
          <w:lang w:val="en-US" w:eastAsia="zh-CN"/>
        </w:rPr>
        <w:t>健全兵地统一的水资源管理协调机制</w:t>
      </w:r>
      <w:bookmarkEnd w:id="177"/>
      <w:bookmarkEnd w:id="178"/>
      <w:bookmarkEnd w:id="179"/>
      <w:bookmarkEnd w:id="180"/>
      <w:bookmarkEnd w:id="181"/>
      <w:bookmarkEnd w:id="182"/>
      <w:bookmarkEnd w:id="183"/>
      <w:bookmarkEnd w:id="184"/>
      <w:r>
        <w:rPr>
          <w:rFonts w:hint="eastAsia"/>
          <w:b/>
          <w:bCs/>
          <w:color w:val="auto"/>
          <w:highlight w:val="none"/>
          <w:lang w:val="en-US" w:eastAsia="zh-CN"/>
        </w:rPr>
        <w:t>。</w:t>
      </w:r>
      <w:r>
        <w:rPr>
          <w:rFonts w:hint="eastAsia"/>
          <w:color w:val="auto"/>
          <w:highlight w:val="none"/>
        </w:rPr>
        <w:t>建立各层级兵地水资源管理协调机制，形成系统治理、协调联动、整体推进的工作格局，统一协调最严格水资源管理、水利工程规划与建设、河湖管理、水权水价改革、水行政执法与监督等重要工作，推动解决重大水资源问题，实现水资源科学高效管理。</w:t>
      </w:r>
    </w:p>
    <w:p>
      <w:pPr>
        <w:bidi w:val="0"/>
        <w:rPr>
          <w:rFonts w:hint="eastAsia"/>
          <w:color w:val="auto"/>
          <w:highlight w:val="none"/>
        </w:rPr>
      </w:pPr>
      <w:bookmarkStart w:id="185" w:name="_Toc11811"/>
      <w:bookmarkStart w:id="186" w:name="_Toc1518008152_WPSOffice_Level3"/>
      <w:bookmarkStart w:id="187" w:name="_Toc19632"/>
      <w:bookmarkStart w:id="188" w:name="_Toc3660"/>
      <w:bookmarkStart w:id="189" w:name="_Toc8564"/>
      <w:bookmarkStart w:id="190" w:name="_Toc195289646"/>
      <w:bookmarkStart w:id="191" w:name="_Toc748"/>
      <w:bookmarkStart w:id="192" w:name="_Toc27014"/>
      <w:r>
        <w:rPr>
          <w:rFonts w:hint="eastAsia"/>
          <w:b/>
          <w:bCs/>
          <w:color w:val="auto"/>
          <w:highlight w:val="none"/>
          <w:lang w:val="en-US" w:eastAsia="zh-CN"/>
        </w:rPr>
        <w:t>健全流域、区域水安全协作机制</w:t>
      </w:r>
      <w:bookmarkEnd w:id="185"/>
      <w:bookmarkEnd w:id="186"/>
      <w:bookmarkEnd w:id="187"/>
      <w:bookmarkEnd w:id="188"/>
      <w:bookmarkEnd w:id="189"/>
      <w:bookmarkEnd w:id="190"/>
      <w:bookmarkEnd w:id="191"/>
      <w:bookmarkEnd w:id="192"/>
      <w:r>
        <w:rPr>
          <w:rFonts w:hint="eastAsia"/>
          <w:b/>
          <w:bCs/>
          <w:color w:val="auto"/>
          <w:highlight w:val="none"/>
          <w:lang w:val="en-US" w:eastAsia="zh-CN"/>
        </w:rPr>
        <w:t>。</w:t>
      </w:r>
      <w:r>
        <w:rPr>
          <w:rFonts w:hint="eastAsia"/>
          <w:color w:val="auto"/>
          <w:highlight w:val="none"/>
        </w:rPr>
        <w:t>建立完善流域与区域、地区与兵团高效协同的水安全协作机制，推进兵团和地方在水利工程共建、防汛抗旱联防联控、城乡供水协同保障、河湖长制一体化管理、流域水利信息共享、综合执法与监督检查等方面的协作，构建兵团和地方常态化的交流和协同共商合作机制，促进兵地融合发展。</w:t>
      </w:r>
    </w:p>
    <w:p>
      <w:pPr>
        <w:bidi w:val="0"/>
        <w:rPr>
          <w:rFonts w:hint="eastAsia"/>
          <w:color w:val="auto"/>
          <w:highlight w:val="none"/>
        </w:rPr>
      </w:pPr>
      <w:bookmarkStart w:id="193" w:name="_Toc17466"/>
      <w:bookmarkStart w:id="194" w:name="_Toc10837"/>
      <w:bookmarkStart w:id="195" w:name="_Toc10409"/>
      <w:bookmarkStart w:id="196" w:name="_Toc24741"/>
      <w:bookmarkStart w:id="197" w:name="_Toc2067"/>
      <w:bookmarkStart w:id="198" w:name="_Toc1473739312_WPSOffice_Level3"/>
      <w:r>
        <w:rPr>
          <w:rFonts w:hint="eastAsia"/>
          <w:b/>
          <w:bCs/>
          <w:color w:val="auto"/>
          <w:highlight w:val="none"/>
          <w:lang w:val="en-US" w:eastAsia="zh-CN"/>
        </w:rPr>
        <w:t>健全部门协同管理模式</w:t>
      </w:r>
      <w:bookmarkEnd w:id="193"/>
      <w:bookmarkEnd w:id="194"/>
      <w:bookmarkEnd w:id="195"/>
      <w:bookmarkEnd w:id="196"/>
      <w:bookmarkEnd w:id="197"/>
      <w:bookmarkEnd w:id="198"/>
      <w:r>
        <w:rPr>
          <w:rFonts w:hint="eastAsia"/>
          <w:b/>
          <w:bCs/>
          <w:color w:val="auto"/>
          <w:highlight w:val="none"/>
          <w:lang w:val="en-US" w:eastAsia="zh-CN"/>
        </w:rPr>
        <w:t>。</w:t>
      </w:r>
      <w:r>
        <w:rPr>
          <w:rFonts w:hint="eastAsia"/>
          <w:color w:val="auto"/>
          <w:highlight w:val="none"/>
        </w:rPr>
        <w:t>进一步加强水利、自然资源、生态环境、住建、农业农村、林草、畜牧、电力等多部门合作，成立领导小组，建立联席会议制度，实施水土共治，坚持以水定地，提倡自然修复，确保水生态保护与修复、超采治理各项措施落到实处。</w:t>
      </w:r>
    </w:p>
    <w:p>
      <w:pPr>
        <w:bidi w:val="0"/>
        <w:rPr>
          <w:rFonts w:hint="eastAsia"/>
          <w:color w:val="auto"/>
          <w:highlight w:val="none"/>
        </w:rPr>
      </w:pPr>
      <w:bookmarkStart w:id="199" w:name="_Toc2085653169_WPSOffice_Level3"/>
      <w:bookmarkStart w:id="200" w:name="_Toc30924"/>
      <w:bookmarkStart w:id="201" w:name="_Toc5671"/>
      <w:bookmarkStart w:id="202" w:name="_Toc88"/>
      <w:bookmarkStart w:id="203" w:name="_Toc19484"/>
      <w:bookmarkStart w:id="204" w:name="_Toc7633"/>
      <w:r>
        <w:rPr>
          <w:rFonts w:hint="eastAsia"/>
          <w:b/>
          <w:bCs/>
          <w:color w:val="auto"/>
          <w:highlight w:val="none"/>
          <w:lang w:val="en-US" w:eastAsia="zh-CN"/>
        </w:rPr>
        <w:t>建立超用水量监测预警机制</w:t>
      </w:r>
      <w:bookmarkEnd w:id="199"/>
      <w:bookmarkEnd w:id="200"/>
      <w:bookmarkEnd w:id="201"/>
      <w:bookmarkEnd w:id="202"/>
      <w:bookmarkEnd w:id="203"/>
      <w:bookmarkEnd w:id="204"/>
      <w:r>
        <w:rPr>
          <w:rFonts w:hint="eastAsia"/>
          <w:b/>
          <w:bCs/>
          <w:color w:val="auto"/>
          <w:highlight w:val="none"/>
          <w:lang w:val="en-US" w:eastAsia="zh-CN"/>
        </w:rPr>
        <w:t>。</w:t>
      </w:r>
      <w:r>
        <w:rPr>
          <w:rFonts w:hint="eastAsia"/>
          <w:color w:val="auto"/>
          <w:highlight w:val="none"/>
        </w:rPr>
        <w:t>充分利用已建成的水利信息化建立水资源监测预警体系，全面掌握水资源开发利用动态变化，达到或超过预警线时及时发布预警信息，因地制宜采取工程、非工程管控措施，遏制地表水过度开发、地下水超采加剧的趋势，逐步实现水资源可持续利用。建立地下水位变化监测预警机制。充分利用已建国家、自治区地下水位监测数据为基础，健全地下水水位变化通报预警机制，每月、季度将地下水位变化情况发至县市人民政府，并紧盯地下水位变化情况。</w:t>
      </w:r>
    </w:p>
    <w:p>
      <w:pPr>
        <w:bidi w:val="0"/>
        <w:rPr>
          <w:rFonts w:hint="eastAsia"/>
          <w:color w:val="auto"/>
          <w:highlight w:val="none"/>
        </w:rPr>
      </w:pPr>
      <w:bookmarkStart w:id="205" w:name="_Toc21279"/>
      <w:bookmarkStart w:id="206" w:name="_Toc23289751_WPSOffice_Level3"/>
      <w:bookmarkStart w:id="207" w:name="_Toc19247"/>
      <w:bookmarkStart w:id="208" w:name="_Toc14521"/>
      <w:bookmarkStart w:id="209" w:name="_Toc28843"/>
      <w:bookmarkStart w:id="210" w:name="_Toc6142"/>
      <w:r>
        <w:rPr>
          <w:rFonts w:hint="eastAsia"/>
          <w:b/>
          <w:bCs/>
          <w:color w:val="auto"/>
          <w:highlight w:val="none"/>
          <w:lang w:val="en-US" w:eastAsia="zh-CN"/>
        </w:rPr>
        <w:t>建立水资源保护管理奖惩机制</w:t>
      </w:r>
      <w:bookmarkEnd w:id="205"/>
      <w:bookmarkEnd w:id="206"/>
      <w:bookmarkEnd w:id="207"/>
      <w:bookmarkEnd w:id="208"/>
      <w:bookmarkEnd w:id="209"/>
      <w:bookmarkEnd w:id="210"/>
      <w:r>
        <w:rPr>
          <w:rFonts w:hint="eastAsia"/>
          <w:b/>
          <w:bCs/>
          <w:color w:val="auto"/>
          <w:highlight w:val="none"/>
          <w:lang w:val="en-US" w:eastAsia="zh-CN"/>
        </w:rPr>
        <w:t>。</w:t>
      </w:r>
      <w:r>
        <w:rPr>
          <w:rFonts w:hint="eastAsia"/>
          <w:color w:val="auto"/>
          <w:highlight w:val="none"/>
        </w:rPr>
        <w:t>按照自治区人民政府办公厅《关于进一步强化水资源保护管理的实施意见》（新政办发〔2021〕80号）要求，对水资源保护管理中做出显著成绩的单位和个人给予表彰奖励，并将取用水违法违规记录纳入全国统一的信用信息共享平台。</w:t>
      </w:r>
    </w:p>
    <w:p>
      <w:pPr>
        <w:pStyle w:val="4"/>
        <w:numPr>
          <w:ilvl w:val="2"/>
          <w:numId w:val="0"/>
        </w:numPr>
        <w:bidi w:val="0"/>
        <w:ind w:leftChars="200"/>
        <w:rPr>
          <w:rFonts w:hint="eastAsia"/>
          <w:color w:val="auto"/>
          <w:highlight w:val="none"/>
          <w:lang w:val="en-US" w:eastAsia="zh-CN"/>
        </w:rPr>
      </w:pPr>
      <w:bookmarkStart w:id="211" w:name="_Toc376"/>
      <w:bookmarkStart w:id="212" w:name="_Toc24422"/>
      <w:bookmarkStart w:id="213" w:name="_Toc1769879183_WPSOffice_Level2"/>
      <w:bookmarkStart w:id="214" w:name="_Toc195289647"/>
      <w:r>
        <w:rPr>
          <w:rFonts w:hint="eastAsia"/>
          <w:color w:val="auto"/>
          <w:highlight w:val="none"/>
          <w:lang w:val="en-US" w:eastAsia="zh-CN"/>
        </w:rPr>
        <w:t>（三十八）推进依法依规治水</w:t>
      </w:r>
      <w:bookmarkEnd w:id="211"/>
      <w:bookmarkEnd w:id="212"/>
      <w:bookmarkEnd w:id="213"/>
      <w:bookmarkEnd w:id="214"/>
    </w:p>
    <w:p>
      <w:pPr>
        <w:bidi w:val="0"/>
        <w:rPr>
          <w:rFonts w:hint="eastAsia"/>
          <w:highlight w:val="none"/>
          <w:lang w:val="en-US" w:eastAsia="zh-CN"/>
        </w:rPr>
      </w:pPr>
      <w:bookmarkStart w:id="215" w:name="_Toc17318"/>
      <w:bookmarkStart w:id="216" w:name="_Toc195289648"/>
      <w:bookmarkStart w:id="217" w:name="_Toc18021"/>
      <w:bookmarkStart w:id="218" w:name="_Toc19366"/>
      <w:bookmarkStart w:id="219" w:name="_Toc25059"/>
      <w:bookmarkStart w:id="220" w:name="_Toc1523322714_WPSOffice_Level3"/>
      <w:bookmarkStart w:id="221" w:name="_Toc22202"/>
      <w:bookmarkStart w:id="222" w:name="_Toc24333"/>
      <w:r>
        <w:rPr>
          <w:rFonts w:hint="eastAsia"/>
          <w:b/>
          <w:bCs/>
          <w:highlight w:val="none"/>
          <w:lang w:val="en-US" w:eastAsia="zh-CN"/>
        </w:rPr>
        <w:t>加强水行政执法</w:t>
      </w:r>
      <w:bookmarkEnd w:id="215"/>
      <w:bookmarkEnd w:id="216"/>
      <w:bookmarkEnd w:id="217"/>
      <w:bookmarkEnd w:id="218"/>
      <w:bookmarkEnd w:id="219"/>
      <w:bookmarkEnd w:id="220"/>
      <w:bookmarkEnd w:id="221"/>
      <w:bookmarkEnd w:id="222"/>
      <w:r>
        <w:rPr>
          <w:rFonts w:hint="eastAsia"/>
          <w:b/>
          <w:bCs/>
          <w:highlight w:val="none"/>
          <w:lang w:val="en-US" w:eastAsia="zh-CN"/>
        </w:rPr>
        <w:t>。</w:t>
      </w:r>
      <w:r>
        <w:rPr>
          <w:rFonts w:hint="eastAsia"/>
          <w:highlight w:val="none"/>
          <w:lang w:val="en-US" w:eastAsia="zh-CN"/>
        </w:rPr>
        <w:t>加强水行政执法队伍建设，配强力量、配备装备，健全多部门河湖联合执法机制，推进执法管理信息化平台建设。严格执行水资源论证、取水许可等制度，强化河湖岸线管理，全面落实执法“三项制度”。适应体制改革要求，推动水行政执法职能回归机关，实行权责清单制度，整合全系统力量实施全员全面执法，从根本上解决执法“宽松软”问题，提升执法效能。</w:t>
      </w:r>
    </w:p>
    <w:p>
      <w:pPr>
        <w:bidi w:val="0"/>
        <w:rPr>
          <w:rFonts w:hint="eastAsia"/>
          <w:highlight w:val="none"/>
          <w:lang w:val="en-US" w:eastAsia="zh-CN"/>
        </w:rPr>
      </w:pPr>
      <w:bookmarkStart w:id="223" w:name="_Toc6260"/>
      <w:bookmarkStart w:id="224" w:name="_Toc739753888_WPSOffice_Level3"/>
      <w:bookmarkStart w:id="225" w:name="_Toc5424"/>
      <w:bookmarkStart w:id="226" w:name="_Toc8129"/>
      <w:bookmarkStart w:id="227" w:name="_Toc1609"/>
      <w:bookmarkStart w:id="228" w:name="_Toc195289649"/>
      <w:bookmarkStart w:id="229" w:name="_Toc17354"/>
      <w:bookmarkStart w:id="230" w:name="_Toc20788"/>
      <w:r>
        <w:rPr>
          <w:rFonts w:hint="eastAsia"/>
          <w:b/>
          <w:bCs/>
          <w:highlight w:val="none"/>
          <w:lang w:val="en-US" w:eastAsia="zh-CN"/>
        </w:rPr>
        <w:t>深化水利“放管服”改革</w:t>
      </w:r>
      <w:bookmarkEnd w:id="223"/>
      <w:bookmarkEnd w:id="224"/>
      <w:bookmarkEnd w:id="225"/>
      <w:bookmarkEnd w:id="226"/>
      <w:bookmarkEnd w:id="227"/>
      <w:bookmarkEnd w:id="228"/>
      <w:bookmarkEnd w:id="229"/>
      <w:bookmarkEnd w:id="230"/>
      <w:r>
        <w:rPr>
          <w:rFonts w:hint="eastAsia"/>
          <w:b/>
          <w:bCs/>
          <w:highlight w:val="none"/>
          <w:lang w:val="en-US" w:eastAsia="zh-CN"/>
        </w:rPr>
        <w:t>。</w:t>
      </w:r>
      <w:r>
        <w:rPr>
          <w:rFonts w:hint="eastAsia"/>
          <w:highlight w:val="none"/>
          <w:lang w:val="en-US" w:eastAsia="zh-CN"/>
        </w:rPr>
        <w:t>优化政务服务，加强事前事中事后监管，健全监管规则标准，改进监管方式，加快水利重点领域政务服务更加便捷办理，提升服务效能。推进水利依法决策，加强规范性文件审核工作，从严审查行政行为的合法性，不断提升运用法治思维和法治方式推动新阶段水利高质量发展的能力水平。</w:t>
      </w:r>
    </w:p>
    <w:p>
      <w:pPr>
        <w:bidi w:val="0"/>
        <w:rPr>
          <w:rFonts w:hint="eastAsia"/>
          <w:highlight w:val="none"/>
          <w:lang w:val="en-US" w:eastAsia="zh-CN"/>
        </w:rPr>
      </w:pPr>
      <w:bookmarkStart w:id="231" w:name="_Toc967553375_WPSOffice_Level3"/>
      <w:bookmarkStart w:id="232" w:name="_Toc6341"/>
      <w:bookmarkStart w:id="233" w:name="_Toc11049"/>
      <w:bookmarkStart w:id="234" w:name="_Toc14088"/>
      <w:bookmarkStart w:id="235" w:name="_Toc15436"/>
      <w:bookmarkStart w:id="236" w:name="_Toc195289650"/>
      <w:bookmarkStart w:id="237" w:name="_Toc2460"/>
      <w:bookmarkStart w:id="238" w:name="_Toc7692"/>
      <w:r>
        <w:rPr>
          <w:rFonts w:hint="eastAsia"/>
          <w:b/>
          <w:bCs/>
          <w:highlight w:val="none"/>
          <w:lang w:val="en-US" w:eastAsia="zh-CN"/>
        </w:rPr>
        <w:t>加强水法治宣传教育</w:t>
      </w:r>
      <w:bookmarkEnd w:id="231"/>
      <w:bookmarkEnd w:id="232"/>
      <w:bookmarkEnd w:id="233"/>
      <w:bookmarkEnd w:id="234"/>
      <w:bookmarkEnd w:id="235"/>
      <w:bookmarkEnd w:id="236"/>
      <w:bookmarkEnd w:id="237"/>
      <w:bookmarkEnd w:id="238"/>
      <w:r>
        <w:rPr>
          <w:rFonts w:hint="eastAsia"/>
          <w:b/>
          <w:bCs/>
          <w:highlight w:val="none"/>
          <w:lang w:val="en-US" w:eastAsia="zh-CN"/>
        </w:rPr>
        <w:t>。</w:t>
      </w:r>
      <w:r>
        <w:rPr>
          <w:rFonts w:hint="eastAsia"/>
          <w:highlight w:val="none"/>
          <w:lang w:val="en-US" w:eastAsia="zh-CN"/>
        </w:rPr>
        <w:t>加强组织领导和经费保障，建立水法规常态化宣传教育机制，增强全社会节水惜水意识，2030年前实现喀什地区县级行政区“县域节水型社会达标建设”目标，2035年全面建成功能完善的节水型社会体系。</w:t>
      </w:r>
    </w:p>
    <w:p>
      <w:pPr>
        <w:pStyle w:val="4"/>
        <w:numPr>
          <w:ilvl w:val="2"/>
          <w:numId w:val="0"/>
        </w:numPr>
        <w:bidi w:val="0"/>
        <w:ind w:leftChars="200"/>
        <w:rPr>
          <w:rFonts w:hint="eastAsia"/>
          <w:color w:val="auto"/>
          <w:highlight w:val="none"/>
          <w:lang w:val="en-US" w:eastAsia="zh-CN"/>
        </w:rPr>
      </w:pPr>
      <w:bookmarkStart w:id="239" w:name="_Toc31009"/>
      <w:bookmarkStart w:id="240" w:name="_Toc13583"/>
      <w:bookmarkStart w:id="241" w:name="_Toc211692279_WPSOffice_Level2"/>
      <w:bookmarkStart w:id="242" w:name="_Toc195289651"/>
      <w:r>
        <w:rPr>
          <w:rFonts w:hint="eastAsia"/>
          <w:color w:val="auto"/>
          <w:highlight w:val="none"/>
          <w:lang w:val="en-US" w:eastAsia="zh-CN"/>
        </w:rPr>
        <w:t>（三十九）强化水利行业监管</w:t>
      </w:r>
      <w:bookmarkEnd w:id="239"/>
      <w:bookmarkEnd w:id="240"/>
      <w:bookmarkEnd w:id="241"/>
      <w:bookmarkEnd w:id="242"/>
    </w:p>
    <w:p>
      <w:pPr>
        <w:bidi w:val="0"/>
        <w:rPr>
          <w:rFonts w:hint="eastAsia"/>
          <w:highlight w:val="none"/>
          <w:lang w:val="en-US" w:eastAsia="zh-CN"/>
        </w:rPr>
      </w:pPr>
      <w:bookmarkStart w:id="243" w:name="_Toc13184"/>
      <w:bookmarkStart w:id="244" w:name="_Toc23227"/>
      <w:bookmarkStart w:id="245" w:name="_Toc5343"/>
      <w:bookmarkStart w:id="246" w:name="_Toc1333436478_WPSOffice_Level3"/>
      <w:bookmarkStart w:id="247" w:name="_Toc52"/>
      <w:bookmarkStart w:id="248" w:name="_Toc27784"/>
      <w:bookmarkStart w:id="249" w:name="_Toc7582"/>
      <w:bookmarkStart w:id="250" w:name="_Toc195289652"/>
      <w:r>
        <w:rPr>
          <w:rFonts w:hint="eastAsia"/>
          <w:b/>
          <w:bCs/>
          <w:highlight w:val="none"/>
          <w:lang w:val="en-US" w:eastAsia="zh-CN"/>
        </w:rPr>
        <w:t>水资源监管</w:t>
      </w:r>
      <w:bookmarkEnd w:id="243"/>
      <w:bookmarkEnd w:id="244"/>
      <w:bookmarkEnd w:id="245"/>
      <w:bookmarkEnd w:id="246"/>
      <w:bookmarkEnd w:id="247"/>
      <w:bookmarkEnd w:id="248"/>
      <w:bookmarkEnd w:id="249"/>
      <w:bookmarkEnd w:id="250"/>
      <w:r>
        <w:rPr>
          <w:rFonts w:hint="eastAsia"/>
          <w:b/>
          <w:bCs/>
          <w:highlight w:val="none"/>
          <w:lang w:val="en-US" w:eastAsia="zh-CN"/>
        </w:rPr>
        <w:t>。</w:t>
      </w:r>
      <w:r>
        <w:rPr>
          <w:rFonts w:hint="eastAsia"/>
          <w:highlight w:val="none"/>
          <w:lang w:val="en-US" w:eastAsia="zh-CN"/>
        </w:rPr>
        <w:t>全面实行用水总量和强度双控，将年度供水计划分解至县市，地表水分解至村，地下水分解到每个取用水户、落实到每眼机井。加强计划用水，杜绝不合理用水需求。严格落实规划和建设项目水资源论证、节水评价制度，实行取水许可制度。开展取水工程（设施）核查登记，建立重点取水口、重点用水户、特殊用水行业用水户台账。推进规模以上地表水取水口监测全覆盖、地下水实行“井电双控”在线监测。实行地下水分区差别化管控，限采区控制机井数量，超采区有序关停农业灌溉井，按照“减二更一”比例削减更新井；建立健全地下水监测体系，强化地下水监测数据应用。</w:t>
      </w:r>
      <w:bookmarkStart w:id="396" w:name="_GoBack"/>
      <w:bookmarkEnd w:id="396"/>
    </w:p>
    <w:p>
      <w:pPr>
        <w:bidi w:val="0"/>
        <w:rPr>
          <w:rFonts w:hint="eastAsia"/>
          <w:highlight w:val="none"/>
          <w:lang w:val="en-US" w:eastAsia="zh-CN"/>
        </w:rPr>
      </w:pPr>
      <w:bookmarkStart w:id="251" w:name="_Toc1466029881_WPSOffice_Level3"/>
      <w:bookmarkStart w:id="252" w:name="_Toc8668"/>
      <w:bookmarkStart w:id="253" w:name="_Toc195289653"/>
      <w:bookmarkStart w:id="254" w:name="_Toc1221"/>
      <w:bookmarkStart w:id="255" w:name="_Toc11448"/>
      <w:bookmarkStart w:id="256" w:name="_Toc11169"/>
      <w:bookmarkStart w:id="257" w:name="_Toc8748"/>
      <w:bookmarkStart w:id="258" w:name="_Toc17866"/>
      <w:r>
        <w:rPr>
          <w:rFonts w:hint="eastAsia"/>
          <w:b/>
          <w:bCs/>
          <w:highlight w:val="none"/>
          <w:lang w:val="en-US" w:eastAsia="zh-CN"/>
        </w:rPr>
        <w:t>河湖监管</w:t>
      </w:r>
      <w:bookmarkEnd w:id="251"/>
      <w:bookmarkEnd w:id="252"/>
      <w:bookmarkEnd w:id="253"/>
      <w:bookmarkEnd w:id="254"/>
      <w:bookmarkEnd w:id="255"/>
      <w:bookmarkEnd w:id="256"/>
      <w:bookmarkEnd w:id="257"/>
      <w:bookmarkEnd w:id="258"/>
      <w:r>
        <w:rPr>
          <w:rFonts w:hint="eastAsia"/>
          <w:b/>
          <w:bCs/>
          <w:highlight w:val="none"/>
          <w:lang w:val="en-US" w:eastAsia="zh-CN"/>
        </w:rPr>
        <w:t>。</w:t>
      </w:r>
      <w:r>
        <w:rPr>
          <w:rFonts w:hint="eastAsia"/>
          <w:highlight w:val="none"/>
          <w:lang w:val="en-US" w:eastAsia="zh-CN"/>
        </w:rPr>
        <w:t>完善河湖长制关键在于实现流域统筹：一是设立由省级领导轮值的流域总河长，赋予重大事项“一票否决”权；二是推行“流域河长+网格片长”架构，村级片长负责日常巡查，考核结果与资金挂钩；三是建设“流域大脑”数字平台，整合多部门数据实现任务智能生成与闭环管理；四是出台《流域河长制条例》，赋予联合执法权限并建立流域生态环境法院，强化法治保障。</w:t>
      </w:r>
    </w:p>
    <w:p>
      <w:pPr>
        <w:bidi w:val="0"/>
        <w:rPr>
          <w:rFonts w:hint="eastAsia"/>
          <w:highlight w:val="none"/>
          <w:lang w:val="en-US" w:eastAsia="zh-CN"/>
        </w:rPr>
      </w:pPr>
      <w:bookmarkStart w:id="259" w:name="_Toc23904"/>
      <w:bookmarkStart w:id="260" w:name="_Toc27551"/>
      <w:bookmarkStart w:id="261" w:name="_Toc25073"/>
      <w:bookmarkStart w:id="262" w:name="_Toc211731548_WPSOffice_Level3"/>
      <w:bookmarkStart w:id="263" w:name="_Toc195289654"/>
      <w:bookmarkStart w:id="264" w:name="_Toc14664"/>
      <w:bookmarkStart w:id="265" w:name="_Toc17628"/>
      <w:bookmarkStart w:id="266" w:name="_Toc28680"/>
      <w:r>
        <w:rPr>
          <w:rFonts w:hint="eastAsia"/>
          <w:b/>
          <w:bCs/>
          <w:highlight w:val="none"/>
          <w:lang w:val="en-US" w:eastAsia="zh-CN"/>
        </w:rPr>
        <w:t>水土保持监管</w:t>
      </w:r>
      <w:bookmarkEnd w:id="259"/>
      <w:bookmarkEnd w:id="260"/>
      <w:bookmarkEnd w:id="261"/>
      <w:bookmarkEnd w:id="262"/>
      <w:bookmarkEnd w:id="263"/>
      <w:bookmarkEnd w:id="264"/>
      <w:bookmarkEnd w:id="265"/>
      <w:bookmarkEnd w:id="266"/>
      <w:r>
        <w:rPr>
          <w:rFonts w:hint="eastAsia"/>
          <w:b/>
          <w:bCs/>
          <w:highlight w:val="none"/>
          <w:lang w:val="en-US" w:eastAsia="zh-CN"/>
        </w:rPr>
        <w:t>。</w:t>
      </w:r>
      <w:r>
        <w:rPr>
          <w:rFonts w:hint="eastAsia"/>
          <w:highlight w:val="none"/>
          <w:lang w:val="en-US" w:eastAsia="zh-CN"/>
        </w:rPr>
        <w:t>强化水土保持全链条、全方位监管。</w:t>
      </w:r>
      <w:r>
        <w:rPr>
          <w:rFonts w:hint="default"/>
          <w:highlight w:val="none"/>
          <w:lang w:val="en-US" w:eastAsia="zh-CN"/>
        </w:rPr>
        <w:t>严格生产建设项目水土保持方案审批，落实</w:t>
      </w:r>
      <w:r>
        <w:rPr>
          <w:rFonts w:hint="eastAsia"/>
          <w:highlight w:val="none"/>
          <w:lang w:val="en-US" w:eastAsia="zh-CN"/>
        </w:rPr>
        <w:t>“</w:t>
      </w:r>
      <w:r>
        <w:rPr>
          <w:rFonts w:hint="default"/>
          <w:highlight w:val="none"/>
          <w:lang w:val="en-US" w:eastAsia="zh-CN"/>
        </w:rPr>
        <w:t>三同时</w:t>
      </w:r>
      <w:r>
        <w:rPr>
          <w:rFonts w:hint="eastAsia"/>
          <w:highlight w:val="none"/>
          <w:lang w:val="en-US" w:eastAsia="zh-CN"/>
        </w:rPr>
        <w:t>”</w:t>
      </w:r>
      <w:r>
        <w:rPr>
          <w:rFonts w:hint="default"/>
          <w:highlight w:val="none"/>
          <w:lang w:val="en-US" w:eastAsia="zh-CN"/>
        </w:rPr>
        <w:t>制度，强化事中事后监管和跟踪检查，督促建设单位履行主体责任；健全分类精准监管机制，畅通公众监督渠道，依法查处违法违规行为并追究生态损害赔偿责任。创新监管方式</w:t>
      </w:r>
      <w:r>
        <w:rPr>
          <w:rFonts w:hint="eastAsia"/>
          <w:highlight w:val="none"/>
          <w:lang w:val="en-US" w:eastAsia="zh-CN"/>
        </w:rPr>
        <w:t>。</w:t>
      </w:r>
      <w:r>
        <w:rPr>
          <w:rFonts w:hint="default"/>
          <w:highlight w:val="none"/>
          <w:lang w:val="en-US" w:eastAsia="zh-CN"/>
        </w:rPr>
        <w:t>常态化开展遥感监管，完善信用分级分类监管和</w:t>
      </w:r>
      <w:r>
        <w:rPr>
          <w:rFonts w:hint="eastAsia"/>
          <w:highlight w:val="none"/>
          <w:lang w:val="en-US" w:eastAsia="zh-CN"/>
        </w:rPr>
        <w:t>“</w:t>
      </w:r>
      <w:r>
        <w:rPr>
          <w:rFonts w:hint="default"/>
          <w:highlight w:val="none"/>
          <w:lang w:val="en-US" w:eastAsia="zh-CN"/>
        </w:rPr>
        <w:t>互联网+监管</w:t>
      </w:r>
      <w:r>
        <w:rPr>
          <w:rFonts w:hint="eastAsia"/>
          <w:highlight w:val="none"/>
          <w:lang w:val="en-US" w:eastAsia="zh-CN"/>
        </w:rPr>
        <w:t>”</w:t>
      </w:r>
      <w:r>
        <w:rPr>
          <w:rFonts w:hint="default"/>
          <w:highlight w:val="none"/>
          <w:lang w:val="en-US" w:eastAsia="zh-CN"/>
        </w:rPr>
        <w:t>平台，实现人为水土流失动态监控全覆盖。加强监管与行政执法、刑事司法衔接，开展水土流失动态监测，落实水土保持空间管控制度，对生态保护红线内重要区域和敏感脆弱区严格管控，强化目标责任考核，提升监管效能。</w:t>
      </w:r>
    </w:p>
    <w:p>
      <w:pPr>
        <w:bidi w:val="0"/>
        <w:rPr>
          <w:rFonts w:hint="eastAsia"/>
          <w:highlight w:val="none"/>
          <w:lang w:val="en-US" w:eastAsia="zh-CN"/>
        </w:rPr>
      </w:pPr>
      <w:bookmarkStart w:id="267" w:name="_Toc1560091842_WPSOffice_Level3"/>
      <w:bookmarkStart w:id="268" w:name="_Toc28232"/>
      <w:bookmarkStart w:id="269" w:name="_Toc5269"/>
      <w:bookmarkStart w:id="270" w:name="_Toc14861"/>
      <w:bookmarkStart w:id="271" w:name="_Toc16641"/>
      <w:bookmarkStart w:id="272" w:name="_Toc458"/>
      <w:bookmarkStart w:id="273" w:name="_Toc7648"/>
      <w:bookmarkStart w:id="274" w:name="_Toc195289655"/>
      <w:r>
        <w:rPr>
          <w:rFonts w:hint="eastAsia"/>
          <w:b/>
          <w:bCs/>
          <w:highlight w:val="none"/>
          <w:lang w:val="en-US" w:eastAsia="zh-CN"/>
        </w:rPr>
        <w:t>水利工程监管</w:t>
      </w:r>
      <w:bookmarkEnd w:id="267"/>
      <w:bookmarkEnd w:id="268"/>
      <w:bookmarkEnd w:id="269"/>
      <w:bookmarkEnd w:id="270"/>
      <w:bookmarkEnd w:id="271"/>
      <w:bookmarkEnd w:id="272"/>
      <w:bookmarkEnd w:id="273"/>
      <w:bookmarkEnd w:id="274"/>
      <w:r>
        <w:rPr>
          <w:rFonts w:hint="eastAsia"/>
          <w:b/>
          <w:bCs/>
          <w:highlight w:val="none"/>
          <w:lang w:val="en-US" w:eastAsia="zh-CN"/>
        </w:rPr>
        <w:t>。</w:t>
      </w:r>
      <w:r>
        <w:rPr>
          <w:rFonts w:hint="eastAsia"/>
          <w:highlight w:val="none"/>
          <w:lang w:val="en-US" w:eastAsia="zh-CN"/>
        </w:rPr>
        <w:t>加强水利工程建设全过程监管，严格落实“三项制度”，深化代建制、EPC等建设管理模式创新，强化信用监管和安全运行管理。重点推进五项工作：一是规范招投标秩序，健全专家库动态管理，严厉打击围标串标等行为；二是深化建设管理机制，发挥对口帮扶优势，运用BIM、无人机等技术赋能全生命周期管理；三是强化合同履约管理，严惩违法分包转包，保障农民工工资支付；四是全面提升质量监督能力，试点推行全周期信息化管理，强化检测行业监管和失信惩戒，严肃责任追究，构建权责明晰、监管严格、运行高效的水利工程建设管理新体系。</w:t>
      </w:r>
    </w:p>
    <w:p>
      <w:pPr>
        <w:bidi w:val="0"/>
        <w:rPr>
          <w:rFonts w:hint="eastAsia"/>
          <w:highlight w:val="none"/>
          <w:lang w:val="en-US" w:eastAsia="zh-CN"/>
        </w:rPr>
      </w:pPr>
      <w:bookmarkStart w:id="275" w:name="_Toc195289656"/>
      <w:bookmarkStart w:id="276" w:name="_Toc3505"/>
      <w:bookmarkStart w:id="277" w:name="_Toc1167"/>
      <w:bookmarkStart w:id="278" w:name="_Toc1010120042_WPSOffice_Level3"/>
      <w:bookmarkStart w:id="279" w:name="_Toc26781"/>
      <w:bookmarkStart w:id="280" w:name="_Toc28812"/>
      <w:bookmarkStart w:id="281" w:name="_Toc30900"/>
      <w:bookmarkStart w:id="282" w:name="_Toc13932"/>
      <w:r>
        <w:rPr>
          <w:rFonts w:hint="eastAsia"/>
          <w:b/>
          <w:bCs/>
          <w:highlight w:val="none"/>
          <w:lang w:val="en-US" w:eastAsia="zh-CN"/>
        </w:rPr>
        <w:t>水库移民管理</w:t>
      </w:r>
      <w:bookmarkEnd w:id="275"/>
      <w:bookmarkEnd w:id="276"/>
      <w:bookmarkEnd w:id="277"/>
      <w:bookmarkEnd w:id="278"/>
      <w:bookmarkEnd w:id="279"/>
      <w:bookmarkEnd w:id="280"/>
      <w:bookmarkEnd w:id="281"/>
      <w:bookmarkEnd w:id="282"/>
      <w:r>
        <w:rPr>
          <w:rFonts w:hint="eastAsia"/>
          <w:b/>
          <w:bCs/>
          <w:highlight w:val="none"/>
          <w:lang w:val="en-US" w:eastAsia="zh-CN"/>
        </w:rPr>
        <w:t>。</w:t>
      </w:r>
      <w:r>
        <w:rPr>
          <w:rFonts w:hint="eastAsia"/>
          <w:highlight w:val="none"/>
          <w:lang w:val="en-US" w:eastAsia="zh-CN"/>
        </w:rPr>
        <w:t>加强资金项目管理，发挥后期扶持资金杠杆作用，撬动行业社会资金投入，重点用于移民村美丽家园建设，发展优势特色产业，增加移民收入，改善人居环境等项目，推行绩效管理，评价结果与资金分配挂钩。优化项目审批，建立项目库和动态管理台账，加快项目全流程实施进度。强化移民安置管理，维护移民合法权益，严格前期程序并充分征求群众意愿，衔接乡村振兴战略实施后期扶持项目，尽快完成移民安置验收，确保后期扶持政策全面落实。</w:t>
      </w:r>
    </w:p>
    <w:p>
      <w:pPr>
        <w:bidi w:val="0"/>
        <w:rPr>
          <w:rFonts w:hint="eastAsia"/>
          <w:highlight w:val="none"/>
          <w:lang w:val="en-US" w:eastAsia="zh-CN"/>
        </w:rPr>
      </w:pPr>
      <w:bookmarkStart w:id="283" w:name="_Toc31765"/>
      <w:bookmarkStart w:id="284" w:name="_Toc28689"/>
      <w:bookmarkStart w:id="285" w:name="_Toc14573"/>
      <w:bookmarkStart w:id="286" w:name="_Toc1415153747_WPSOffice_Level3"/>
      <w:bookmarkStart w:id="287" w:name="_Toc22229"/>
      <w:bookmarkStart w:id="288" w:name="_Toc195289657"/>
      <w:bookmarkStart w:id="289" w:name="_Toc21505"/>
      <w:bookmarkStart w:id="290" w:name="_Toc8832"/>
      <w:r>
        <w:rPr>
          <w:rFonts w:hint="eastAsia"/>
          <w:b/>
          <w:bCs/>
          <w:highlight w:val="none"/>
          <w:lang w:val="en-US" w:eastAsia="zh-CN"/>
        </w:rPr>
        <w:t>水安全风险管理</w:t>
      </w:r>
      <w:bookmarkEnd w:id="283"/>
      <w:bookmarkEnd w:id="284"/>
      <w:bookmarkEnd w:id="285"/>
      <w:bookmarkEnd w:id="286"/>
      <w:bookmarkEnd w:id="287"/>
      <w:bookmarkEnd w:id="288"/>
      <w:bookmarkEnd w:id="289"/>
      <w:bookmarkEnd w:id="290"/>
      <w:r>
        <w:rPr>
          <w:rFonts w:hint="eastAsia"/>
          <w:b/>
          <w:bCs/>
          <w:highlight w:val="none"/>
          <w:lang w:val="en-US" w:eastAsia="zh-CN"/>
        </w:rPr>
        <w:t>。</w:t>
      </w:r>
      <w:r>
        <w:rPr>
          <w:rFonts w:hint="eastAsia"/>
          <w:highlight w:val="none"/>
          <w:lang w:val="en-US" w:eastAsia="zh-CN"/>
        </w:rPr>
        <w:t>强化风险意识。树立底线思维，建立完善水安全风险监测预警体系，涵盖水资源、水生态、水利工程、山洪灾害、生态流量、农村饮水、小水电站等领域，强化隐患排查和应急响应机制。</w:t>
      </w:r>
    </w:p>
    <w:p>
      <w:pPr>
        <w:bidi w:val="0"/>
        <w:rPr>
          <w:rFonts w:hint="eastAsia"/>
          <w:highlight w:val="none"/>
          <w:lang w:val="en-US" w:eastAsia="zh-CN"/>
        </w:rPr>
      </w:pPr>
      <w:r>
        <w:rPr>
          <w:rFonts w:hint="eastAsia"/>
          <w:b/>
          <w:bCs/>
          <w:highlight w:val="none"/>
          <w:lang w:val="en-US" w:eastAsia="zh-CN"/>
        </w:rPr>
        <w:t>提高应急处置能力。</w:t>
      </w:r>
      <w:r>
        <w:rPr>
          <w:rFonts w:hint="eastAsia"/>
          <w:highlight w:val="none"/>
          <w:lang w:val="en-US" w:eastAsia="zh-CN"/>
        </w:rPr>
        <w:t>完善水旱灾害防御应急预案，执行“一案三制”，加强超标洪水防范、备用水源管理，建立水资源风险联防联控机制。加强水利安全生产监督，健全安全生产监管制度，实施分级分类差异化监管；提升人员业务能力，加强应急预案培训和演练，建立多部门应急联动机制，强化应急救援队伍建设。</w:t>
      </w:r>
    </w:p>
    <w:p>
      <w:pPr>
        <w:pStyle w:val="4"/>
        <w:numPr>
          <w:ilvl w:val="2"/>
          <w:numId w:val="0"/>
        </w:numPr>
        <w:bidi w:val="0"/>
        <w:ind w:leftChars="200"/>
        <w:rPr>
          <w:rFonts w:hint="eastAsia"/>
          <w:color w:val="auto"/>
          <w:highlight w:val="none"/>
          <w:lang w:val="en-US" w:eastAsia="zh-CN"/>
        </w:rPr>
      </w:pPr>
      <w:bookmarkStart w:id="291" w:name="_Toc1790514181_WPSOffice_Level2"/>
      <w:bookmarkStart w:id="292" w:name="_Toc2327"/>
      <w:bookmarkStart w:id="293" w:name="_Toc26587"/>
      <w:bookmarkStart w:id="294" w:name="_Toc195289658"/>
      <w:r>
        <w:rPr>
          <w:rFonts w:hint="eastAsia"/>
          <w:color w:val="auto"/>
          <w:highlight w:val="none"/>
          <w:lang w:val="en-US" w:eastAsia="zh-CN"/>
        </w:rPr>
        <w:t>（四十）深化水利重点领域改革</w:t>
      </w:r>
      <w:bookmarkEnd w:id="291"/>
      <w:bookmarkEnd w:id="292"/>
      <w:bookmarkEnd w:id="293"/>
      <w:bookmarkEnd w:id="294"/>
    </w:p>
    <w:p>
      <w:pPr>
        <w:bidi w:val="0"/>
        <w:rPr>
          <w:rFonts w:hint="eastAsia"/>
          <w:highlight w:val="none"/>
          <w:lang w:val="en-US" w:eastAsia="zh-CN"/>
        </w:rPr>
      </w:pPr>
      <w:bookmarkStart w:id="295" w:name="_Toc17712"/>
      <w:bookmarkStart w:id="296" w:name="_Toc8138"/>
      <w:bookmarkStart w:id="297" w:name="_Toc1906555492_WPSOffice_Level3"/>
      <w:bookmarkStart w:id="298" w:name="_Toc195289659"/>
      <w:bookmarkStart w:id="299" w:name="_Toc13839"/>
      <w:bookmarkStart w:id="300" w:name="_Toc32214"/>
      <w:bookmarkStart w:id="301" w:name="_Toc14501"/>
      <w:bookmarkStart w:id="302" w:name="_Toc6686"/>
      <w:r>
        <w:rPr>
          <w:rFonts w:hint="eastAsia"/>
          <w:b/>
          <w:bCs/>
          <w:highlight w:val="none"/>
          <w:lang w:val="en-US" w:eastAsia="zh-CN"/>
        </w:rPr>
        <w:t>完善水价体系</w:t>
      </w:r>
      <w:bookmarkEnd w:id="295"/>
      <w:bookmarkEnd w:id="296"/>
      <w:bookmarkEnd w:id="297"/>
      <w:bookmarkEnd w:id="298"/>
      <w:bookmarkEnd w:id="299"/>
      <w:bookmarkEnd w:id="300"/>
      <w:bookmarkEnd w:id="301"/>
      <w:bookmarkEnd w:id="302"/>
      <w:r>
        <w:rPr>
          <w:rFonts w:hint="eastAsia"/>
          <w:b/>
          <w:bCs/>
          <w:highlight w:val="none"/>
          <w:lang w:val="en-US" w:eastAsia="zh-CN"/>
        </w:rPr>
        <w:t>。一是</w:t>
      </w:r>
      <w:r>
        <w:rPr>
          <w:rFonts w:hint="eastAsia"/>
          <w:highlight w:val="none"/>
          <w:lang w:val="en-US" w:eastAsia="zh-CN"/>
        </w:rPr>
        <w:t>持续推进农业水价综合改革。积极推行新一轮终端水价，规范末级渠系水价，依据“准许成本加合理收益”的方法核定水利工程供水价格，结合现行水利工程供水价格管理法规及实际供水成本情况，将斗渠运维成本统一纳入干渠、支渠成本测算体系，其他末级渠系工程（农渠、毛渠、首部、泵站）成本水价据实测算，由政府管理单位与用水户按照有利于促进节水、保障工程良性运行和农业生产发展的原则，报主管部门审批、备案后执行。</w:t>
      </w:r>
      <w:r>
        <w:rPr>
          <w:rFonts w:hint="eastAsia"/>
          <w:b/>
          <w:bCs/>
          <w:highlight w:val="none"/>
          <w:lang w:val="en-US" w:eastAsia="zh-CN"/>
        </w:rPr>
        <w:t>二是</w:t>
      </w:r>
      <w:r>
        <w:rPr>
          <w:rFonts w:hint="eastAsia"/>
          <w:highlight w:val="none"/>
          <w:lang w:val="en-US" w:eastAsia="zh-CN"/>
        </w:rPr>
        <w:t>完善供水计量设施建设。加快完善农业供水计量设施，加强计量管理。新建、改扩建工程要同步建设计量设施。大中型灌区骨干工程加快实行斗口及以下计量供水，产权分界点计量设施建设全覆盖，末级渠系根据管理需要细化计量单元。使用地下水灌溉的，要计量到井，加快完善计量到户。</w:t>
      </w:r>
      <w:r>
        <w:rPr>
          <w:rFonts w:hint="eastAsia"/>
          <w:b/>
          <w:bCs/>
          <w:highlight w:val="none"/>
          <w:lang w:val="en-US" w:eastAsia="zh-CN"/>
        </w:rPr>
        <w:t>三是</w:t>
      </w:r>
      <w:r>
        <w:rPr>
          <w:rFonts w:hint="eastAsia"/>
          <w:highlight w:val="none"/>
          <w:lang w:val="en-US" w:eastAsia="zh-CN"/>
        </w:rPr>
        <w:t xml:space="preserve">持续推进水权交易。以县级行政区域用水总量控制指标为基础，按照灌溉用水定额，采取水权证颁发或下达用水指标等措施，逐步将用水指标细化分解到农村集体经济组织、农民用水合作组织、农户等用水主体，落实到具体水源，明确水权，实行总量控制。水权凭证所载明的可用水量、有效期限必须严格限定在灌区（一级取水口）取水许可证所载明的许可水量和期限之内。依照自治区水权交易相关规定，鼓励用户转让节水量，将节约的水资源在水权交易平台上进行合规转让，政府或其授权的水行政主管部门、灌区管理单位可予以回购。加强用水权交易监管，在满足区域内农业用水的前提下，推行节水量跨区域、跨行业转让。 </w:t>
      </w:r>
    </w:p>
    <w:p>
      <w:pPr>
        <w:bidi w:val="0"/>
        <w:rPr>
          <w:rFonts w:hint="eastAsia"/>
          <w:highlight w:val="none"/>
          <w:lang w:val="en-US" w:eastAsia="zh-CN"/>
        </w:rPr>
      </w:pPr>
      <w:bookmarkStart w:id="303" w:name="_Toc29159"/>
      <w:bookmarkStart w:id="304" w:name="_Toc20278"/>
      <w:bookmarkStart w:id="305" w:name="_Toc29042"/>
      <w:bookmarkStart w:id="306" w:name="_Toc21252"/>
      <w:bookmarkStart w:id="307" w:name="_Toc2471"/>
      <w:bookmarkStart w:id="308" w:name="_Toc9950"/>
      <w:bookmarkStart w:id="309" w:name="_Toc1282587775_WPSOffice_Level3"/>
      <w:bookmarkStart w:id="310" w:name="_Toc195289660"/>
      <w:r>
        <w:rPr>
          <w:rFonts w:hint="eastAsia"/>
          <w:b/>
          <w:bCs/>
          <w:highlight w:val="none"/>
          <w:lang w:val="en-US" w:eastAsia="zh-CN"/>
        </w:rPr>
        <w:t>水利工程管理改革</w:t>
      </w:r>
      <w:bookmarkEnd w:id="303"/>
      <w:bookmarkEnd w:id="304"/>
      <w:bookmarkEnd w:id="305"/>
      <w:bookmarkEnd w:id="306"/>
      <w:bookmarkEnd w:id="307"/>
      <w:bookmarkEnd w:id="308"/>
      <w:bookmarkEnd w:id="309"/>
      <w:bookmarkEnd w:id="310"/>
      <w:r>
        <w:rPr>
          <w:rFonts w:hint="eastAsia"/>
          <w:b/>
          <w:bCs/>
          <w:highlight w:val="none"/>
          <w:lang w:val="en-US" w:eastAsia="zh-CN"/>
        </w:rPr>
        <w:t>。</w:t>
      </w:r>
      <w:r>
        <w:rPr>
          <w:rFonts w:hint="eastAsia"/>
          <w:highlight w:val="none"/>
          <w:lang w:val="en-US" w:eastAsia="zh-CN"/>
        </w:rPr>
        <w:t>推进水利工程管理改革，深化维修养护改革，建立市场化、专业化、社会化的维修养护体系，形成稳定经费保障和科学考核机制。构建水库现代化运管矩阵，实施“四全”管理、“四制”体系、“四预”措施、“四管”工作，提升精准化、信息化管理水平，确保水库安全运行。</w:t>
      </w:r>
    </w:p>
    <w:p>
      <w:pPr>
        <w:bidi w:val="0"/>
        <w:rPr>
          <w:rFonts w:hint="eastAsia"/>
          <w:highlight w:val="none"/>
          <w:lang w:val="en-US" w:eastAsia="zh-CN"/>
        </w:rPr>
      </w:pPr>
      <w:bookmarkStart w:id="311" w:name="_Toc5375"/>
      <w:bookmarkStart w:id="312" w:name="_Toc195289661"/>
      <w:bookmarkStart w:id="313" w:name="_Toc16905"/>
      <w:bookmarkStart w:id="314" w:name="_Toc24445"/>
      <w:bookmarkStart w:id="315" w:name="_Toc27053"/>
      <w:bookmarkStart w:id="316" w:name="_Toc815538055_WPSOffice_Level3"/>
      <w:bookmarkStart w:id="317" w:name="_Toc27828"/>
      <w:bookmarkStart w:id="318" w:name="_Toc16946"/>
      <w:r>
        <w:rPr>
          <w:rFonts w:hint="eastAsia"/>
          <w:b/>
          <w:bCs/>
          <w:highlight w:val="none"/>
          <w:lang w:val="en-US" w:eastAsia="zh-CN"/>
        </w:rPr>
        <w:t>水利投融资体制机制改革</w:t>
      </w:r>
      <w:bookmarkEnd w:id="311"/>
      <w:bookmarkEnd w:id="312"/>
      <w:bookmarkEnd w:id="313"/>
      <w:bookmarkEnd w:id="314"/>
      <w:bookmarkEnd w:id="315"/>
      <w:bookmarkEnd w:id="316"/>
      <w:bookmarkEnd w:id="317"/>
      <w:bookmarkEnd w:id="318"/>
      <w:r>
        <w:rPr>
          <w:rFonts w:hint="eastAsia"/>
          <w:b/>
          <w:bCs/>
          <w:highlight w:val="none"/>
          <w:lang w:val="en-US" w:eastAsia="zh-CN"/>
        </w:rPr>
        <w:t>。</w:t>
      </w:r>
      <w:bookmarkStart w:id="319" w:name="_Toc1864655764_WPSOffice_Level3"/>
      <w:bookmarkStart w:id="320" w:name="_Toc18505"/>
      <w:bookmarkStart w:id="321" w:name="_Toc32236"/>
      <w:bookmarkStart w:id="322" w:name="_Toc30780"/>
      <w:bookmarkStart w:id="323" w:name="_Toc195289662"/>
      <w:bookmarkStart w:id="324" w:name="_Toc14379"/>
      <w:bookmarkStart w:id="325" w:name="_Toc24521"/>
      <w:bookmarkStart w:id="326" w:name="_Toc30958"/>
      <w:r>
        <w:rPr>
          <w:rFonts w:hint="eastAsia"/>
          <w:highlight w:val="none"/>
          <w:lang w:val="en-US" w:eastAsia="zh-CN"/>
        </w:rPr>
        <w:t>坚持政府主导、社会协同，加大公共财政投入和金融支持力度，健全多元化水利投融资体系。创新投融资机制，发挥政府投资引导作用，推进国有企业市场化改革；建立监管机制防范投融资风险。</w:t>
      </w:r>
    </w:p>
    <w:p>
      <w:pPr>
        <w:bidi w:val="0"/>
        <w:rPr>
          <w:rFonts w:hint="eastAsia"/>
          <w:highlight w:val="none"/>
          <w:lang w:val="en-US" w:eastAsia="zh-CN"/>
        </w:rPr>
      </w:pPr>
      <w:r>
        <w:rPr>
          <w:rFonts w:hint="eastAsia"/>
          <w:b/>
          <w:bCs/>
          <w:highlight w:val="none"/>
          <w:lang w:val="en-US" w:eastAsia="zh-CN"/>
        </w:rPr>
        <w:t>智慧水利改革</w:t>
      </w:r>
      <w:bookmarkEnd w:id="319"/>
      <w:bookmarkEnd w:id="320"/>
      <w:bookmarkEnd w:id="321"/>
      <w:bookmarkEnd w:id="322"/>
      <w:bookmarkEnd w:id="323"/>
      <w:bookmarkEnd w:id="324"/>
      <w:bookmarkEnd w:id="325"/>
      <w:bookmarkEnd w:id="326"/>
      <w:r>
        <w:rPr>
          <w:rFonts w:hint="eastAsia"/>
          <w:b/>
          <w:bCs/>
          <w:highlight w:val="none"/>
          <w:lang w:val="en-US" w:eastAsia="zh-CN"/>
        </w:rPr>
        <w:t>。</w:t>
      </w:r>
      <w:r>
        <w:rPr>
          <w:rFonts w:hint="eastAsia"/>
          <w:highlight w:val="none"/>
          <w:lang w:val="en-US" w:eastAsia="zh-CN"/>
        </w:rPr>
        <w:t>推进智慧水利建设，按照“需求牵引、应用至上、数字赋能、提升能力”要求，运用云计算、大数据、物联网、人工智能等技术，以数字化、网络化、智能化为主线，构建具有预报、预警、预演、预案功能的智慧水利体系。坚持系统观念，做好顶层设计，建设数字孪生流域、数字孪生工程、水利业务应用和网络安全体系，全面覆盖水利业务，提升水利高质量发展能力。</w:t>
      </w:r>
    </w:p>
    <w:p>
      <w:pPr>
        <w:bidi w:val="0"/>
        <w:rPr>
          <w:rFonts w:hint="eastAsia"/>
          <w:highlight w:val="none"/>
          <w:lang w:val="en-US" w:eastAsia="zh-CN"/>
        </w:rPr>
      </w:pPr>
      <w:bookmarkStart w:id="327" w:name="_Toc6950"/>
      <w:bookmarkStart w:id="328" w:name="_Toc8097"/>
      <w:bookmarkStart w:id="329" w:name="_Toc13257"/>
      <w:bookmarkStart w:id="330" w:name="_Toc19816"/>
      <w:bookmarkStart w:id="331" w:name="_Toc195289663"/>
      <w:bookmarkStart w:id="332" w:name="_Toc30735"/>
      <w:bookmarkStart w:id="333" w:name="_Toc1757508274_WPSOffice_Level3"/>
      <w:bookmarkStart w:id="334" w:name="_Toc7115"/>
      <w:r>
        <w:rPr>
          <w:rFonts w:hint="eastAsia"/>
          <w:b/>
          <w:bCs/>
          <w:highlight w:val="none"/>
          <w:lang w:val="en-US" w:eastAsia="zh-CN"/>
        </w:rPr>
        <w:t>地下水体制机制改革</w:t>
      </w:r>
      <w:bookmarkEnd w:id="327"/>
      <w:bookmarkEnd w:id="328"/>
      <w:bookmarkEnd w:id="329"/>
      <w:bookmarkEnd w:id="330"/>
      <w:bookmarkEnd w:id="331"/>
      <w:bookmarkEnd w:id="332"/>
      <w:bookmarkEnd w:id="333"/>
      <w:bookmarkEnd w:id="334"/>
      <w:r>
        <w:rPr>
          <w:rFonts w:hint="eastAsia"/>
          <w:b/>
          <w:bCs/>
          <w:highlight w:val="none"/>
          <w:lang w:val="en-US" w:eastAsia="zh-CN"/>
        </w:rPr>
        <w:t>。</w:t>
      </w:r>
      <w:r>
        <w:rPr>
          <w:rFonts w:hint="eastAsia"/>
          <w:highlight w:val="none"/>
          <w:lang w:val="en-US" w:eastAsia="zh-CN"/>
        </w:rPr>
        <w:t>优化管理体制，加强地下水监管执法人员培训；完善“井电双控”计量设施和水位动态监测网络，发挥信息化平台实时监控作用；健全管理机制，开展沙漠区地下水调查评价和规划修编，严格执行取水许可制度，建立预警机制，每月通报地下水位变化；强化监督执法，严厉打击违法违规取用地下水行为，遏制局部区域地下水持续下降趋势。</w:t>
      </w:r>
    </w:p>
    <w:p>
      <w:pPr>
        <w:pStyle w:val="4"/>
        <w:numPr>
          <w:ilvl w:val="2"/>
          <w:numId w:val="0"/>
        </w:numPr>
        <w:bidi w:val="0"/>
        <w:ind w:leftChars="200"/>
        <w:rPr>
          <w:rFonts w:hint="eastAsia"/>
          <w:color w:val="auto"/>
          <w:highlight w:val="none"/>
          <w:lang w:val="en-US" w:eastAsia="zh-CN"/>
        </w:rPr>
      </w:pPr>
      <w:bookmarkStart w:id="335" w:name="_Toc195289665"/>
      <w:bookmarkStart w:id="336" w:name="_Toc7095"/>
      <w:bookmarkStart w:id="337" w:name="_Toc856538129_WPSOffice_Level2"/>
      <w:bookmarkStart w:id="338" w:name="_Toc17553"/>
      <w:r>
        <w:rPr>
          <w:rFonts w:hint="eastAsia"/>
          <w:color w:val="auto"/>
          <w:highlight w:val="none"/>
          <w:lang w:val="en-US" w:eastAsia="zh-CN"/>
        </w:rPr>
        <w:t>（四十一）提升水利行业能力</w:t>
      </w:r>
      <w:bookmarkEnd w:id="335"/>
      <w:bookmarkEnd w:id="336"/>
      <w:bookmarkEnd w:id="337"/>
      <w:bookmarkEnd w:id="338"/>
    </w:p>
    <w:p>
      <w:pPr>
        <w:bidi w:val="0"/>
        <w:rPr>
          <w:rFonts w:hint="eastAsia"/>
          <w:highlight w:val="none"/>
          <w:lang w:val="en-US" w:eastAsia="zh-CN"/>
        </w:rPr>
      </w:pPr>
      <w:bookmarkStart w:id="339" w:name="_Toc15245"/>
      <w:bookmarkStart w:id="340" w:name="_Toc556790162_WPSOffice_Level3"/>
      <w:bookmarkStart w:id="341" w:name="_Toc17533"/>
      <w:bookmarkStart w:id="342" w:name="_Toc21255"/>
      <w:bookmarkStart w:id="343" w:name="_Toc32269"/>
      <w:bookmarkStart w:id="344" w:name="_Toc195289666"/>
      <w:bookmarkStart w:id="345" w:name="_Toc21974"/>
      <w:bookmarkStart w:id="346" w:name="_Toc935"/>
      <w:r>
        <w:rPr>
          <w:rFonts w:hint="eastAsia"/>
          <w:highlight w:val="none"/>
          <w:lang w:eastAsia="zh-CN"/>
        </w:rPr>
        <w:t>“</w:t>
      </w:r>
      <w:r>
        <w:rPr>
          <w:rFonts w:hint="eastAsia"/>
          <w:highlight w:val="none"/>
          <w:lang w:val="en-US" w:eastAsia="zh-CN"/>
        </w:rPr>
        <w:t>十五五</w:t>
      </w:r>
      <w:r>
        <w:rPr>
          <w:rFonts w:hint="eastAsia"/>
          <w:highlight w:val="none"/>
          <w:lang w:eastAsia="zh-CN"/>
        </w:rPr>
        <w:t>”</w:t>
      </w:r>
      <w:r>
        <w:rPr>
          <w:rFonts w:hint="eastAsia"/>
          <w:highlight w:val="none"/>
          <w:lang w:val="en-US" w:eastAsia="zh-CN"/>
        </w:rPr>
        <w:t>时期是我国加快建设国家水网、推动水利高质量发展的攻坚期，水安全保障规划必须坚持</w:t>
      </w:r>
      <w:r>
        <w:rPr>
          <w:rFonts w:hint="eastAsia"/>
          <w:highlight w:val="none"/>
          <w:lang w:eastAsia="zh-CN"/>
        </w:rPr>
        <w:t>“</w:t>
      </w:r>
      <w:r>
        <w:rPr>
          <w:rFonts w:hint="eastAsia"/>
          <w:highlight w:val="none"/>
          <w:lang w:val="en-US" w:eastAsia="zh-CN"/>
        </w:rPr>
        <w:t>硬投资</w:t>
      </w:r>
      <w:r>
        <w:rPr>
          <w:rFonts w:hint="eastAsia"/>
          <w:highlight w:val="none"/>
          <w:lang w:eastAsia="zh-CN"/>
        </w:rPr>
        <w:t>”</w:t>
      </w:r>
      <w:r>
        <w:rPr>
          <w:rFonts w:hint="eastAsia"/>
          <w:highlight w:val="none"/>
          <w:lang w:val="en-US" w:eastAsia="zh-CN"/>
        </w:rPr>
        <w:t>与</w:t>
      </w:r>
      <w:r>
        <w:rPr>
          <w:rFonts w:hint="eastAsia"/>
          <w:highlight w:val="none"/>
          <w:lang w:eastAsia="zh-CN"/>
        </w:rPr>
        <w:t>“</w:t>
      </w:r>
      <w:r>
        <w:rPr>
          <w:rFonts w:hint="eastAsia"/>
          <w:highlight w:val="none"/>
          <w:lang w:val="en-US" w:eastAsia="zh-CN"/>
        </w:rPr>
        <w:t>软建设</w:t>
      </w:r>
      <w:r>
        <w:rPr>
          <w:rFonts w:hint="eastAsia"/>
          <w:highlight w:val="none"/>
          <w:lang w:eastAsia="zh-CN"/>
        </w:rPr>
        <w:t>”</w:t>
      </w:r>
      <w:r>
        <w:rPr>
          <w:rFonts w:hint="eastAsia"/>
          <w:highlight w:val="none"/>
          <w:lang w:val="en-US" w:eastAsia="zh-CN"/>
        </w:rPr>
        <w:t>双轮驱动、同向发力。</w:t>
      </w:r>
      <w:r>
        <w:rPr>
          <w:rFonts w:hint="eastAsia"/>
          <w:highlight w:val="none"/>
          <w:lang w:eastAsia="zh-CN"/>
        </w:rPr>
        <w:t>“</w:t>
      </w:r>
      <w:r>
        <w:rPr>
          <w:rFonts w:hint="eastAsia"/>
          <w:highlight w:val="none"/>
          <w:lang w:val="en-US" w:eastAsia="zh-CN"/>
        </w:rPr>
        <w:t>软建设</w:t>
      </w:r>
      <w:r>
        <w:rPr>
          <w:rFonts w:hint="eastAsia"/>
          <w:highlight w:val="none"/>
          <w:lang w:eastAsia="zh-CN"/>
        </w:rPr>
        <w:t>”</w:t>
      </w:r>
      <w:r>
        <w:rPr>
          <w:rFonts w:hint="eastAsia"/>
          <w:highlight w:val="none"/>
          <w:lang w:val="en-US" w:eastAsia="zh-CN"/>
        </w:rPr>
        <w:t>，涵盖</w:t>
      </w:r>
      <w:r>
        <w:rPr>
          <w:rFonts w:hint="default"/>
          <w:highlight w:val="none"/>
          <w:lang w:val="en-US" w:eastAsia="zh-CN"/>
        </w:rPr>
        <w:t>体制机制创新、智慧水利赋能、科学决策支撑的全方位变革，是破解</w:t>
      </w:r>
      <w:r>
        <w:rPr>
          <w:rFonts w:hint="eastAsia"/>
          <w:highlight w:val="none"/>
          <w:lang w:eastAsia="zh-CN"/>
        </w:rPr>
        <w:t>“</w:t>
      </w:r>
      <w:r>
        <w:rPr>
          <w:rFonts w:hint="default"/>
          <w:highlight w:val="none"/>
          <w:lang w:val="en-US" w:eastAsia="zh-CN"/>
        </w:rPr>
        <w:t>重建轻管</w:t>
      </w:r>
      <w:r>
        <w:rPr>
          <w:rFonts w:hint="eastAsia"/>
          <w:highlight w:val="none"/>
          <w:lang w:eastAsia="zh-CN"/>
        </w:rPr>
        <w:t>”</w:t>
      </w:r>
      <w:r>
        <w:rPr>
          <w:rFonts w:hint="default"/>
          <w:highlight w:val="none"/>
          <w:lang w:val="en-US" w:eastAsia="zh-CN"/>
        </w:rPr>
        <w:t>困局、实现水利工程全生命周期效益的关键路径。</w:t>
      </w:r>
    </w:p>
    <w:bookmarkEnd w:id="339"/>
    <w:bookmarkEnd w:id="340"/>
    <w:bookmarkEnd w:id="341"/>
    <w:bookmarkEnd w:id="342"/>
    <w:bookmarkEnd w:id="343"/>
    <w:bookmarkEnd w:id="344"/>
    <w:bookmarkEnd w:id="345"/>
    <w:bookmarkEnd w:id="346"/>
    <w:p>
      <w:pPr>
        <w:bidi w:val="0"/>
        <w:rPr>
          <w:rFonts w:hint="eastAsia"/>
          <w:highlight w:val="none"/>
        </w:rPr>
      </w:pPr>
      <w:r>
        <w:rPr>
          <w:rFonts w:hint="eastAsia"/>
          <w:b/>
          <w:bCs/>
          <w:highlight w:val="none"/>
        </w:rPr>
        <w:t>健全水利科技发展体制机制</w:t>
      </w:r>
      <w:r>
        <w:rPr>
          <w:rFonts w:hint="eastAsia"/>
          <w:b/>
          <w:bCs/>
          <w:highlight w:val="none"/>
          <w:lang w:eastAsia="zh-CN"/>
        </w:rPr>
        <w:t>。</w:t>
      </w:r>
      <w:r>
        <w:rPr>
          <w:rFonts w:hint="eastAsia"/>
          <w:highlight w:val="none"/>
        </w:rPr>
        <w:t>依托水利系统和科研机构建设科技创新合作平台，建立多元化科研经费投入机制，在重点水利工程推行</w:t>
      </w:r>
      <w:r>
        <w:rPr>
          <w:rFonts w:hint="eastAsia"/>
          <w:highlight w:val="none"/>
          <w:lang w:eastAsia="zh-CN"/>
        </w:rPr>
        <w:t>“</w:t>
      </w:r>
      <w:r>
        <w:rPr>
          <w:rFonts w:hint="eastAsia"/>
          <w:highlight w:val="none"/>
        </w:rPr>
        <w:t>工程带科研、科研促建设</w:t>
      </w:r>
      <w:r>
        <w:rPr>
          <w:rFonts w:hint="eastAsia"/>
          <w:highlight w:val="none"/>
          <w:lang w:eastAsia="zh-CN"/>
        </w:rPr>
        <w:t>”</w:t>
      </w:r>
      <w:r>
        <w:rPr>
          <w:rFonts w:hint="eastAsia"/>
          <w:highlight w:val="none"/>
        </w:rPr>
        <w:t>模式，加强技术引进推广，完善激励机制，提升水利科技服务水平。</w:t>
      </w:r>
    </w:p>
    <w:p>
      <w:pPr>
        <w:bidi w:val="0"/>
        <w:rPr>
          <w:rFonts w:hint="eastAsia"/>
          <w:highlight w:val="none"/>
        </w:rPr>
      </w:pPr>
      <w:r>
        <w:rPr>
          <w:rFonts w:hint="eastAsia"/>
          <w:b/>
          <w:bCs/>
          <w:highlight w:val="none"/>
        </w:rPr>
        <w:t>全面推进水利人才队伍建设</w:t>
      </w:r>
      <w:r>
        <w:rPr>
          <w:rFonts w:hint="eastAsia"/>
          <w:b/>
          <w:bCs/>
          <w:highlight w:val="none"/>
          <w:lang w:eastAsia="zh-CN"/>
        </w:rPr>
        <w:t>。</w:t>
      </w:r>
      <w:r>
        <w:rPr>
          <w:rFonts w:hint="eastAsia"/>
          <w:highlight w:val="none"/>
        </w:rPr>
        <w:t>优化人才队伍结构，推动干部年轻化，到</w:t>
      </w:r>
      <w:r>
        <w:rPr>
          <w:rFonts w:hint="eastAsia"/>
          <w:highlight w:val="none"/>
          <w:lang w:eastAsia="zh-CN"/>
        </w:rPr>
        <w:t>“</w:t>
      </w:r>
      <w:r>
        <w:rPr>
          <w:rFonts w:hint="eastAsia"/>
          <w:highlight w:val="none"/>
        </w:rPr>
        <w:t>十五五</w:t>
      </w:r>
      <w:r>
        <w:rPr>
          <w:rFonts w:hint="eastAsia"/>
          <w:highlight w:val="none"/>
          <w:lang w:eastAsia="zh-CN"/>
        </w:rPr>
        <w:t>”</w:t>
      </w:r>
      <w:r>
        <w:rPr>
          <w:rFonts w:hint="eastAsia"/>
          <w:highlight w:val="none"/>
        </w:rPr>
        <w:t>末本科及以上学历占比达40%以上；加大地县、兵地、疆内外人才交流，用好援疆资源；引进智慧水利、生态水利等新兴领域人才，培养</w:t>
      </w:r>
      <w:r>
        <w:rPr>
          <w:rFonts w:hint="eastAsia"/>
          <w:highlight w:val="none"/>
          <w:lang w:eastAsia="zh-CN"/>
        </w:rPr>
        <w:t>“</w:t>
      </w:r>
      <w:r>
        <w:rPr>
          <w:rFonts w:hint="eastAsia"/>
          <w:highlight w:val="none"/>
        </w:rPr>
        <w:t>水利+数字化</w:t>
      </w:r>
      <w:r>
        <w:rPr>
          <w:rFonts w:hint="eastAsia"/>
          <w:highlight w:val="none"/>
          <w:lang w:eastAsia="zh-CN"/>
        </w:rPr>
        <w:t>”</w:t>
      </w:r>
      <w:r>
        <w:rPr>
          <w:rFonts w:hint="eastAsia"/>
          <w:highlight w:val="none"/>
        </w:rPr>
        <w:t>复合型人才；深化职称评审机制，增设水利信息化等新专业，建立分类评价机制。</w:t>
      </w:r>
    </w:p>
    <w:p>
      <w:pPr>
        <w:bidi w:val="0"/>
        <w:rPr>
          <w:rFonts w:hint="eastAsia"/>
          <w:highlight w:val="none"/>
        </w:rPr>
      </w:pPr>
      <w:bookmarkStart w:id="347" w:name="_Toc14642"/>
      <w:bookmarkStart w:id="348" w:name="_Toc241726111_WPSOffice_Level3"/>
      <w:bookmarkStart w:id="349" w:name="_Toc9759"/>
      <w:bookmarkStart w:id="350" w:name="_Toc8422"/>
      <w:bookmarkStart w:id="351" w:name="_Toc195289668"/>
      <w:bookmarkStart w:id="352" w:name="_Toc5369"/>
      <w:bookmarkStart w:id="353" w:name="_Toc17926"/>
      <w:bookmarkStart w:id="354" w:name="_Toc27471"/>
      <w:r>
        <w:rPr>
          <w:rFonts w:hint="eastAsia"/>
          <w:b/>
          <w:bCs/>
          <w:highlight w:val="none"/>
          <w:lang w:val="en-US" w:eastAsia="zh-CN"/>
        </w:rPr>
        <w:t>水利信息化建设</w:t>
      </w:r>
      <w:bookmarkEnd w:id="347"/>
      <w:bookmarkEnd w:id="348"/>
      <w:bookmarkEnd w:id="349"/>
      <w:bookmarkEnd w:id="350"/>
      <w:bookmarkEnd w:id="351"/>
      <w:bookmarkEnd w:id="352"/>
      <w:bookmarkEnd w:id="353"/>
      <w:bookmarkEnd w:id="354"/>
      <w:r>
        <w:rPr>
          <w:rFonts w:hint="eastAsia"/>
          <w:b/>
          <w:bCs/>
          <w:highlight w:val="none"/>
          <w:lang w:val="en-US" w:eastAsia="zh-CN"/>
        </w:rPr>
        <w:t>。</w:t>
      </w:r>
      <w:r>
        <w:rPr>
          <w:rFonts w:hint="eastAsia"/>
          <w:highlight w:val="none"/>
          <w:lang w:val="en-US" w:eastAsia="zh-CN"/>
        </w:rPr>
        <w:t>围绕自治区水安全战略，喀什地区水利信息化秉持适度适用原则，利用云计算、物联网、大数据等新技术，按照</w:t>
      </w:r>
      <w:r>
        <w:rPr>
          <w:rFonts w:hint="eastAsia"/>
          <w:highlight w:val="none"/>
          <w:lang w:eastAsia="zh-CN"/>
        </w:rPr>
        <w:t>“</w:t>
      </w:r>
      <w:r>
        <w:rPr>
          <w:rFonts w:hint="eastAsia"/>
          <w:highlight w:val="none"/>
        </w:rPr>
        <w:t>五统一</w:t>
      </w:r>
      <w:r>
        <w:rPr>
          <w:rFonts w:hint="eastAsia"/>
          <w:highlight w:val="none"/>
          <w:lang w:eastAsia="zh-CN"/>
        </w:rPr>
        <w:t>”</w:t>
      </w:r>
      <w:r>
        <w:rPr>
          <w:rFonts w:hint="eastAsia"/>
          <w:highlight w:val="none"/>
          <w:lang w:val="en-US" w:eastAsia="zh-CN"/>
        </w:rPr>
        <w:t>原则构建基础设施、信息资源、业务应用、网络安全、保障体系五大体系，确保与水利部、水利厅平台兼容，为水利发展提供全面支撑。</w:t>
      </w:r>
    </w:p>
    <w:p>
      <w:pPr>
        <w:pStyle w:val="4"/>
        <w:numPr>
          <w:ilvl w:val="2"/>
          <w:numId w:val="0"/>
        </w:numPr>
        <w:bidi w:val="0"/>
        <w:ind w:leftChars="200"/>
        <w:rPr>
          <w:rFonts w:hint="eastAsia"/>
          <w:color w:val="auto"/>
          <w:highlight w:val="none"/>
          <w:lang w:val="en-US" w:eastAsia="zh-CN"/>
        </w:rPr>
      </w:pPr>
      <w:bookmarkStart w:id="355" w:name="_Toc195289669"/>
      <w:bookmarkStart w:id="356" w:name="_Toc93906602"/>
      <w:bookmarkStart w:id="357" w:name="_Toc2007466281_WPSOffice_Level2"/>
      <w:bookmarkStart w:id="358" w:name="_Toc17913"/>
      <w:bookmarkStart w:id="359" w:name="_Toc1609526517"/>
      <w:bookmarkStart w:id="360" w:name="_Toc4960"/>
      <w:r>
        <w:rPr>
          <w:rFonts w:hint="eastAsia"/>
          <w:color w:val="auto"/>
          <w:highlight w:val="none"/>
          <w:lang w:val="en-US" w:eastAsia="zh-CN"/>
        </w:rPr>
        <w:t>(四十二）水文化建设和水情教育</w:t>
      </w:r>
      <w:bookmarkEnd w:id="355"/>
      <w:bookmarkEnd w:id="356"/>
      <w:bookmarkEnd w:id="357"/>
      <w:bookmarkEnd w:id="358"/>
      <w:bookmarkEnd w:id="359"/>
      <w:bookmarkEnd w:id="360"/>
    </w:p>
    <w:p>
      <w:pPr>
        <w:bidi w:val="0"/>
        <w:rPr>
          <w:rFonts w:hint="eastAsia"/>
          <w:color w:val="auto"/>
          <w:highlight w:val="none"/>
        </w:rPr>
      </w:pPr>
      <w:r>
        <w:rPr>
          <w:rFonts w:hint="eastAsia"/>
          <w:color w:val="auto"/>
          <w:highlight w:val="none"/>
        </w:rPr>
        <w:t>积极践行文化润疆要求，以保护、传承、利用和弘扬水文化为主线，加强水文化建设。因地制宜组织开展水文化遗产调查和认定，积极推动水利遗产列入国家文化遗产名录，开展水文化研究，挖掘水文化蕴含的时代价值，做好遗产保护及宣讲教育工作；在满足水利工程运行安全和生态安全的基础上，谋划开展水利风景区创建，积极组织申报水利风景区，加快水文化与现代城市发展的有机融合，推动丝绸之路核心区建设、城乡融合发展和高质量发展；依托喀什地区现有水利设施、水利风景区、重要水源地等，</w:t>
      </w:r>
      <w:r>
        <w:rPr>
          <w:rFonts w:hint="eastAsia"/>
          <w:color w:val="auto"/>
          <w:highlight w:val="none"/>
          <w:lang w:eastAsia="zh-CN"/>
        </w:rPr>
        <w:t>加大</w:t>
      </w:r>
      <w:r>
        <w:rPr>
          <w:rFonts w:hint="eastAsia"/>
          <w:color w:val="auto"/>
          <w:highlight w:val="none"/>
        </w:rPr>
        <w:t>水情与水安全宣传教育力度，鼓励有条件的地方建立水情教育基地，积极开展</w:t>
      </w:r>
      <w:r>
        <w:rPr>
          <w:rFonts w:hint="eastAsia"/>
          <w:color w:val="auto"/>
          <w:highlight w:val="none"/>
          <w:lang w:eastAsia="zh-CN"/>
        </w:rPr>
        <w:t>“</w:t>
      </w:r>
      <w:r>
        <w:rPr>
          <w:rFonts w:hint="eastAsia"/>
          <w:color w:val="auto"/>
          <w:highlight w:val="none"/>
        </w:rPr>
        <w:t>世界水日</w:t>
      </w:r>
      <w:r>
        <w:rPr>
          <w:rFonts w:hint="eastAsia"/>
          <w:color w:val="auto"/>
          <w:highlight w:val="none"/>
          <w:lang w:eastAsia="zh-CN"/>
        </w:rPr>
        <w:t>”</w:t>
      </w:r>
      <w:r>
        <w:rPr>
          <w:rFonts w:hint="eastAsia"/>
          <w:color w:val="auto"/>
          <w:highlight w:val="none"/>
        </w:rPr>
        <w:t>和</w:t>
      </w:r>
      <w:r>
        <w:rPr>
          <w:rFonts w:hint="eastAsia"/>
          <w:color w:val="auto"/>
          <w:highlight w:val="none"/>
          <w:lang w:eastAsia="zh-CN"/>
        </w:rPr>
        <w:t>“</w:t>
      </w:r>
      <w:r>
        <w:rPr>
          <w:rFonts w:hint="eastAsia"/>
          <w:color w:val="auto"/>
          <w:highlight w:val="none"/>
        </w:rPr>
        <w:t>中国水周</w:t>
      </w:r>
      <w:r>
        <w:rPr>
          <w:rFonts w:hint="eastAsia"/>
          <w:color w:val="auto"/>
          <w:highlight w:val="none"/>
          <w:lang w:eastAsia="zh-CN"/>
        </w:rPr>
        <w:t>”</w:t>
      </w:r>
      <w:r>
        <w:rPr>
          <w:rFonts w:hint="eastAsia"/>
          <w:color w:val="auto"/>
          <w:highlight w:val="none"/>
        </w:rPr>
        <w:t>水利科普系列宣传活动，加强对水状况、水政策、水法规、水常识、水科技和水文化的宣传教育力度，倡导节约用水理念，提高全社会的水忧患和亲水、护水意识，增强公众水安全风险观念。</w:t>
      </w:r>
      <w:bookmarkStart w:id="361" w:name="_Toc19296"/>
      <w:bookmarkStart w:id="362" w:name="_Toc195289670"/>
      <w:bookmarkStart w:id="363" w:name="_Toc554"/>
    </w:p>
    <w:p>
      <w:pPr>
        <w:pStyle w:val="3"/>
        <w:bidi w:val="0"/>
        <w:rPr>
          <w:rFonts w:hint="eastAsia"/>
          <w:color w:val="auto"/>
          <w:highlight w:val="none"/>
          <w:lang w:val="en-US" w:eastAsia="zh-CN"/>
        </w:rPr>
      </w:pPr>
      <w:bookmarkStart w:id="364" w:name="_Toc10811"/>
      <w:r>
        <w:rPr>
          <w:rFonts w:hint="eastAsia"/>
          <w:color w:val="auto"/>
          <w:highlight w:val="none"/>
          <w:lang w:val="en-US" w:eastAsia="zh-CN"/>
        </w:rPr>
        <w:t>八、环境影响评价</w:t>
      </w:r>
      <w:bookmarkEnd w:id="364"/>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（四十三）规划符合性分析</w:t>
      </w:r>
    </w:p>
    <w:p>
      <w:pPr>
        <w:bidi w:val="0"/>
        <w:rPr>
          <w:rFonts w:hint="eastAsia" w:ascii="Times New Roman" w:hAnsi="Times New Roman" w:cs="Times New Roman"/>
          <w:highlight w:val="none"/>
          <w:lang w:val="en-US" w:eastAsia="zh-CN"/>
        </w:rPr>
      </w:pPr>
      <w:r>
        <w:rPr>
          <w:rFonts w:hint="eastAsia"/>
          <w:b/>
          <w:bCs/>
          <w:highlight w:val="none"/>
          <w:lang w:val="en-US" w:eastAsia="zh-CN"/>
        </w:rPr>
        <w:t>与法律法规的符合性。</w:t>
      </w:r>
      <w:r>
        <w:rPr>
          <w:rFonts w:hint="eastAsia" w:ascii="Times New Roman" w:hAnsi="Times New Roman" w:cs="Times New Roman"/>
          <w:highlight w:val="none"/>
          <w:lang w:val="en-US" w:eastAsia="zh-CN"/>
        </w:rPr>
        <w:t>规划总体符合《中华人民共和国生态环境法典》（2026年8月15日施行）、《中华人民共和国河道管理条例》（2017年10月）、《中华人民共和国湿地保护法》（2021年12月）、《中华人民共和国自然保护区条例》（2017年10月）、《水产种质资源保护区暂行管理办法》（2011年3月）、《产业结构调整指导目录（2024年本）》等相关规定。</w:t>
      </w:r>
    </w:p>
    <w:p>
      <w:pPr>
        <w:bidi w:val="0"/>
        <w:rPr>
          <w:rFonts w:hint="eastAsia"/>
          <w:highlight w:val="none"/>
          <w:lang w:val="en-US" w:eastAsia="zh-CN"/>
        </w:rPr>
      </w:pPr>
      <w:r>
        <w:rPr>
          <w:rFonts w:hint="eastAsia"/>
          <w:highlight w:val="none"/>
          <w:lang w:val="en-US" w:eastAsia="zh-CN"/>
        </w:rPr>
        <w:t>在规划具体实施时，要注重工程总体布局、建设内容以及规模等分析论证工作，以符合《新疆维吾尔自治区主体功能区规划》《新疆维吾尔自治区生态环境分区管控动态更新成果》（新环环评发〔2024〕57号）、</w:t>
      </w:r>
      <w:r>
        <w:rPr>
          <w:rFonts w:hint="default"/>
          <w:highlight w:val="none"/>
          <w:lang w:val="en-US" w:eastAsia="zh-CN"/>
        </w:rPr>
        <w:t>《喀什地区“三线一单”生态环境分区管控方案（2023年版）修改单》</w:t>
      </w:r>
      <w:r>
        <w:rPr>
          <w:rFonts w:hint="eastAsia"/>
          <w:highlight w:val="none"/>
          <w:lang w:val="en-US" w:eastAsia="zh-CN"/>
        </w:rPr>
        <w:t>等相关规定。</w:t>
      </w:r>
    </w:p>
    <w:p>
      <w:pPr>
        <w:bidi w:val="0"/>
        <w:rPr>
          <w:rFonts w:hint="eastAsia"/>
          <w:highlight w:val="none"/>
          <w:lang w:val="en-US" w:eastAsia="zh-CN"/>
        </w:rPr>
      </w:pPr>
      <w:r>
        <w:rPr>
          <w:rFonts w:hint="eastAsia"/>
          <w:b/>
          <w:bCs/>
          <w:highlight w:val="none"/>
          <w:lang w:val="en-US" w:eastAsia="zh-CN"/>
        </w:rPr>
        <w:t>与相关规划的符合性。与喀什地区经济发展规划的符合性。</w:t>
      </w:r>
      <w:r>
        <w:rPr>
          <w:rFonts w:hint="eastAsia"/>
          <w:highlight w:val="none"/>
          <w:lang w:val="en-US" w:eastAsia="zh-CN"/>
        </w:rPr>
        <w:t>本次</w:t>
      </w:r>
      <w:r>
        <w:rPr>
          <w:rFonts w:hint="eastAsia"/>
          <w:highlight w:val="none"/>
        </w:rPr>
        <w:t>按照</w:t>
      </w:r>
      <w:r>
        <w:rPr>
          <w:rFonts w:hint="eastAsia"/>
          <w:highlight w:val="none"/>
          <w:lang w:eastAsia="zh-CN"/>
        </w:rPr>
        <w:t>“</w:t>
      </w:r>
      <w:r>
        <w:rPr>
          <w:highlight w:val="none"/>
        </w:rPr>
        <w:t>节水优先、空间均衡、系统治理、两手发力</w:t>
      </w:r>
      <w:r>
        <w:rPr>
          <w:rFonts w:hint="eastAsia"/>
          <w:highlight w:val="none"/>
          <w:lang w:eastAsia="zh-CN"/>
        </w:rPr>
        <w:t>”</w:t>
      </w:r>
      <w:r>
        <w:rPr>
          <w:highlight w:val="none"/>
        </w:rPr>
        <w:t>的治水思路，遵循</w:t>
      </w:r>
      <w:r>
        <w:rPr>
          <w:rFonts w:hint="eastAsia"/>
          <w:highlight w:val="none"/>
          <w:lang w:eastAsia="zh-CN"/>
        </w:rPr>
        <w:t>“</w:t>
      </w:r>
      <w:r>
        <w:rPr>
          <w:highlight w:val="none"/>
        </w:rPr>
        <w:t>确有需要、生态安全、可以持续</w:t>
      </w:r>
      <w:r>
        <w:rPr>
          <w:rFonts w:hint="eastAsia"/>
          <w:highlight w:val="none"/>
          <w:lang w:eastAsia="zh-CN"/>
        </w:rPr>
        <w:t>”</w:t>
      </w:r>
      <w:r>
        <w:rPr>
          <w:highlight w:val="none"/>
        </w:rPr>
        <w:t>的原则，</w:t>
      </w:r>
      <w:r>
        <w:rPr>
          <w:rFonts w:hint="default"/>
          <w:highlight w:val="none"/>
          <w:lang w:val="en-US" w:eastAsia="zh-CN"/>
        </w:rPr>
        <w:t>紧紧围绕国家重大战略</w:t>
      </w:r>
      <w:r>
        <w:rPr>
          <w:rFonts w:hint="eastAsia"/>
          <w:highlight w:val="none"/>
          <w:lang w:val="en-US" w:eastAsia="zh-CN"/>
        </w:rPr>
        <w:t>，</w:t>
      </w:r>
      <w:r>
        <w:rPr>
          <w:rFonts w:hint="default"/>
          <w:highlight w:val="none"/>
          <w:lang w:val="en-US" w:eastAsia="zh-CN"/>
        </w:rPr>
        <w:t>以问题为导向、以需求为牵引</w:t>
      </w:r>
      <w:r>
        <w:rPr>
          <w:rFonts w:hint="eastAsia"/>
          <w:highlight w:val="none"/>
          <w:lang w:val="en-US" w:eastAsia="zh-CN"/>
        </w:rPr>
        <w:t>，</w:t>
      </w:r>
      <w:r>
        <w:rPr>
          <w:rFonts w:hint="default"/>
          <w:highlight w:val="none"/>
          <w:lang w:val="en-US" w:eastAsia="zh-CN"/>
        </w:rPr>
        <w:t>以</w:t>
      </w:r>
      <w:r>
        <w:rPr>
          <w:highlight w:val="none"/>
        </w:rPr>
        <w:t>完善</w:t>
      </w:r>
      <w:r>
        <w:rPr>
          <w:rFonts w:hint="eastAsia"/>
          <w:highlight w:val="none"/>
          <w:lang w:val="en-US" w:eastAsia="zh-CN"/>
        </w:rPr>
        <w:t>水旱灾害防御体系、</w:t>
      </w:r>
      <w:r>
        <w:rPr>
          <w:highlight w:val="none"/>
        </w:rPr>
        <w:t>水资源</w:t>
      </w:r>
      <w:r>
        <w:rPr>
          <w:rFonts w:hint="eastAsia"/>
          <w:highlight w:val="none"/>
          <w:lang w:val="en-US" w:eastAsia="zh-CN"/>
        </w:rPr>
        <w:t>节约集约利用体系、水网工程体系、复苏河湖生态环境治理体系、现代化水治理能力与管理体系及推进智慧水利建设</w:t>
      </w:r>
      <w:r>
        <w:rPr>
          <w:rFonts w:hint="default"/>
          <w:highlight w:val="none"/>
          <w:lang w:val="en-US" w:eastAsia="zh-CN"/>
        </w:rPr>
        <w:t>为目标，</w:t>
      </w:r>
      <w:r>
        <w:rPr>
          <w:highlight w:val="none"/>
        </w:rPr>
        <w:t>在</w:t>
      </w:r>
      <w:r>
        <w:rPr>
          <w:rFonts w:hint="eastAsia"/>
          <w:highlight w:val="none"/>
          <w:lang w:eastAsia="zh-CN"/>
        </w:rPr>
        <w:t>喀什地区水网</w:t>
      </w:r>
      <w:r>
        <w:rPr>
          <w:highlight w:val="none"/>
        </w:rPr>
        <w:t>总体布局</w:t>
      </w:r>
      <w:r>
        <w:rPr>
          <w:rFonts w:hint="eastAsia"/>
          <w:highlight w:val="none"/>
        </w:rPr>
        <w:t>和流域综合规划的</w:t>
      </w:r>
      <w:r>
        <w:rPr>
          <w:highlight w:val="none"/>
        </w:rPr>
        <w:t>基础上，统筹谋划了喀什地区</w:t>
      </w:r>
      <w:r>
        <w:rPr>
          <w:rFonts w:hint="eastAsia"/>
          <w:highlight w:val="none"/>
          <w:lang w:eastAsia="zh-CN"/>
        </w:rPr>
        <w:t>“</w:t>
      </w:r>
      <w:r>
        <w:rPr>
          <w:rFonts w:hint="eastAsia"/>
          <w:highlight w:val="none"/>
        </w:rPr>
        <w:t>十五五</w:t>
      </w:r>
      <w:r>
        <w:rPr>
          <w:rFonts w:hint="eastAsia"/>
          <w:highlight w:val="none"/>
          <w:lang w:eastAsia="zh-CN"/>
        </w:rPr>
        <w:t>”</w:t>
      </w:r>
      <w:r>
        <w:rPr>
          <w:rFonts w:hint="eastAsia"/>
          <w:highlight w:val="none"/>
        </w:rPr>
        <w:t>水利基础设施</w:t>
      </w:r>
      <w:r>
        <w:rPr>
          <w:highlight w:val="none"/>
        </w:rPr>
        <w:t>建设任务</w:t>
      </w:r>
      <w:r>
        <w:rPr>
          <w:rFonts w:hint="eastAsia"/>
          <w:highlight w:val="none"/>
          <w:lang w:eastAsia="zh-CN"/>
        </w:rPr>
        <w:t>，</w:t>
      </w:r>
      <w:r>
        <w:rPr>
          <w:highlight w:val="none"/>
        </w:rPr>
        <w:t>逐步构建</w:t>
      </w:r>
      <w:r>
        <w:rPr>
          <w:rFonts w:hint="eastAsia"/>
          <w:highlight w:val="none"/>
          <w:lang w:eastAsia="zh-CN"/>
        </w:rPr>
        <w:t>“</w:t>
      </w:r>
      <w:r>
        <w:rPr>
          <w:highlight w:val="none"/>
        </w:rPr>
        <w:t>系统完备、安全可靠、集约高效、调控有序</w:t>
      </w:r>
      <w:r>
        <w:rPr>
          <w:rFonts w:hint="eastAsia"/>
          <w:highlight w:val="none"/>
          <w:lang w:eastAsia="zh-CN"/>
        </w:rPr>
        <w:t>”</w:t>
      </w:r>
      <w:r>
        <w:rPr>
          <w:rFonts w:hint="eastAsia"/>
          <w:highlight w:val="none"/>
          <w:lang w:val="en-US" w:eastAsia="zh-CN"/>
        </w:rPr>
        <w:t>喀什地区</w:t>
      </w:r>
      <w:r>
        <w:rPr>
          <w:highlight w:val="none"/>
        </w:rPr>
        <w:t>现代水安全保障体系。</w:t>
      </w:r>
      <w:r>
        <w:rPr>
          <w:rFonts w:hint="eastAsia"/>
          <w:highlight w:val="none"/>
          <w:lang w:val="en-US" w:eastAsia="zh-CN"/>
        </w:rPr>
        <w:t>因此，规划方案符合喀什地区经济发展规划与产业布局总体要求。</w:t>
      </w:r>
      <w:r>
        <w:rPr>
          <w:rFonts w:hint="eastAsia"/>
          <w:b/>
          <w:bCs/>
          <w:highlight w:val="none"/>
          <w:lang w:val="en-US" w:eastAsia="zh-CN"/>
        </w:rPr>
        <w:t>与相关流域规划的协调性。</w:t>
      </w:r>
      <w:r>
        <w:rPr>
          <w:rFonts w:hint="eastAsia"/>
          <w:highlight w:val="none"/>
          <w:lang w:val="en-US" w:eastAsia="zh-CN"/>
        </w:rPr>
        <w:t>水安全保障规划的工程措施与环境影响密切相关，其制定与实施必须与相关流域规划保持高度协调，实现流域综合治理目标。具体而言，在规划层面，工程布局需服从流域综合规划，通过多方案比选优先选择对生态环境影响最小的方案，并严格对照</w:t>
      </w:r>
      <w:r>
        <w:rPr>
          <w:rFonts w:hint="eastAsia"/>
          <w:highlight w:val="none"/>
          <w:lang w:eastAsia="zh-CN"/>
        </w:rPr>
        <w:t>“</w:t>
      </w:r>
      <w:r>
        <w:rPr>
          <w:rFonts w:hint="eastAsia"/>
          <w:highlight w:val="none"/>
          <w:lang w:val="en-US" w:eastAsia="zh-CN"/>
        </w:rPr>
        <w:t>三线一单</w:t>
      </w:r>
      <w:r>
        <w:rPr>
          <w:rFonts w:hint="eastAsia"/>
          <w:highlight w:val="none"/>
          <w:lang w:eastAsia="zh-CN"/>
        </w:rPr>
        <w:t>”</w:t>
      </w:r>
      <w:r>
        <w:rPr>
          <w:rFonts w:hint="eastAsia"/>
          <w:highlight w:val="none"/>
          <w:lang w:val="en-US" w:eastAsia="zh-CN"/>
        </w:rPr>
        <w:t>管控要求开展规划环评，确保工程选址与规模符合流域水资源配置、防洪标准及生态保护红线等约束性指标。</w:t>
      </w:r>
      <w:r>
        <w:rPr>
          <w:rFonts w:hint="eastAsia"/>
          <w:b/>
          <w:bCs/>
          <w:highlight w:val="none"/>
          <w:lang w:val="en-US" w:eastAsia="zh-CN"/>
        </w:rPr>
        <w:t>与生态相关规划的符合性。</w:t>
      </w:r>
      <w:r>
        <w:rPr>
          <w:rFonts w:hint="eastAsia"/>
          <w:highlight w:val="none"/>
          <w:lang w:val="en-US" w:eastAsia="zh-CN"/>
        </w:rPr>
        <w:t>《新疆维吾尔自治区主体功能区规划》以《全国主体功能区规划》为依据，结合新疆编制的第一个国土空间开发规划，是战略性、基础性、约束性的规划。该规划将新疆国土空间分为重点开发区域、限制开发区域和禁止开发区域三类主体功能区，按层级分为国家和省级两个层面。</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（四十四）环境保护目标及制约因素</w:t>
      </w:r>
    </w:p>
    <w:p>
      <w:pPr>
        <w:bidi w:val="0"/>
        <w:rPr>
          <w:rFonts w:hint="default"/>
          <w:highlight w:val="none"/>
          <w:lang w:val="en-US" w:eastAsia="zh-CN"/>
        </w:rPr>
      </w:pPr>
      <w:r>
        <w:rPr>
          <w:rFonts w:hint="eastAsia"/>
          <w:b/>
          <w:bCs/>
          <w:highlight w:val="none"/>
          <w:lang w:val="en-US" w:eastAsia="zh-CN"/>
        </w:rPr>
        <w:t>环境保护目标。</w:t>
      </w:r>
      <w:r>
        <w:rPr>
          <w:rFonts w:hint="eastAsia"/>
          <w:highlight w:val="none"/>
          <w:lang w:val="en-US" w:eastAsia="zh-CN"/>
        </w:rPr>
        <w:t>水安全保障规划的环境保护目标是构建多层次、全方位的生态安全屏障体系，其核心在于实现</w:t>
      </w:r>
      <w:r>
        <w:rPr>
          <w:rFonts w:hint="default"/>
          <w:highlight w:val="none"/>
          <w:lang w:val="en-US" w:eastAsia="zh-CN"/>
        </w:rPr>
        <w:t>水环境质量持续改善、水生态系统健康稳定、水资源利用高效集约三大目标。规划将地表水水质优良断面比例、集中式饮用水水源地水质达标率、水功能区水质达标率作为刚性约束指标，确保城乡居民饮水安全和重点河湖生态用水；同时统筹水土流失治理、水源涵养林建设等生态工程，提升流域水源涵养和水土保持功能，防范水环境风险，最终实现</w:t>
      </w:r>
      <w:r>
        <w:rPr>
          <w:rFonts w:hint="eastAsia"/>
          <w:highlight w:val="none"/>
          <w:lang w:eastAsia="zh-CN"/>
        </w:rPr>
        <w:t>“</w:t>
      </w:r>
      <w:r>
        <w:rPr>
          <w:rFonts w:hint="default"/>
          <w:highlight w:val="none"/>
          <w:lang w:val="en-US" w:eastAsia="zh-CN"/>
        </w:rPr>
        <w:t>有河有水、有鱼有草、人水和谐</w:t>
      </w:r>
      <w:r>
        <w:rPr>
          <w:rFonts w:hint="eastAsia"/>
          <w:highlight w:val="none"/>
          <w:lang w:eastAsia="zh-CN"/>
        </w:rPr>
        <w:t>”</w:t>
      </w:r>
      <w:r>
        <w:rPr>
          <w:rFonts w:hint="default"/>
          <w:highlight w:val="none"/>
          <w:lang w:val="en-US" w:eastAsia="zh-CN"/>
        </w:rPr>
        <w:t>的美好愿景，为经济社会高质量发展提供可持续的水生态安全保障。</w:t>
      </w:r>
    </w:p>
    <w:p>
      <w:pPr>
        <w:bidi w:val="0"/>
        <w:rPr>
          <w:rFonts w:hint="eastAsia"/>
          <w:highlight w:val="none"/>
          <w:lang w:val="en-US" w:eastAsia="zh-CN"/>
        </w:rPr>
      </w:pPr>
      <w:r>
        <w:rPr>
          <w:rFonts w:hint="eastAsia"/>
          <w:b/>
          <w:bCs/>
          <w:highlight w:val="none"/>
          <w:lang w:val="en-US" w:eastAsia="zh-CN"/>
        </w:rPr>
        <w:t>制约因素。</w:t>
      </w:r>
      <w:r>
        <w:rPr>
          <w:rFonts w:hint="eastAsia"/>
          <w:highlight w:val="none"/>
          <w:lang w:val="en-US" w:eastAsia="zh-CN"/>
        </w:rPr>
        <w:t>水安全保障规划在环境保护层面面临多重刚性制约，核心矛盾在于</w:t>
      </w:r>
      <w:r>
        <w:rPr>
          <w:rFonts w:hint="default"/>
          <w:highlight w:val="none"/>
          <w:lang w:val="en-US" w:eastAsia="zh-CN"/>
        </w:rPr>
        <w:t>干旱区水资源本底脆弱与生态系统保护需求之间的深刻冲突。这些环境制约因素相互交织，共同构成了水安全保障规划从战略构想到落地实施必须破解的系统性困局。</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（四十五）环境影响预测与评价</w:t>
      </w:r>
    </w:p>
    <w:p>
      <w:pPr>
        <w:bidi w:val="0"/>
        <w:rPr>
          <w:rFonts w:hint="default"/>
          <w:highlight w:val="none"/>
          <w:lang w:val="en-US" w:eastAsia="zh-CN"/>
        </w:rPr>
      </w:pPr>
      <w:r>
        <w:rPr>
          <w:rFonts w:hint="eastAsia"/>
          <w:b/>
          <w:bCs/>
          <w:highlight w:val="none"/>
          <w:lang w:val="en-US" w:eastAsia="zh-CN"/>
        </w:rPr>
        <w:t>落实水资源刚性约束制度的主要环境影响。</w:t>
      </w:r>
      <w:r>
        <w:rPr>
          <w:rFonts w:hint="eastAsia"/>
          <w:highlight w:val="none"/>
          <w:lang w:val="en-US" w:eastAsia="zh-CN"/>
        </w:rPr>
        <w:t>水资源刚性约束制度的核心是通过</w:t>
      </w:r>
      <w:r>
        <w:rPr>
          <w:rFonts w:hint="default"/>
          <w:highlight w:val="none"/>
          <w:lang w:val="en-US" w:eastAsia="zh-CN"/>
        </w:rPr>
        <w:t>用水总量控制、强度管控和承载力约束，将水资源作为经济社会发展的前置性约束条件</w:t>
      </w:r>
      <w:r>
        <w:rPr>
          <w:rFonts w:hint="default"/>
          <w:highlight w:val="none"/>
          <w:lang w:val="en-US" w:eastAsia="zh-CN"/>
        </w:rPr>
        <w:fldChar w:fldCharType="begin"/>
      </w:r>
      <w:r>
        <w:rPr>
          <w:rFonts w:hint="default"/>
          <w:highlight w:val="none"/>
          <w:lang w:val="en-US" w:eastAsia="zh-CN"/>
        </w:rPr>
        <w:instrText xml:space="preserve"> HYPERLINK "https://www.ndrc.gov.cn/xxgk/zcfb/ghwb/202201/P020220111696050417781.pdf" \t "https://www.kimi.com/chat/_blank" </w:instrText>
      </w:r>
      <w:r>
        <w:rPr>
          <w:rFonts w:hint="default"/>
          <w:highlight w:val="none"/>
          <w:lang w:val="en-US" w:eastAsia="zh-CN"/>
        </w:rPr>
        <w:fldChar w:fldCharType="separate"/>
      </w:r>
      <w:r>
        <w:rPr>
          <w:rFonts w:hint="default"/>
          <w:highlight w:val="none"/>
          <w:lang w:val="en-US" w:eastAsia="zh-CN"/>
        </w:rPr>
        <w:fldChar w:fldCharType="end"/>
      </w:r>
      <w:r>
        <w:rPr>
          <w:rFonts w:hint="default"/>
          <w:highlight w:val="none"/>
          <w:lang w:val="en-US" w:eastAsia="zh-CN"/>
        </w:rPr>
        <w:t>。</w:t>
      </w:r>
      <w:r>
        <w:rPr>
          <w:rFonts w:hint="eastAsia"/>
          <w:highlight w:val="none"/>
          <w:lang w:val="en-US" w:eastAsia="zh-CN"/>
        </w:rPr>
        <w:t>落实水资源刚性约束制度的核心是</w:t>
      </w:r>
      <w:r>
        <w:rPr>
          <w:rFonts w:hint="eastAsia"/>
          <w:highlight w:val="none"/>
          <w:lang w:eastAsia="zh-CN"/>
        </w:rPr>
        <w:t>“</w:t>
      </w:r>
      <w:r>
        <w:rPr>
          <w:rFonts w:hint="eastAsia"/>
          <w:highlight w:val="none"/>
          <w:lang w:val="en-US" w:eastAsia="zh-CN"/>
        </w:rPr>
        <w:t>以水定需</w:t>
      </w:r>
      <w:r>
        <w:rPr>
          <w:rFonts w:hint="eastAsia"/>
          <w:highlight w:val="none"/>
          <w:lang w:eastAsia="zh-CN"/>
        </w:rPr>
        <w:t>”</w:t>
      </w:r>
      <w:r>
        <w:rPr>
          <w:rFonts w:hint="eastAsia"/>
          <w:highlight w:val="none"/>
          <w:lang w:val="en-US" w:eastAsia="zh-CN"/>
        </w:rPr>
        <w:t>，倒逼经济社会发展与水资源承载能力相适应</w:t>
      </w:r>
      <w:r>
        <w:rPr>
          <w:rFonts w:hint="default"/>
          <w:highlight w:val="none"/>
          <w:lang w:val="en-US" w:eastAsia="zh-CN"/>
        </w:rPr>
        <w:t>。在此背景下，再生水作为非常规水源的战略价值凸显，其规模化利用本质上是通过替代新鲜水资源来释放生态空间。规划明确要求将再生水纳入水资源统一配置，通过</w:t>
      </w:r>
      <w:r>
        <w:rPr>
          <w:rFonts w:hint="eastAsia"/>
          <w:highlight w:val="none"/>
          <w:lang w:eastAsia="zh-CN"/>
        </w:rPr>
        <w:t>“</w:t>
      </w:r>
      <w:r>
        <w:rPr>
          <w:rFonts w:hint="default"/>
          <w:highlight w:val="none"/>
          <w:lang w:val="en-US" w:eastAsia="zh-CN"/>
        </w:rPr>
        <w:t>三条红线</w:t>
      </w:r>
      <w:r>
        <w:rPr>
          <w:rFonts w:hint="eastAsia"/>
          <w:highlight w:val="none"/>
          <w:lang w:eastAsia="zh-CN"/>
        </w:rPr>
        <w:t>”</w:t>
      </w:r>
      <w:r>
        <w:rPr>
          <w:rFonts w:hint="default"/>
          <w:highlight w:val="none"/>
          <w:lang w:val="en-US" w:eastAsia="zh-CN"/>
        </w:rPr>
        <w:t>管控和用水总量控制，强制提高再生水利用率。</w:t>
      </w:r>
    </w:p>
    <w:p>
      <w:pPr>
        <w:bidi w:val="0"/>
        <w:rPr>
          <w:rFonts w:hint="eastAsia"/>
          <w:highlight w:val="none"/>
          <w:lang w:val="en-US" w:eastAsia="zh-CN"/>
        </w:rPr>
      </w:pPr>
      <w:r>
        <w:rPr>
          <w:rFonts w:hint="eastAsia"/>
          <w:b/>
          <w:bCs/>
          <w:highlight w:val="none"/>
          <w:lang w:val="en-US" w:eastAsia="zh-CN"/>
        </w:rPr>
        <w:t>建设安全韧性现代水网的主要环境影响。</w:t>
      </w:r>
      <w:r>
        <w:rPr>
          <w:rFonts w:hint="eastAsia"/>
          <w:highlight w:val="none"/>
          <w:lang w:val="en-US" w:eastAsia="zh-CN"/>
        </w:rPr>
        <w:t>建设安全韧性现代水网是水安全保障的骨干工程，旨在通过</w:t>
      </w:r>
      <w:r>
        <w:rPr>
          <w:rFonts w:hint="eastAsia"/>
          <w:highlight w:val="none"/>
          <w:lang w:eastAsia="zh-CN"/>
        </w:rPr>
        <w:t>“</w:t>
      </w:r>
      <w:r>
        <w:rPr>
          <w:rFonts w:hint="eastAsia"/>
          <w:highlight w:val="none"/>
          <w:lang w:val="en-US" w:eastAsia="zh-CN"/>
        </w:rPr>
        <w:t>系统完备、安全可靠、集约高效、绿色智能</w:t>
      </w:r>
      <w:r>
        <w:rPr>
          <w:rFonts w:hint="eastAsia"/>
          <w:highlight w:val="none"/>
          <w:lang w:eastAsia="zh-CN"/>
        </w:rPr>
        <w:t>”</w:t>
      </w:r>
      <w:r>
        <w:rPr>
          <w:rFonts w:hint="eastAsia"/>
          <w:highlight w:val="none"/>
          <w:lang w:val="en-US" w:eastAsia="zh-CN"/>
        </w:rPr>
        <w:t>的水网体系，实现水资源</w:t>
      </w:r>
      <w:r>
        <w:rPr>
          <w:rFonts w:hint="default"/>
          <w:highlight w:val="none"/>
          <w:lang w:val="en-US" w:eastAsia="zh-CN"/>
        </w:rPr>
        <w:t>空间均衡配置和风险韧性应对</w:t>
      </w:r>
      <w:r>
        <w:rPr>
          <w:rFonts w:hint="eastAsia"/>
          <w:highlight w:val="none"/>
          <w:lang w:val="en-US" w:eastAsia="zh-CN"/>
        </w:rPr>
        <w:t>。</w:t>
      </w:r>
      <w:r>
        <w:rPr>
          <w:rFonts w:hint="default"/>
          <w:highlight w:val="none"/>
          <w:lang w:val="en-US" w:eastAsia="zh-CN"/>
        </w:rPr>
        <w:t>现代水网建设的最显著环境效益是修复严重失衡的水生态系统。水网工程向生态敏感区补水，直接改善水动力条件和水质，提升水生态健康指数。同时，优质水源置换显著提升了饮水安全，从源头减少因水质不良导致的地方病生态健康风险</w:t>
      </w:r>
      <w:r>
        <w:rPr>
          <w:rFonts w:hint="default"/>
          <w:highlight w:val="none"/>
          <w:lang w:val="en-US" w:eastAsia="zh-CN"/>
        </w:rPr>
        <w:fldChar w:fldCharType="begin"/>
      </w:r>
      <w:r>
        <w:rPr>
          <w:rFonts w:hint="default"/>
          <w:highlight w:val="none"/>
          <w:lang w:val="en-US" w:eastAsia="zh-CN"/>
        </w:rPr>
        <w:instrText xml:space="preserve"> HYPERLINK "https://www.sohu.com/a/875863373_114731" \t "https://www.kimi.com/chat/_blank" </w:instrText>
      </w:r>
      <w:r>
        <w:rPr>
          <w:rFonts w:hint="default"/>
          <w:highlight w:val="none"/>
          <w:lang w:val="en-US" w:eastAsia="zh-CN"/>
        </w:rPr>
        <w:fldChar w:fldCharType="separate"/>
      </w:r>
      <w:r>
        <w:rPr>
          <w:rFonts w:hint="default"/>
          <w:highlight w:val="none"/>
          <w:lang w:val="en-US" w:eastAsia="zh-CN"/>
        </w:rPr>
        <w:fldChar w:fldCharType="end"/>
      </w:r>
      <w:r>
        <w:rPr>
          <w:rFonts w:hint="default"/>
          <w:highlight w:val="none"/>
          <w:lang w:val="en-US" w:eastAsia="zh-CN"/>
        </w:rPr>
        <w:t>。这种</w:t>
      </w:r>
      <w:r>
        <w:rPr>
          <w:rFonts w:hint="eastAsia"/>
          <w:highlight w:val="none"/>
          <w:lang w:eastAsia="zh-CN"/>
        </w:rPr>
        <w:t>“</w:t>
      </w:r>
      <w:r>
        <w:rPr>
          <w:rFonts w:hint="default"/>
          <w:highlight w:val="none"/>
          <w:lang w:val="en-US" w:eastAsia="zh-CN"/>
        </w:rPr>
        <w:t>生态补水+水源置换</w:t>
      </w:r>
      <w:r>
        <w:rPr>
          <w:rFonts w:hint="eastAsia"/>
          <w:highlight w:val="none"/>
          <w:lang w:eastAsia="zh-CN"/>
        </w:rPr>
        <w:t>”</w:t>
      </w:r>
      <w:r>
        <w:rPr>
          <w:rFonts w:hint="default"/>
          <w:highlight w:val="none"/>
          <w:lang w:val="en-US" w:eastAsia="zh-CN"/>
        </w:rPr>
        <w:t>模式，为受水区提供了生态产品价值实现的路径，使水网从单一供水功能转向</w:t>
      </w:r>
      <w:r>
        <w:rPr>
          <w:rFonts w:hint="eastAsia"/>
          <w:highlight w:val="none"/>
          <w:lang w:eastAsia="zh-CN"/>
        </w:rPr>
        <w:t>“</w:t>
      </w:r>
      <w:r>
        <w:rPr>
          <w:rFonts w:hint="default"/>
          <w:highlight w:val="none"/>
          <w:lang w:val="en-US" w:eastAsia="zh-CN"/>
        </w:rPr>
        <w:t>安全、资源、生态</w:t>
      </w:r>
      <w:r>
        <w:rPr>
          <w:rFonts w:hint="eastAsia"/>
          <w:highlight w:val="none"/>
          <w:lang w:eastAsia="zh-CN"/>
        </w:rPr>
        <w:t>”</w:t>
      </w:r>
      <w:r>
        <w:rPr>
          <w:rFonts w:hint="default"/>
          <w:highlight w:val="none"/>
          <w:lang w:val="en-US" w:eastAsia="zh-CN"/>
        </w:rPr>
        <w:t>多目标服务。</w:t>
      </w:r>
    </w:p>
    <w:p>
      <w:pPr>
        <w:bidi w:val="0"/>
        <w:rPr>
          <w:rFonts w:hint="default"/>
          <w:highlight w:val="none"/>
          <w:lang w:val="en-US" w:eastAsia="zh-CN"/>
        </w:rPr>
      </w:pPr>
      <w:r>
        <w:rPr>
          <w:rFonts w:hint="eastAsia"/>
          <w:b/>
          <w:bCs/>
          <w:highlight w:val="none"/>
          <w:lang w:val="en-US" w:eastAsia="zh-CN"/>
        </w:rPr>
        <w:t>提升水旱灾害防御能力的主要环境影响。</w:t>
      </w:r>
      <w:r>
        <w:rPr>
          <w:rFonts w:hint="default"/>
          <w:highlight w:val="none"/>
          <w:lang w:val="en-US" w:eastAsia="zh-CN"/>
        </w:rPr>
        <w:t>提升水旱</w:t>
      </w:r>
      <w:r>
        <w:rPr>
          <w:rFonts w:hint="eastAsia"/>
          <w:highlight w:val="none"/>
          <w:lang w:val="en-US" w:eastAsia="zh-CN"/>
        </w:rPr>
        <w:t>灾害</w:t>
      </w:r>
      <w:r>
        <w:rPr>
          <w:rFonts w:hint="default"/>
          <w:highlight w:val="none"/>
          <w:lang w:val="en-US" w:eastAsia="zh-CN"/>
        </w:rPr>
        <w:t>防御能力的核心是构建</w:t>
      </w:r>
      <w:r>
        <w:rPr>
          <w:rFonts w:hint="eastAsia"/>
          <w:highlight w:val="none"/>
          <w:lang w:eastAsia="zh-CN"/>
        </w:rPr>
        <w:t>“</w:t>
      </w:r>
      <w:r>
        <w:rPr>
          <w:rFonts w:hint="default"/>
          <w:highlight w:val="none"/>
          <w:lang w:val="en-US" w:eastAsia="zh-CN"/>
        </w:rPr>
        <w:t>工程措施+非工程措施</w:t>
      </w:r>
      <w:r>
        <w:rPr>
          <w:rFonts w:hint="eastAsia"/>
          <w:highlight w:val="none"/>
          <w:lang w:eastAsia="zh-CN"/>
        </w:rPr>
        <w:t>”</w:t>
      </w:r>
      <w:r>
        <w:rPr>
          <w:rFonts w:hint="default"/>
          <w:highlight w:val="none"/>
          <w:lang w:val="en-US" w:eastAsia="zh-CN"/>
        </w:rPr>
        <w:t>综合体系，包括完善流域防洪工程体系、雨水情监测预报体系和水旱灾害防御工作体系</w:t>
      </w:r>
      <w:r>
        <w:rPr>
          <w:rFonts w:hint="eastAsia"/>
          <w:highlight w:val="none"/>
          <w:lang w:val="en-US" w:eastAsia="zh-CN"/>
        </w:rPr>
        <w:t>。防御能力提升的最显著生态效益是</w:t>
      </w:r>
      <w:r>
        <w:rPr>
          <w:rFonts w:hint="default"/>
          <w:highlight w:val="none"/>
          <w:lang w:val="en-US" w:eastAsia="zh-CN"/>
        </w:rPr>
        <w:t>保护水生态系统免受极端事件破坏。</w:t>
      </w:r>
      <w:r>
        <w:rPr>
          <w:rFonts w:hint="eastAsia"/>
          <w:highlight w:val="none"/>
          <w:lang w:val="en-US" w:eastAsia="zh-CN"/>
        </w:rPr>
        <w:t>洪灾防御能力提升直接减少</w:t>
      </w:r>
      <w:r>
        <w:rPr>
          <w:rFonts w:hint="default"/>
          <w:highlight w:val="none"/>
          <w:lang w:val="en-US" w:eastAsia="zh-CN"/>
        </w:rPr>
        <w:t>面源污染暴发风险</w:t>
      </w:r>
      <w:r>
        <w:rPr>
          <w:rFonts w:hint="eastAsia"/>
          <w:highlight w:val="none"/>
          <w:lang w:val="en-US" w:eastAsia="zh-CN"/>
        </w:rPr>
        <w:t>，</w:t>
      </w:r>
      <w:r>
        <w:rPr>
          <w:rFonts w:hint="default"/>
          <w:highlight w:val="none"/>
          <w:lang w:val="en-US" w:eastAsia="zh-CN"/>
        </w:rPr>
        <w:t>洪水期间农田、养殖场污染物集中入河是水质恶化主因，通过堤防加固和蓄滞洪区科学运用，可拦截90%以上泥沙和氮磷负荷。</w:t>
      </w:r>
    </w:p>
    <w:p>
      <w:pPr>
        <w:bidi w:val="0"/>
        <w:rPr>
          <w:rFonts w:hint="default"/>
          <w:highlight w:val="none"/>
          <w:lang w:val="en-US" w:eastAsia="zh-CN"/>
        </w:rPr>
      </w:pPr>
      <w:r>
        <w:rPr>
          <w:rFonts w:hint="default"/>
          <w:highlight w:val="none"/>
          <w:lang w:val="en-US" w:eastAsia="zh-CN"/>
        </w:rPr>
        <w:t>防洪调度通过</w:t>
      </w:r>
      <w:r>
        <w:rPr>
          <w:rFonts w:hint="eastAsia"/>
          <w:highlight w:val="none"/>
          <w:lang w:eastAsia="zh-CN"/>
        </w:rPr>
        <w:t>“</w:t>
      </w:r>
      <w:r>
        <w:rPr>
          <w:rFonts w:hint="default"/>
          <w:highlight w:val="none"/>
          <w:lang w:val="en-US" w:eastAsia="zh-CN"/>
        </w:rPr>
        <w:t>蓄-泄-控</w:t>
      </w:r>
      <w:r>
        <w:rPr>
          <w:rFonts w:hint="eastAsia"/>
          <w:highlight w:val="none"/>
          <w:lang w:eastAsia="zh-CN"/>
        </w:rPr>
        <w:t>”</w:t>
      </w:r>
      <w:r>
        <w:rPr>
          <w:rFonts w:hint="default"/>
          <w:highlight w:val="none"/>
          <w:lang w:val="en-US" w:eastAsia="zh-CN"/>
        </w:rPr>
        <w:t>改变自然洪水过程，产生延迟性生态负效应。</w:t>
      </w:r>
      <w:r>
        <w:rPr>
          <w:rFonts w:hint="eastAsia"/>
          <w:highlight w:val="none"/>
          <w:lang w:val="en-US" w:eastAsia="zh-CN"/>
        </w:rPr>
        <w:t>同时，堤防护岸工程可能减少河水对周边地下水的侧向补给水量。</w:t>
      </w:r>
    </w:p>
    <w:p>
      <w:pPr>
        <w:bidi w:val="0"/>
        <w:rPr>
          <w:rFonts w:hint="eastAsia"/>
          <w:highlight w:val="none"/>
          <w:lang w:val="en-US" w:eastAsia="zh-CN"/>
        </w:rPr>
      </w:pPr>
      <w:r>
        <w:rPr>
          <w:rFonts w:hint="eastAsia"/>
          <w:b/>
          <w:bCs/>
          <w:highlight w:val="none"/>
          <w:lang w:val="en-US" w:eastAsia="zh-CN"/>
        </w:rPr>
        <w:t>综合治理河湖生态环境的主要环境影响。</w:t>
      </w:r>
      <w:r>
        <w:rPr>
          <w:rFonts w:hint="default"/>
          <w:highlight w:val="none"/>
          <w:lang w:val="en-US" w:eastAsia="zh-CN"/>
        </w:rPr>
        <w:t>综合治理河湖生态环境是</w:t>
      </w:r>
      <w:r>
        <w:rPr>
          <w:rFonts w:hint="eastAsia"/>
          <w:highlight w:val="none"/>
          <w:lang w:eastAsia="zh-CN"/>
        </w:rPr>
        <w:t>“</w:t>
      </w:r>
      <w:r>
        <w:rPr>
          <w:rFonts w:hint="default"/>
          <w:highlight w:val="none"/>
          <w:lang w:val="en-US" w:eastAsia="zh-CN"/>
        </w:rPr>
        <w:t>十五五</w:t>
      </w:r>
      <w:r>
        <w:rPr>
          <w:rFonts w:hint="eastAsia"/>
          <w:highlight w:val="none"/>
          <w:lang w:eastAsia="zh-CN"/>
        </w:rPr>
        <w:t>”</w:t>
      </w:r>
      <w:r>
        <w:rPr>
          <w:rFonts w:hint="default"/>
          <w:highlight w:val="none"/>
          <w:lang w:val="en-US" w:eastAsia="zh-CN"/>
        </w:rPr>
        <w:t>水安全保障规划的核心任务，旨在构建</w:t>
      </w:r>
      <w:r>
        <w:rPr>
          <w:rFonts w:hint="eastAsia"/>
          <w:highlight w:val="none"/>
          <w:lang w:eastAsia="zh-CN"/>
        </w:rPr>
        <w:t>“</w:t>
      </w:r>
      <w:r>
        <w:rPr>
          <w:rFonts w:hint="default"/>
          <w:highlight w:val="none"/>
          <w:lang w:val="en-US" w:eastAsia="zh-CN"/>
        </w:rPr>
        <w:t>山水林田湖草沙一体化保护和修复</w:t>
      </w:r>
      <w:r>
        <w:rPr>
          <w:rFonts w:hint="eastAsia"/>
          <w:highlight w:val="none"/>
          <w:lang w:eastAsia="zh-CN"/>
        </w:rPr>
        <w:t>”</w:t>
      </w:r>
      <w:r>
        <w:rPr>
          <w:rFonts w:hint="default"/>
          <w:highlight w:val="none"/>
          <w:lang w:val="en-US" w:eastAsia="zh-CN"/>
        </w:rPr>
        <w:t>格局</w:t>
      </w:r>
      <w:r>
        <w:rPr>
          <w:rFonts w:hint="eastAsia"/>
          <w:highlight w:val="none"/>
          <w:lang w:val="en-US" w:eastAsia="zh-CN"/>
        </w:rPr>
        <w:t>。</w:t>
      </w:r>
      <w:r>
        <w:rPr>
          <w:rFonts w:hint="default"/>
          <w:highlight w:val="none"/>
          <w:lang w:val="en-US" w:eastAsia="zh-CN"/>
        </w:rPr>
        <w:t>综合治理的最显著效益是全流域尺度的生态系统修复。水质改善方面，通过污水排放监管、处理设施建设、河道生态景观打造，水体透明度提高；生态流量保障方面，通过科学调配水资源，恢复河湖连通性，保护水生生物栖息地</w:t>
      </w:r>
      <w:r>
        <w:rPr>
          <w:rFonts w:hint="default"/>
          <w:highlight w:val="none"/>
          <w:lang w:val="en-US" w:eastAsia="zh-CN"/>
        </w:rPr>
        <w:fldChar w:fldCharType="begin"/>
      </w:r>
      <w:r>
        <w:rPr>
          <w:rFonts w:hint="default"/>
          <w:highlight w:val="none"/>
          <w:lang w:val="en-US" w:eastAsia="zh-CN"/>
        </w:rPr>
        <w:instrText xml:space="preserve"> HYPERLINK "https://www.dongkou.gov.cn/dongkou/ghjh/202508/b7133f801074449bbc2ac9b6407ff438/files/77e0e8e3a7d54dbd90832f9c3a165fdc.pdf" \t "https://www.kimi.com/chat/_blank" </w:instrText>
      </w:r>
      <w:r>
        <w:rPr>
          <w:rFonts w:hint="default"/>
          <w:highlight w:val="none"/>
          <w:lang w:val="en-US" w:eastAsia="zh-CN"/>
        </w:rPr>
        <w:fldChar w:fldCharType="separate"/>
      </w:r>
      <w:r>
        <w:rPr>
          <w:rFonts w:hint="default"/>
          <w:highlight w:val="none"/>
          <w:lang w:val="en-US" w:eastAsia="zh-CN"/>
        </w:rPr>
        <w:fldChar w:fldCharType="end"/>
      </w:r>
      <w:r>
        <w:rPr>
          <w:rFonts w:hint="default"/>
          <w:highlight w:val="none"/>
          <w:lang w:val="en-US" w:eastAsia="zh-CN"/>
        </w:rPr>
        <w:t>；生物多样性恢复方面，水生态修复工程重塑健康岸线，修复受损湿地，为鱼类、两栖类、鸟类等提供良好栖息环境。这些措施共同构建起</w:t>
      </w:r>
      <w:r>
        <w:rPr>
          <w:rFonts w:hint="eastAsia"/>
          <w:highlight w:val="none"/>
          <w:lang w:eastAsia="zh-CN"/>
        </w:rPr>
        <w:t>“</w:t>
      </w:r>
      <w:r>
        <w:rPr>
          <w:rFonts w:hint="default"/>
          <w:highlight w:val="none"/>
          <w:lang w:val="en-US" w:eastAsia="zh-CN"/>
        </w:rPr>
        <w:t>源头稳定</w:t>
      </w:r>
      <w:r>
        <w:rPr>
          <w:rFonts w:hint="eastAsia"/>
          <w:highlight w:val="none"/>
          <w:lang w:val="en-US" w:eastAsia="zh-CN"/>
        </w:rPr>
        <w:t>－</w:t>
      </w:r>
      <w:r>
        <w:rPr>
          <w:rFonts w:hint="default"/>
          <w:highlight w:val="none"/>
          <w:lang w:val="en-US" w:eastAsia="zh-CN"/>
        </w:rPr>
        <w:t>过程清洁</w:t>
      </w:r>
      <w:r>
        <w:rPr>
          <w:rFonts w:hint="eastAsia"/>
          <w:highlight w:val="none"/>
          <w:lang w:val="en-US" w:eastAsia="zh-CN"/>
        </w:rPr>
        <w:t>－</w:t>
      </w:r>
      <w:r>
        <w:rPr>
          <w:rFonts w:hint="default"/>
          <w:highlight w:val="none"/>
          <w:lang w:val="en-US" w:eastAsia="zh-CN"/>
        </w:rPr>
        <w:t>末端健康</w:t>
      </w:r>
      <w:r>
        <w:rPr>
          <w:rFonts w:hint="eastAsia"/>
          <w:highlight w:val="none"/>
          <w:lang w:eastAsia="zh-CN"/>
        </w:rPr>
        <w:t>”</w:t>
      </w:r>
      <w:r>
        <w:rPr>
          <w:rFonts w:hint="default"/>
          <w:highlight w:val="none"/>
          <w:lang w:val="en-US" w:eastAsia="zh-CN"/>
        </w:rPr>
        <w:t>的良性循环。</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（四十六）规划合理性分析和优化调整建议</w:t>
      </w:r>
    </w:p>
    <w:p>
      <w:pPr>
        <w:bidi w:val="0"/>
        <w:rPr>
          <w:rFonts w:hint="eastAsia"/>
          <w:highlight w:val="none"/>
          <w:lang w:val="en-US" w:eastAsia="zh-CN"/>
        </w:rPr>
      </w:pPr>
      <w:r>
        <w:rPr>
          <w:rFonts w:hint="eastAsia"/>
          <w:b/>
          <w:bCs/>
          <w:highlight w:val="none"/>
          <w:lang w:val="en-US" w:eastAsia="zh-CN"/>
        </w:rPr>
        <w:t>规划合理性分析。</w:t>
      </w:r>
      <w:r>
        <w:rPr>
          <w:rFonts w:hint="eastAsia"/>
          <w:highlight w:val="none"/>
          <w:lang w:eastAsia="zh-CN"/>
        </w:rPr>
        <w:t>“</w:t>
      </w:r>
      <w:r>
        <w:rPr>
          <w:rFonts w:hint="eastAsia"/>
          <w:highlight w:val="none"/>
          <w:lang w:val="en-US" w:eastAsia="zh-CN"/>
        </w:rPr>
        <w:t>十五五</w:t>
      </w:r>
      <w:r>
        <w:rPr>
          <w:rFonts w:hint="eastAsia"/>
          <w:highlight w:val="none"/>
          <w:lang w:eastAsia="zh-CN"/>
        </w:rPr>
        <w:t>”</w:t>
      </w:r>
      <w:r>
        <w:rPr>
          <w:rFonts w:hint="eastAsia"/>
          <w:highlight w:val="none"/>
          <w:lang w:val="en-US" w:eastAsia="zh-CN"/>
        </w:rPr>
        <w:t>水安全保障规划在环境影响层面的合理性，根植于其</w:t>
      </w:r>
      <w:r>
        <w:rPr>
          <w:rFonts w:hint="default"/>
          <w:highlight w:val="none"/>
          <w:lang w:val="en-US" w:eastAsia="zh-CN"/>
        </w:rPr>
        <w:t>坚守生态底线、强化全过程管控、追求损益最优平衡的系统设计逻辑：规划严格遵循</w:t>
      </w:r>
      <w:r>
        <w:rPr>
          <w:rFonts w:hint="eastAsia"/>
          <w:highlight w:val="none"/>
          <w:lang w:eastAsia="zh-CN"/>
        </w:rPr>
        <w:t>“</w:t>
      </w:r>
      <w:r>
        <w:rPr>
          <w:rFonts w:hint="default"/>
          <w:highlight w:val="none"/>
          <w:lang w:val="en-US" w:eastAsia="zh-CN"/>
        </w:rPr>
        <w:t>确有需要、生态安全、可以持续</w:t>
      </w:r>
      <w:r>
        <w:rPr>
          <w:rFonts w:hint="eastAsia"/>
          <w:highlight w:val="none"/>
          <w:lang w:eastAsia="zh-CN"/>
        </w:rPr>
        <w:t>”</w:t>
      </w:r>
      <w:r>
        <w:rPr>
          <w:rFonts w:hint="default"/>
          <w:highlight w:val="none"/>
          <w:lang w:val="en-US" w:eastAsia="zh-CN"/>
        </w:rPr>
        <w:t>的铁律，将环境影响评价从程序性审查提升为前置性否决要件，所有重大水利项目必须依法开展环评并优化选址选线，主动避让生态保护红线和敏感区域；为最大化合理性与安全性，规划同步构建全周期监测预警与动态适应机制，依托</w:t>
      </w:r>
      <w:r>
        <w:rPr>
          <w:rFonts w:hint="eastAsia"/>
          <w:highlight w:val="none"/>
          <w:lang w:val="en-US" w:eastAsia="zh-CN"/>
        </w:rPr>
        <w:t>水利信息化</w:t>
      </w:r>
      <w:r>
        <w:rPr>
          <w:rFonts w:hint="default"/>
          <w:highlight w:val="none"/>
          <w:lang w:val="en-US" w:eastAsia="zh-CN"/>
        </w:rPr>
        <w:t>实现生态环境影响</w:t>
      </w:r>
      <w:r>
        <w:rPr>
          <w:rFonts w:hint="eastAsia"/>
          <w:highlight w:val="none"/>
          <w:lang w:eastAsia="zh-CN"/>
        </w:rPr>
        <w:t>“</w:t>
      </w:r>
      <w:r>
        <w:rPr>
          <w:rFonts w:hint="default"/>
          <w:highlight w:val="none"/>
          <w:lang w:val="en-US" w:eastAsia="zh-CN"/>
        </w:rPr>
        <w:t>预报</w:t>
      </w:r>
      <w:r>
        <w:rPr>
          <w:rFonts w:hint="eastAsia"/>
          <w:highlight w:val="none"/>
          <w:lang w:val="en-US" w:eastAsia="zh-CN"/>
        </w:rPr>
        <w:t>－</w:t>
      </w:r>
      <w:r>
        <w:rPr>
          <w:rFonts w:hint="default"/>
          <w:highlight w:val="none"/>
          <w:lang w:val="en-US" w:eastAsia="zh-CN"/>
        </w:rPr>
        <w:t>预警</w:t>
      </w:r>
      <w:r>
        <w:rPr>
          <w:rFonts w:hint="eastAsia"/>
          <w:highlight w:val="none"/>
          <w:lang w:val="en-US" w:eastAsia="zh-CN"/>
        </w:rPr>
        <w:t>－</w:t>
      </w:r>
      <w:r>
        <w:rPr>
          <w:rFonts w:hint="default"/>
          <w:highlight w:val="none"/>
          <w:lang w:val="en-US" w:eastAsia="zh-CN"/>
        </w:rPr>
        <w:t>预演</w:t>
      </w:r>
      <w:r>
        <w:rPr>
          <w:rFonts w:hint="eastAsia"/>
          <w:highlight w:val="none"/>
          <w:lang w:val="en-US" w:eastAsia="zh-CN"/>
        </w:rPr>
        <w:t>－</w:t>
      </w:r>
      <w:r>
        <w:rPr>
          <w:rFonts w:hint="default"/>
          <w:highlight w:val="none"/>
          <w:lang w:val="en-US" w:eastAsia="zh-CN"/>
        </w:rPr>
        <w:t>预案</w:t>
      </w:r>
      <w:r>
        <w:rPr>
          <w:rFonts w:hint="eastAsia"/>
          <w:highlight w:val="none"/>
          <w:lang w:eastAsia="zh-CN"/>
        </w:rPr>
        <w:t>”</w:t>
      </w:r>
      <w:r>
        <w:rPr>
          <w:rFonts w:hint="default"/>
          <w:highlight w:val="none"/>
          <w:lang w:val="en-US" w:eastAsia="zh-CN"/>
        </w:rPr>
        <w:t>，建立规划年度监测评估制度，完善水权交易等利益平衡工具，确保将不利环境影响控制在可接受阈值内，实现水安全目标与生态保护责任的刚性统一</w:t>
      </w:r>
      <w:r>
        <w:rPr>
          <w:rFonts w:hint="eastAsia"/>
          <w:highlight w:val="none"/>
          <w:lang w:val="en-US" w:eastAsia="zh-CN"/>
        </w:rPr>
        <w:t>。</w:t>
      </w:r>
    </w:p>
    <w:p>
      <w:pPr>
        <w:bidi w:val="0"/>
        <w:rPr>
          <w:rFonts w:hint="eastAsia"/>
          <w:i/>
          <w:iCs/>
          <w:color w:val="auto"/>
          <w:highlight w:val="none"/>
          <w:lang w:val="en-US" w:eastAsia="zh-CN"/>
        </w:rPr>
      </w:pPr>
      <w:r>
        <w:rPr>
          <w:rFonts w:hint="eastAsia"/>
          <w:b/>
          <w:bCs/>
          <w:highlight w:val="none"/>
          <w:lang w:val="en-US" w:eastAsia="zh-CN"/>
        </w:rPr>
        <w:t>规划优化调整建议。</w:t>
      </w:r>
      <w:r>
        <w:rPr>
          <w:rFonts w:hint="eastAsia"/>
          <w:highlight w:val="none"/>
          <w:lang w:val="en-US" w:eastAsia="zh-CN"/>
        </w:rPr>
        <w:t>规划工程布局总体避让了自然保护区等环境敏感目标，且规划工程符合《新疆维吾尔自治区主体功能区规划》、《新疆维吾尔自治区生态环境分区管控动态更新成果》（新环环评发〔2024〕57号）、</w:t>
      </w:r>
      <w:r>
        <w:rPr>
          <w:rFonts w:hint="default"/>
          <w:highlight w:val="none"/>
          <w:lang w:val="en-US" w:eastAsia="zh-CN"/>
        </w:rPr>
        <w:t>《喀什地区“三线一单”生态环境分区管控方案（2023年版）修改单》</w:t>
      </w:r>
      <w:r>
        <w:rPr>
          <w:rFonts w:hint="eastAsia"/>
          <w:highlight w:val="none"/>
          <w:lang w:val="en-US" w:eastAsia="zh-CN"/>
        </w:rPr>
        <w:t>中关于生态保护红线管控的相关要求。规划实施过程中要按照</w:t>
      </w:r>
      <w:r>
        <w:rPr>
          <w:rFonts w:hint="eastAsia"/>
          <w:highlight w:val="none"/>
          <w:lang w:eastAsia="zh-CN"/>
        </w:rPr>
        <w:t>“</w:t>
      </w:r>
      <w:r>
        <w:rPr>
          <w:rFonts w:hint="eastAsia"/>
          <w:highlight w:val="none"/>
          <w:lang w:val="en-US" w:eastAsia="zh-CN"/>
        </w:rPr>
        <w:t>确有需要、生态优先、可以持续</w:t>
      </w:r>
      <w:r>
        <w:rPr>
          <w:rFonts w:hint="eastAsia"/>
          <w:highlight w:val="none"/>
          <w:lang w:eastAsia="zh-CN"/>
        </w:rPr>
        <w:t>”</w:t>
      </w:r>
      <w:r>
        <w:rPr>
          <w:rFonts w:hint="eastAsia"/>
          <w:highlight w:val="none"/>
          <w:lang w:val="en-US" w:eastAsia="zh-CN"/>
        </w:rPr>
        <w:t>的要求，结合生态敏感区及生态保护红线分布，对工程规模、选址选线等进行优化，规避主要环境敏感区，采取有效措施减免和减缓不利环境影响，确保工程实施后生态环境功能不降低。</w:t>
      </w:r>
    </w:p>
    <w:p>
      <w:pPr>
        <w:pStyle w:val="4"/>
        <w:numPr>
          <w:ilvl w:val="2"/>
          <w:numId w:val="0"/>
        </w:numPr>
        <w:bidi w:val="0"/>
        <w:ind w:leftChars="200"/>
        <w:rPr>
          <w:rFonts w:hint="eastAsia"/>
          <w:color w:val="auto"/>
          <w:highlight w:val="none"/>
          <w:lang w:val="en-US" w:eastAsia="zh-CN"/>
        </w:rPr>
      </w:pPr>
      <w:r>
        <w:rPr>
          <w:rFonts w:hint="eastAsia"/>
          <w:color w:val="auto"/>
          <w:highlight w:val="none"/>
          <w:lang w:val="en-US" w:eastAsia="zh-CN"/>
        </w:rPr>
        <w:t>（四十七）环境影响减缓对策和措施</w:t>
      </w:r>
    </w:p>
    <w:p>
      <w:pPr>
        <w:numPr>
          <w:ilvl w:val="0"/>
          <w:numId w:val="0"/>
        </w:numPr>
        <w:ind w:firstLine="560" w:firstLineChars="200"/>
        <w:rPr>
          <w:rFonts w:hint="eastAsia"/>
          <w:color w:val="auto"/>
          <w:highlight w:val="none"/>
          <w:lang w:val="en-US" w:eastAsia="zh-CN"/>
        </w:rPr>
      </w:pPr>
      <w:r>
        <w:rPr>
          <w:rFonts w:hint="eastAsia"/>
          <w:color w:val="auto"/>
          <w:highlight w:val="none"/>
          <w:lang w:eastAsia="zh-CN"/>
        </w:rPr>
        <w:t>“</w:t>
      </w:r>
      <w:r>
        <w:rPr>
          <w:rFonts w:hint="eastAsia"/>
          <w:color w:val="auto"/>
          <w:highlight w:val="none"/>
          <w:lang w:val="en-US" w:eastAsia="zh-CN"/>
        </w:rPr>
        <w:t>十五五</w:t>
      </w:r>
      <w:r>
        <w:rPr>
          <w:rFonts w:hint="eastAsia"/>
          <w:color w:val="auto"/>
          <w:highlight w:val="none"/>
          <w:lang w:eastAsia="zh-CN"/>
        </w:rPr>
        <w:t>”</w:t>
      </w:r>
      <w:r>
        <w:rPr>
          <w:rFonts w:hint="eastAsia"/>
          <w:color w:val="auto"/>
          <w:highlight w:val="none"/>
          <w:lang w:val="en-US" w:eastAsia="zh-CN"/>
        </w:rPr>
        <w:t xml:space="preserve">水安全保障规划的环境影响减缓对策需构建 </w:t>
      </w:r>
      <w:r>
        <w:rPr>
          <w:rFonts w:hint="eastAsia"/>
          <w:color w:val="auto"/>
          <w:highlight w:val="none"/>
          <w:lang w:eastAsia="zh-CN"/>
        </w:rPr>
        <w:t>“</w:t>
      </w:r>
      <w:r>
        <w:rPr>
          <w:rFonts w:hint="eastAsia"/>
          <w:color w:val="auto"/>
          <w:highlight w:val="none"/>
          <w:lang w:val="en-US" w:eastAsia="zh-CN"/>
        </w:rPr>
        <w:t>战略引领－过程严管－技术支撑－制度兜底</w:t>
      </w:r>
      <w:r>
        <w:rPr>
          <w:rFonts w:hint="eastAsia"/>
          <w:color w:val="auto"/>
          <w:highlight w:val="none"/>
          <w:lang w:eastAsia="zh-CN"/>
        </w:rPr>
        <w:t>”</w:t>
      </w:r>
      <w:r>
        <w:rPr>
          <w:rFonts w:hint="eastAsia"/>
          <w:color w:val="auto"/>
          <w:highlight w:val="none"/>
          <w:lang w:val="en-US" w:eastAsia="zh-CN"/>
        </w:rPr>
        <w:t>的四级递进体系：</w:t>
      </w:r>
    </w:p>
    <w:p>
      <w:pPr>
        <w:numPr>
          <w:ilvl w:val="0"/>
          <w:numId w:val="0"/>
        </w:numPr>
        <w:ind w:firstLine="562" w:firstLineChars="200"/>
        <w:rPr>
          <w:rFonts w:hint="eastAsia"/>
          <w:color w:val="auto"/>
          <w:highlight w:val="none"/>
          <w:lang w:val="en-US" w:eastAsia="zh-CN"/>
        </w:rPr>
      </w:pPr>
      <w:r>
        <w:rPr>
          <w:rFonts w:hint="eastAsia"/>
          <w:b/>
          <w:bCs/>
          <w:color w:val="auto"/>
          <w:highlight w:val="none"/>
          <w:lang w:val="en-US" w:eastAsia="zh-CN"/>
        </w:rPr>
        <w:t>在战略决策层，</w:t>
      </w:r>
      <w:r>
        <w:rPr>
          <w:rFonts w:hint="eastAsia"/>
          <w:color w:val="auto"/>
          <w:highlight w:val="none"/>
          <w:lang w:val="en-US" w:eastAsia="zh-CN"/>
        </w:rPr>
        <w:t>工程选址应将生态安全作为刚性否决要件，依法开展规划环评与项目环评，主动避让生态保护红线、永久基本农田和城镇开发边界，对跨界河流、水源涵养区等敏感区域项目引入第三方独立环评与公众听证，从源头杜绝环境不可逆破坏。</w:t>
      </w:r>
    </w:p>
    <w:p>
      <w:pPr>
        <w:numPr>
          <w:ilvl w:val="0"/>
          <w:numId w:val="0"/>
        </w:numPr>
        <w:ind w:firstLine="562" w:firstLineChars="200"/>
        <w:rPr>
          <w:rFonts w:hint="eastAsia"/>
          <w:color w:val="auto"/>
          <w:highlight w:val="none"/>
          <w:lang w:val="en-US" w:eastAsia="zh-CN"/>
        </w:rPr>
      </w:pPr>
      <w:r>
        <w:rPr>
          <w:rFonts w:hint="eastAsia"/>
          <w:b/>
          <w:bCs/>
          <w:color w:val="auto"/>
          <w:highlight w:val="none"/>
          <w:lang w:val="en-US" w:eastAsia="zh-CN"/>
        </w:rPr>
        <w:t>在过程管理层面，</w:t>
      </w:r>
      <w:r>
        <w:rPr>
          <w:rFonts w:hint="eastAsia"/>
          <w:color w:val="auto"/>
          <w:highlight w:val="none"/>
          <w:lang w:val="en-US" w:eastAsia="zh-CN"/>
        </w:rPr>
        <w:t>全面推行</w:t>
      </w:r>
      <w:r>
        <w:rPr>
          <w:rFonts w:hint="eastAsia"/>
          <w:color w:val="auto"/>
          <w:highlight w:val="none"/>
          <w:lang w:eastAsia="zh-CN"/>
        </w:rPr>
        <w:t>“</w:t>
      </w:r>
      <w:r>
        <w:rPr>
          <w:rFonts w:hint="eastAsia"/>
          <w:color w:val="auto"/>
          <w:highlight w:val="none"/>
          <w:lang w:val="en-US" w:eastAsia="zh-CN"/>
        </w:rPr>
        <w:t>三同时</w:t>
      </w:r>
      <w:r>
        <w:rPr>
          <w:rFonts w:hint="eastAsia"/>
          <w:color w:val="auto"/>
          <w:highlight w:val="none"/>
          <w:lang w:eastAsia="zh-CN"/>
        </w:rPr>
        <w:t>”</w:t>
      </w:r>
      <w:r>
        <w:rPr>
          <w:rFonts w:hint="eastAsia"/>
          <w:color w:val="auto"/>
          <w:highlight w:val="none"/>
          <w:lang w:val="en-US" w:eastAsia="zh-CN"/>
        </w:rPr>
        <w:t>全周期绿色管控，要求环保设施与主体工程同时设计、同时施工、同时投产使用，施工期必须采用围挡封闭、洒水降尘、低噪声设备，分类处置弃渣废水并优先回用，合理安排工期避让鱼类产卵与候鸟繁殖敏感期，运行期优先保障生态基流下泄，科学设置鱼道与增殖放流站，保留河滩湿地，将生态理念贯穿工程全生命周期。</w:t>
      </w:r>
    </w:p>
    <w:p>
      <w:pPr>
        <w:numPr>
          <w:ilvl w:val="0"/>
          <w:numId w:val="0"/>
        </w:numPr>
        <w:ind w:firstLine="562" w:firstLineChars="200"/>
        <w:rPr>
          <w:rFonts w:hint="eastAsia"/>
          <w:color w:val="auto"/>
          <w:highlight w:val="none"/>
          <w:lang w:val="en-US" w:eastAsia="zh-CN"/>
        </w:rPr>
      </w:pPr>
      <w:r>
        <w:rPr>
          <w:rFonts w:hint="eastAsia"/>
          <w:b/>
          <w:bCs/>
          <w:color w:val="auto"/>
          <w:highlight w:val="none"/>
          <w:lang w:val="en-US" w:eastAsia="zh-CN"/>
        </w:rPr>
        <w:t>在技术实施层，</w:t>
      </w:r>
      <w:r>
        <w:rPr>
          <w:rFonts w:hint="eastAsia"/>
          <w:color w:val="auto"/>
          <w:highlight w:val="none"/>
          <w:lang w:val="en-US" w:eastAsia="zh-CN"/>
        </w:rPr>
        <w:t>建立水利信息化智慧监测预警平台，对水源区、输水廊道、受水区生态环境进行实时感知与年度动态评估，运用AI驱动</w:t>
      </w:r>
      <w:r>
        <w:rPr>
          <w:rFonts w:hint="eastAsia"/>
          <w:color w:val="auto"/>
          <w:highlight w:val="none"/>
          <w:lang w:eastAsia="zh-CN"/>
        </w:rPr>
        <w:t>“</w:t>
      </w:r>
      <w:r>
        <w:rPr>
          <w:rFonts w:hint="eastAsia"/>
          <w:color w:val="auto"/>
          <w:highlight w:val="none"/>
          <w:lang w:val="en-US" w:eastAsia="zh-CN"/>
        </w:rPr>
        <w:t>预报－预警－预演－预案</w:t>
      </w:r>
      <w:r>
        <w:rPr>
          <w:rFonts w:hint="eastAsia"/>
          <w:color w:val="auto"/>
          <w:highlight w:val="none"/>
          <w:lang w:eastAsia="zh-CN"/>
        </w:rPr>
        <w:t>”</w:t>
      </w:r>
      <w:r>
        <w:rPr>
          <w:rFonts w:hint="eastAsia"/>
          <w:color w:val="auto"/>
          <w:highlight w:val="none"/>
          <w:lang w:val="en-US" w:eastAsia="zh-CN"/>
        </w:rPr>
        <w:t>机制实现生态流量动态优化调度，当监测数据显示关键物种锐减、湿地退化加速等负面趋势时，自动触发熔断式规划修订程序，确保减缓措施精准响应而非静态僵化。</w:t>
      </w:r>
    </w:p>
    <w:p>
      <w:pPr>
        <w:numPr>
          <w:ilvl w:val="0"/>
          <w:numId w:val="0"/>
        </w:numPr>
        <w:ind w:firstLine="562" w:firstLineChars="200"/>
        <w:rPr>
          <w:rFonts w:hint="eastAsia"/>
          <w:b/>
          <w:bCs/>
          <w:color w:val="auto"/>
          <w:highlight w:val="none"/>
          <w:lang w:val="en-US" w:eastAsia="zh-CN"/>
        </w:rPr>
      </w:pPr>
      <w:r>
        <w:rPr>
          <w:rFonts w:hint="eastAsia"/>
          <w:b/>
          <w:bCs/>
          <w:color w:val="auto"/>
          <w:highlight w:val="none"/>
          <w:lang w:val="en-US" w:eastAsia="zh-CN"/>
        </w:rPr>
        <w:t>在制度保障层，</w:t>
      </w:r>
      <w:r>
        <w:rPr>
          <w:rFonts w:hint="eastAsia"/>
          <w:color w:val="auto"/>
          <w:highlight w:val="none"/>
          <w:lang w:val="en-US" w:eastAsia="zh-CN"/>
        </w:rPr>
        <w:t>针对喀什地区绿洲经济特点，建立</w:t>
      </w:r>
      <w:r>
        <w:rPr>
          <w:rFonts w:hint="eastAsia"/>
          <w:color w:val="auto"/>
          <w:highlight w:val="none"/>
          <w:lang w:eastAsia="zh-CN"/>
        </w:rPr>
        <w:t>“</w:t>
      </w:r>
      <w:r>
        <w:rPr>
          <w:rFonts w:hint="default"/>
          <w:color w:val="auto"/>
          <w:highlight w:val="none"/>
          <w:lang w:val="en-US" w:eastAsia="zh-CN"/>
        </w:rPr>
        <w:t>合同节水+水权交易+民族特色生态产业</w:t>
      </w:r>
      <w:r>
        <w:rPr>
          <w:rFonts w:hint="eastAsia"/>
          <w:color w:val="auto"/>
          <w:highlight w:val="none"/>
          <w:lang w:eastAsia="zh-CN"/>
        </w:rPr>
        <w:t>”</w:t>
      </w:r>
      <w:r>
        <w:rPr>
          <w:rFonts w:hint="default"/>
          <w:color w:val="auto"/>
          <w:highlight w:val="none"/>
          <w:lang w:val="en-US" w:eastAsia="zh-CN"/>
        </w:rPr>
        <w:t>模式，吸引社会资本参与盐碱地改良、膜下滴灌改造，让节水户获得的交易收益优先投向民族手工业、特色林果业等绿色转型，实现节水富民与生态改善双赢</w:t>
      </w:r>
      <w:r>
        <w:rPr>
          <w:rFonts w:hint="eastAsia"/>
          <w:color w:val="auto"/>
          <w:highlight w:val="none"/>
          <w:lang w:val="en-US" w:eastAsia="zh-CN"/>
        </w:rPr>
        <w:t>。</w:t>
      </w:r>
      <w:r>
        <w:rPr>
          <w:rFonts w:hint="default" w:ascii="Segoe UI" w:hAnsi="Segoe UI" w:eastAsia="Segoe UI" w:cs="Segoe UI"/>
          <w:i w:val="0"/>
          <w:caps w:val="0"/>
          <w:color w:val="auto"/>
          <w:spacing w:val="0"/>
          <w:sz w:val="16"/>
          <w:szCs w:val="16"/>
          <w:highlight w:val="none"/>
          <w:u w:val="single"/>
          <w:vertAlign w:val="baseline"/>
        </w:rPr>
        <w:fldChar w:fldCharType="begin"/>
      </w:r>
      <w:r>
        <w:rPr>
          <w:rFonts w:hint="default" w:ascii="Segoe UI" w:hAnsi="Segoe UI" w:eastAsia="Segoe UI" w:cs="Segoe UI"/>
          <w:i w:val="0"/>
          <w:caps w:val="0"/>
          <w:color w:val="auto"/>
          <w:spacing w:val="0"/>
          <w:sz w:val="16"/>
          <w:szCs w:val="16"/>
          <w:highlight w:val="none"/>
          <w:u w:val="single"/>
          <w:vertAlign w:val="baseline"/>
        </w:rPr>
        <w:instrText xml:space="preserve"> HYPERLINK "http://www.xj.news.cn/20241218/556f7a124e0647b7ae0d7a249220d7ce/c.html" \t "https://www.kimi.com/chat/_blank" </w:instrText>
      </w:r>
      <w:r>
        <w:rPr>
          <w:rFonts w:hint="default" w:ascii="Segoe UI" w:hAnsi="Segoe UI" w:eastAsia="Segoe UI" w:cs="Segoe UI"/>
          <w:i w:val="0"/>
          <w:caps w:val="0"/>
          <w:color w:val="auto"/>
          <w:spacing w:val="0"/>
          <w:sz w:val="16"/>
          <w:szCs w:val="16"/>
          <w:highlight w:val="none"/>
          <w:u w:val="single"/>
          <w:vertAlign w:val="baseline"/>
        </w:rPr>
        <w:fldChar w:fldCharType="separate"/>
      </w:r>
      <w:r>
        <w:rPr>
          <w:rFonts w:hint="default" w:ascii="Segoe UI" w:hAnsi="Segoe UI" w:eastAsia="Segoe UI" w:cs="Segoe UI"/>
          <w:i w:val="0"/>
          <w:caps w:val="0"/>
          <w:color w:val="auto"/>
          <w:spacing w:val="0"/>
          <w:sz w:val="16"/>
          <w:szCs w:val="16"/>
          <w:highlight w:val="none"/>
          <w:u w:val="single"/>
          <w:vertAlign w:val="baseline"/>
        </w:rPr>
        <w:fldChar w:fldCharType="end"/>
      </w:r>
    </w:p>
    <w:bookmarkEnd w:id="361"/>
    <w:bookmarkEnd w:id="362"/>
    <w:bookmarkEnd w:id="363"/>
    <w:p>
      <w:pPr>
        <w:pStyle w:val="3"/>
        <w:bidi w:val="0"/>
        <w:rPr>
          <w:rFonts w:hint="eastAsia"/>
          <w:color w:val="auto"/>
          <w:highlight w:val="none"/>
          <w:lang w:val="en-US" w:eastAsia="zh-CN"/>
        </w:rPr>
      </w:pPr>
      <w:bookmarkStart w:id="365" w:name="_Toc16253"/>
      <w:bookmarkStart w:id="366" w:name="_Toc13621"/>
      <w:bookmarkStart w:id="367" w:name="_Toc188448061"/>
      <w:bookmarkStart w:id="368" w:name="_Toc195289672"/>
      <w:bookmarkStart w:id="369" w:name="_Toc109336727_WPSOffice_Level1"/>
      <w:bookmarkStart w:id="370" w:name="_Toc418"/>
      <w:bookmarkStart w:id="371" w:name="_Toc1666263755_WPSOffice_Level1"/>
      <w:bookmarkStart w:id="372" w:name="_Toc195289671"/>
      <w:r>
        <w:rPr>
          <w:rFonts w:hint="eastAsia"/>
          <w:color w:val="auto"/>
          <w:highlight w:val="none"/>
          <w:lang w:val="en-US" w:eastAsia="zh-CN"/>
        </w:rPr>
        <w:t>九、保障措施</w:t>
      </w:r>
      <w:bookmarkEnd w:id="365"/>
      <w:bookmarkEnd w:id="366"/>
      <w:bookmarkEnd w:id="367"/>
      <w:bookmarkEnd w:id="368"/>
      <w:bookmarkEnd w:id="369"/>
      <w:bookmarkEnd w:id="370"/>
    </w:p>
    <w:p>
      <w:pPr>
        <w:pStyle w:val="4"/>
        <w:numPr>
          <w:ilvl w:val="2"/>
          <w:numId w:val="0"/>
        </w:numPr>
        <w:bidi w:val="0"/>
        <w:ind w:leftChars="200"/>
        <w:rPr>
          <w:rFonts w:hint="eastAsia"/>
          <w:color w:val="auto"/>
          <w:highlight w:val="none"/>
          <w:lang w:val="en-US" w:eastAsia="zh-CN"/>
        </w:rPr>
      </w:pPr>
      <w:bookmarkStart w:id="373" w:name="_Toc18300"/>
      <w:bookmarkStart w:id="374" w:name="_Toc1180503984_WPSOffice_Level2"/>
      <w:bookmarkStart w:id="375" w:name="_Toc195289673"/>
      <w:bookmarkStart w:id="376" w:name="_Toc188448062"/>
      <w:bookmarkStart w:id="377" w:name="_Toc9567"/>
      <w:r>
        <w:rPr>
          <w:rFonts w:hint="eastAsia"/>
          <w:color w:val="auto"/>
          <w:highlight w:val="none"/>
          <w:lang w:val="en-US" w:eastAsia="zh-CN"/>
        </w:rPr>
        <w:t>（四十八）加强党的领导</w:t>
      </w:r>
      <w:bookmarkEnd w:id="373"/>
      <w:bookmarkEnd w:id="374"/>
      <w:bookmarkEnd w:id="375"/>
      <w:bookmarkEnd w:id="376"/>
      <w:bookmarkEnd w:id="377"/>
    </w:p>
    <w:p>
      <w:pPr>
        <w:bidi w:val="0"/>
        <w:rPr>
          <w:color w:val="auto"/>
          <w:highlight w:val="none"/>
        </w:rPr>
      </w:pPr>
      <w:bookmarkStart w:id="378" w:name="OLE_LINK53"/>
      <w:r>
        <w:rPr>
          <w:rFonts w:hint="eastAsia"/>
          <w:color w:val="auto"/>
          <w:highlight w:val="none"/>
          <w:lang w:val="en-US" w:eastAsia="zh-CN"/>
        </w:rPr>
        <w:t>加强党的领导是“十五五”水安全保障规划落地生根的根本保证。</w:t>
      </w:r>
      <w:bookmarkStart w:id="379" w:name="OLE_LINK36"/>
      <w:r>
        <w:rPr>
          <w:rFonts w:hint="default"/>
          <w:color w:val="auto"/>
          <w:highlight w:val="none"/>
          <w:lang w:val="en-US" w:eastAsia="zh-CN"/>
        </w:rPr>
        <w:t>要把党的领导贯穿水旱灾害防御、水资源优化配置</w:t>
      </w:r>
      <w:r>
        <w:rPr>
          <w:rFonts w:hint="eastAsia"/>
          <w:color w:val="auto"/>
          <w:highlight w:val="none"/>
          <w:lang w:val="en-US" w:eastAsia="zh-CN"/>
        </w:rPr>
        <w:t>、</w:t>
      </w:r>
      <w:r>
        <w:rPr>
          <w:rFonts w:hint="default"/>
          <w:color w:val="auto"/>
          <w:highlight w:val="none"/>
          <w:lang w:val="en-US" w:eastAsia="zh-CN"/>
        </w:rPr>
        <w:t>河湖生态保护治理、农村供水保障</w:t>
      </w:r>
      <w:r>
        <w:rPr>
          <w:rFonts w:hint="eastAsia"/>
          <w:color w:val="auto"/>
          <w:highlight w:val="none"/>
          <w:lang w:val="en-US" w:eastAsia="zh-CN"/>
        </w:rPr>
        <w:t>、</w:t>
      </w:r>
      <w:r>
        <w:rPr>
          <w:rFonts w:hint="default"/>
          <w:color w:val="auto"/>
          <w:highlight w:val="none"/>
          <w:lang w:val="en-US" w:eastAsia="zh-CN"/>
        </w:rPr>
        <w:t>重大水利工程建设等各领域全过程，健全党委领导、政府负责、部门协同、社会参与的工作格局，推动河湖长制、防汛抗旱责任、最严格水资源管理制度和工程建设运行安全监管落到</w:t>
      </w:r>
      <w:r>
        <w:rPr>
          <w:rFonts w:hint="eastAsia"/>
          <w:color w:val="auto"/>
          <w:highlight w:val="none"/>
          <w:lang w:val="en-US" w:eastAsia="zh-CN"/>
        </w:rPr>
        <w:t>实处</w:t>
      </w:r>
      <w:r>
        <w:rPr>
          <w:rFonts w:hint="default"/>
          <w:color w:val="auto"/>
          <w:highlight w:val="none"/>
          <w:lang w:val="en-US" w:eastAsia="zh-CN"/>
        </w:rPr>
        <w:t>。</w:t>
      </w:r>
      <w:r>
        <w:rPr>
          <w:rFonts w:hint="eastAsia"/>
          <w:color w:val="auto"/>
          <w:highlight w:val="none"/>
        </w:rPr>
        <w:t>完善上下贯通、密切协作、执行有力的组织体系，形成逐级落实推动的</w:t>
      </w:r>
      <w:r>
        <w:rPr>
          <w:rFonts w:hint="eastAsia"/>
          <w:color w:val="auto"/>
          <w:highlight w:val="none"/>
          <w:lang w:eastAsia="zh-CN"/>
        </w:rPr>
        <w:t>“</w:t>
      </w:r>
      <w:r>
        <w:rPr>
          <w:rFonts w:hint="eastAsia"/>
          <w:color w:val="auto"/>
          <w:highlight w:val="none"/>
        </w:rPr>
        <w:t>十五五</w:t>
      </w:r>
      <w:r>
        <w:rPr>
          <w:rFonts w:hint="eastAsia"/>
          <w:color w:val="auto"/>
          <w:highlight w:val="none"/>
          <w:lang w:eastAsia="zh-CN"/>
        </w:rPr>
        <w:t>”</w:t>
      </w:r>
      <w:r>
        <w:rPr>
          <w:rFonts w:hint="eastAsia"/>
          <w:color w:val="auto"/>
          <w:highlight w:val="none"/>
        </w:rPr>
        <w:t>水安全保障规划建设工作格局。</w:t>
      </w:r>
    </w:p>
    <w:bookmarkEnd w:id="378"/>
    <w:bookmarkEnd w:id="379"/>
    <w:p>
      <w:pPr>
        <w:pStyle w:val="4"/>
        <w:numPr>
          <w:ilvl w:val="2"/>
          <w:numId w:val="0"/>
        </w:numPr>
        <w:bidi w:val="0"/>
        <w:ind w:leftChars="200"/>
        <w:rPr>
          <w:rFonts w:hint="eastAsia"/>
          <w:color w:val="auto"/>
          <w:highlight w:val="none"/>
          <w:lang w:val="en-US" w:eastAsia="zh-CN"/>
        </w:rPr>
      </w:pPr>
      <w:bookmarkStart w:id="380" w:name="_Toc10587"/>
      <w:bookmarkStart w:id="381" w:name="_Toc17347"/>
      <w:r>
        <w:rPr>
          <w:rFonts w:hint="eastAsia"/>
          <w:color w:val="auto"/>
          <w:highlight w:val="none"/>
          <w:lang w:val="en-US" w:eastAsia="zh-CN"/>
        </w:rPr>
        <w:t>（四十九）加强</w:t>
      </w:r>
      <w:bookmarkEnd w:id="380"/>
      <w:bookmarkEnd w:id="381"/>
      <w:r>
        <w:rPr>
          <w:rFonts w:hint="eastAsia"/>
          <w:color w:val="auto"/>
          <w:highlight w:val="none"/>
          <w:lang w:val="en-US" w:eastAsia="zh-CN"/>
        </w:rPr>
        <w:t>规划统筹</w:t>
      </w:r>
    </w:p>
    <w:p>
      <w:pPr>
        <w:bidi w:val="0"/>
        <w:rPr>
          <w:rFonts w:hint="default"/>
          <w:color w:val="auto"/>
          <w:highlight w:val="none"/>
          <w:lang w:val="en-US" w:eastAsia="zh-CN"/>
        </w:rPr>
      </w:pPr>
      <w:r>
        <w:rPr>
          <w:rFonts w:hint="eastAsia"/>
          <w:color w:val="auto"/>
          <w:highlight w:val="none"/>
          <w:lang w:val="en-US" w:eastAsia="zh-CN"/>
        </w:rPr>
        <w:t>坚持流域系统治理理念，强化流域管理机构在规划协调中的统筹协调作用，建立跨部门、跨区域规划衔接机制，推动水安全保障规划与国土空间规划、生态环境保护规划、农业农村现代化规划等</w:t>
      </w:r>
      <w:r>
        <w:rPr>
          <w:rFonts w:hint="eastAsia"/>
          <w:color w:val="auto"/>
          <w:highlight w:val="none"/>
          <w:lang w:eastAsia="zh-CN"/>
        </w:rPr>
        <w:t>“</w:t>
      </w:r>
      <w:r>
        <w:rPr>
          <w:rFonts w:hint="eastAsia"/>
          <w:color w:val="auto"/>
          <w:highlight w:val="none"/>
          <w:lang w:val="en-US" w:eastAsia="zh-CN"/>
        </w:rPr>
        <w:t>多规合一”，统一技术标准与数据底板，依托数字孪生水利平台实现规划信息动态共享与冲突智能预警，统筹流域与区域、开发与保护、建设与管理，优化省市县三级规划体系，避免重复建设和资源浪费，确保各类水利项目在目标、布局、时序上协同一致，形成</w:t>
      </w:r>
      <w:r>
        <w:rPr>
          <w:rFonts w:hint="eastAsia"/>
          <w:color w:val="auto"/>
          <w:highlight w:val="none"/>
          <w:lang w:eastAsia="zh-CN"/>
        </w:rPr>
        <w:t>“</w:t>
      </w:r>
      <w:r>
        <w:rPr>
          <w:rFonts w:hint="eastAsia"/>
          <w:color w:val="auto"/>
          <w:highlight w:val="none"/>
          <w:lang w:val="en-US" w:eastAsia="zh-CN"/>
        </w:rPr>
        <w:t>一盘棋”的现代化水安全保障格局，全面提升水网建设的整体性、系统性和综合效益。</w:t>
      </w:r>
    </w:p>
    <w:p>
      <w:pPr>
        <w:pStyle w:val="4"/>
        <w:numPr>
          <w:ilvl w:val="2"/>
          <w:numId w:val="0"/>
        </w:numPr>
        <w:bidi w:val="0"/>
        <w:ind w:leftChars="200"/>
        <w:rPr>
          <w:rFonts w:hint="default"/>
          <w:color w:val="auto"/>
          <w:highlight w:val="none"/>
          <w:lang w:val="en-US" w:eastAsia="zh-CN"/>
        </w:rPr>
      </w:pPr>
      <w:bookmarkStart w:id="382" w:name="_Toc195289675"/>
      <w:bookmarkStart w:id="383" w:name="_Toc1583076039_WPSOffice_Level2"/>
      <w:bookmarkStart w:id="384" w:name="_Toc188448064"/>
      <w:bookmarkStart w:id="385" w:name="_Toc3677"/>
      <w:bookmarkStart w:id="386" w:name="_Toc3825"/>
      <w:bookmarkStart w:id="387" w:name="OLE_LINK40"/>
      <w:r>
        <w:rPr>
          <w:rFonts w:hint="eastAsia"/>
          <w:color w:val="auto"/>
          <w:highlight w:val="none"/>
          <w:lang w:val="en-US" w:eastAsia="zh-CN"/>
        </w:rPr>
        <w:t>（五十）加</w:t>
      </w:r>
      <w:bookmarkEnd w:id="382"/>
      <w:bookmarkEnd w:id="383"/>
      <w:bookmarkEnd w:id="384"/>
      <w:r>
        <w:rPr>
          <w:rFonts w:hint="eastAsia"/>
          <w:color w:val="auto"/>
          <w:highlight w:val="none"/>
          <w:lang w:val="en-US" w:eastAsia="zh-CN"/>
        </w:rPr>
        <w:t>强组织实施</w:t>
      </w:r>
      <w:bookmarkEnd w:id="385"/>
      <w:bookmarkEnd w:id="386"/>
      <w:bookmarkEnd w:id="387"/>
    </w:p>
    <w:p>
      <w:pPr>
        <w:bidi w:val="0"/>
        <w:rPr>
          <w:rFonts w:hint="default"/>
          <w:color w:val="auto"/>
          <w:highlight w:val="none"/>
          <w:lang w:val="en-US" w:eastAsia="zh-CN"/>
        </w:rPr>
      </w:pPr>
      <w:bookmarkStart w:id="388" w:name="_Toc1118673505_WPSOffice_Level2"/>
      <w:bookmarkStart w:id="389" w:name="_Toc195289676"/>
      <w:bookmarkStart w:id="390" w:name="_Toc188448065"/>
      <w:bookmarkStart w:id="391" w:name="_Toc13680"/>
      <w:bookmarkStart w:id="392" w:name="_Toc4672"/>
      <w:r>
        <w:rPr>
          <w:rFonts w:hint="eastAsia"/>
          <w:color w:val="auto"/>
          <w:highlight w:val="none"/>
          <w:lang w:val="en-US" w:eastAsia="zh-CN"/>
        </w:rPr>
        <w:t>加强组织实施是规划落地见效的根本保障。压实各级水利部门主体责任，建立部省联动、部门协同的规划实施机制，将目标任务分解纳入年度计划清单，实行目标责任制；健全重大水利工程协调会商机制，强化与发展改革、财政等部门联动；</w:t>
      </w:r>
      <w:r>
        <w:rPr>
          <w:rFonts w:hint="default"/>
          <w:color w:val="auto"/>
          <w:highlight w:val="none"/>
          <w:lang w:val="en-US" w:eastAsia="zh-CN"/>
        </w:rPr>
        <w:t>建立规划评估制度，全面评价目标完成与效益发挥情况，评估结果分别作为完善后续政策与编制</w:t>
      </w:r>
      <w:r>
        <w:rPr>
          <w:rFonts w:hint="eastAsia"/>
          <w:color w:val="auto"/>
          <w:highlight w:val="none"/>
          <w:lang w:val="en-US" w:eastAsia="zh-CN"/>
        </w:rPr>
        <w:t>“</w:t>
      </w:r>
      <w:r>
        <w:rPr>
          <w:rFonts w:hint="default"/>
          <w:color w:val="auto"/>
          <w:highlight w:val="none"/>
          <w:lang w:val="en-US" w:eastAsia="zh-CN"/>
        </w:rPr>
        <w:t>十六五</w:t>
      </w:r>
      <w:r>
        <w:rPr>
          <w:rFonts w:hint="eastAsia"/>
          <w:color w:val="auto"/>
          <w:highlight w:val="none"/>
          <w:lang w:val="en-US" w:eastAsia="zh-CN"/>
        </w:rPr>
        <w:t>”</w:t>
      </w:r>
      <w:r>
        <w:rPr>
          <w:rFonts w:hint="default"/>
          <w:color w:val="auto"/>
          <w:highlight w:val="none"/>
          <w:lang w:val="en-US" w:eastAsia="zh-CN"/>
        </w:rPr>
        <w:t>规划的重要依据；深化全过程监管，依托数字孪生平台实现重点项目实时监测，将实施情况纳入河长制考核，确保责任、措施、投入到位，推动规划蓝图转化为扎实成效。</w:t>
      </w:r>
    </w:p>
    <w:bookmarkEnd w:id="388"/>
    <w:bookmarkEnd w:id="389"/>
    <w:bookmarkEnd w:id="390"/>
    <w:p>
      <w:pPr>
        <w:pStyle w:val="4"/>
        <w:numPr>
          <w:ilvl w:val="2"/>
          <w:numId w:val="0"/>
        </w:numPr>
        <w:bidi w:val="0"/>
        <w:ind w:leftChars="200"/>
        <w:rPr>
          <w:rFonts w:hint="default"/>
          <w:color w:val="auto"/>
          <w:highlight w:val="none"/>
          <w:lang w:val="en-US" w:eastAsia="zh-CN"/>
        </w:rPr>
      </w:pPr>
      <w:bookmarkStart w:id="393" w:name="OLE_LINK43"/>
      <w:r>
        <w:rPr>
          <w:rFonts w:hint="eastAsia"/>
          <w:color w:val="auto"/>
          <w:highlight w:val="none"/>
          <w:lang w:val="en-US" w:eastAsia="zh-CN"/>
        </w:rPr>
        <w:t>（五十一）加强科技创新</w:t>
      </w:r>
      <w:bookmarkEnd w:id="391"/>
      <w:bookmarkEnd w:id="392"/>
      <w:bookmarkEnd w:id="393"/>
    </w:p>
    <w:p>
      <w:pPr>
        <w:bidi w:val="0"/>
        <w:rPr>
          <w:color w:val="auto"/>
          <w:highlight w:val="none"/>
        </w:rPr>
      </w:pPr>
      <w:r>
        <w:rPr>
          <w:rFonts w:hint="eastAsia"/>
          <w:color w:val="auto"/>
          <w:highlight w:val="none"/>
          <w:lang w:eastAsia="zh-CN"/>
        </w:rPr>
        <w:t>“</w:t>
      </w:r>
      <w:r>
        <w:rPr>
          <w:rFonts w:hint="eastAsia"/>
          <w:color w:val="auto"/>
          <w:highlight w:val="none"/>
        </w:rPr>
        <w:t>十五五</w:t>
      </w:r>
      <w:r>
        <w:rPr>
          <w:rFonts w:hint="eastAsia"/>
          <w:color w:val="auto"/>
          <w:highlight w:val="none"/>
          <w:lang w:eastAsia="zh-CN"/>
        </w:rPr>
        <w:t>”</w:t>
      </w:r>
      <w:r>
        <w:rPr>
          <w:rFonts w:hint="eastAsia"/>
          <w:color w:val="auto"/>
          <w:highlight w:val="none"/>
        </w:rPr>
        <w:t>水安全保障规划</w:t>
      </w:r>
      <w:bookmarkStart w:id="394" w:name="OLE_LINK44"/>
      <w:r>
        <w:rPr>
          <w:rFonts w:hint="eastAsia"/>
          <w:color w:val="auto"/>
          <w:highlight w:val="none"/>
        </w:rPr>
        <w:t>把科技创新作为突破水资源瓶颈的核心引擎，重点开展流域水资源承载能力系统研究</w:t>
      </w:r>
      <w:bookmarkEnd w:id="394"/>
      <w:r>
        <w:rPr>
          <w:rFonts w:hint="eastAsia"/>
          <w:color w:val="auto"/>
          <w:highlight w:val="none"/>
        </w:rPr>
        <w:t>：构建一体化大数据平台，耦合经济社会用水、水循环过程、水生态响应等模块，研发具有自主知识产权的水资源动态评价与预警模型；运用AI算法和数字孪生技术，对区域用水总量、产业用水效率、生态流量达标率进行实时诊断和情景推演，实现超载红线</w:t>
      </w:r>
      <w:r>
        <w:rPr>
          <w:rFonts w:hint="eastAsia"/>
          <w:color w:val="auto"/>
          <w:highlight w:val="none"/>
          <w:lang w:eastAsia="zh-CN"/>
        </w:rPr>
        <w:t>“</w:t>
      </w:r>
      <w:r>
        <w:rPr>
          <w:rFonts w:hint="eastAsia"/>
          <w:color w:val="auto"/>
          <w:highlight w:val="none"/>
        </w:rPr>
        <w:t>厘米级</w:t>
      </w:r>
      <w:r>
        <w:rPr>
          <w:rFonts w:hint="eastAsia"/>
          <w:color w:val="auto"/>
          <w:highlight w:val="none"/>
          <w:lang w:eastAsia="zh-CN"/>
        </w:rPr>
        <w:t>”</w:t>
      </w:r>
      <w:r>
        <w:rPr>
          <w:rFonts w:hint="eastAsia"/>
          <w:color w:val="auto"/>
          <w:highlight w:val="none"/>
        </w:rPr>
        <w:t>识别；推广水权-碳权-能权多指标联动的承载能力调控技术，</w:t>
      </w:r>
      <w:bookmarkStart w:id="395" w:name="OLE_LINK45"/>
      <w:r>
        <w:rPr>
          <w:rFonts w:hint="eastAsia"/>
          <w:color w:val="auto"/>
          <w:highlight w:val="none"/>
        </w:rPr>
        <w:t>为</w:t>
      </w:r>
      <w:r>
        <w:rPr>
          <w:rFonts w:hint="eastAsia"/>
          <w:color w:val="auto"/>
          <w:highlight w:val="none"/>
          <w:lang w:eastAsia="zh-CN"/>
        </w:rPr>
        <w:t>“</w:t>
      </w:r>
      <w:r>
        <w:rPr>
          <w:rFonts w:hint="eastAsia"/>
          <w:color w:val="auto"/>
          <w:highlight w:val="none"/>
        </w:rPr>
        <w:t>以水定需</w:t>
      </w:r>
      <w:r>
        <w:rPr>
          <w:rFonts w:hint="eastAsia"/>
          <w:color w:val="auto"/>
          <w:highlight w:val="none"/>
          <w:lang w:eastAsia="zh-CN"/>
        </w:rPr>
        <w:t>”</w:t>
      </w:r>
      <w:r>
        <w:rPr>
          <w:rFonts w:hint="eastAsia"/>
          <w:color w:val="auto"/>
          <w:highlight w:val="none"/>
        </w:rPr>
        <w:t>提供量化依据和动态方案，真正把水资源承载能力转化为可监测、可预警、可调控的硬约束，支撑经济社会发展与水资源承载能力相匹配。</w:t>
      </w:r>
      <w:bookmarkEnd w:id="371"/>
      <w:bookmarkEnd w:id="372"/>
      <w:bookmarkEnd w:id="395"/>
    </w:p>
    <w:sectPr>
      <w:footerReference r:id="rId13" w:type="default"/>
      <w:pgSz w:w="11906" w:h="16838"/>
      <w:pgMar w:top="1616" w:right="1417" w:bottom="1616" w:left="1417" w:header="850" w:footer="992" w:gutter="0"/>
      <w:pgNumType w:fmt="decimal"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decorative"/>
    <w:pitch w:val="default"/>
    <w:sig w:usb0="E0002EFF" w:usb1="C000785B" w:usb2="00000009" w:usb3="00000000" w:csb0="400001FF" w:csb1="FFFF0000"/>
  </w:font>
  <w:font w:name="宋体">
    <w:altName w:val="方正书宋_GBK"/>
    <w:panose1 w:val="02010600030101010101"/>
    <w:charset w:val="88"/>
    <w:family w:val="roman"/>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方正仿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Segoe UI">
    <w:altName w:val="Noto Naskh Arabic"/>
    <w:panose1 w:val="020B0502040204020203"/>
    <w:charset w:val="00"/>
    <w:family w:val="auto"/>
    <w:pitch w:val="default"/>
    <w:sig w:usb0="00000000" w:usb1="00000000" w:usb2="00000009" w:usb3="00000000" w:csb0="200001FF" w:csb1="00000000"/>
  </w:font>
  <w:font w:name="方正书宋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SQizEBwCAAApBAAADgAAAAAAAAABACAAAAA1AQAAZHJzL2Uyb0RvYy54bWxQSwUG&#10;AAAAAAYABgBZAQAAww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9"/>
                            <w:rPr>
                              <w:rFonts w:hint="eastAsia" w:eastAsia="方正仿宋_GBK"/>
                              <w:lang w:eastAsia="zh-CN"/>
                            </w:rPr>
                          </w:pP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BYAAABkcnMvUEsB&#10;AhQAFAAAAAgAh07iQM6pebnPAAAABQEAAA8AAAAAAAAAAQAgAAAAOAAAAGRycy9kb3ducmV2Lnht&#10;bFBLAQIUABQAAAAIAIdO4kAszGsKswEAAFIDAAAOAAAAAAAAAAEAIAAAADQBAABkcnMvZTJvRG9j&#10;LnhtbFBLBQYAAAAABgAGAFkBAABZBQAAAAA=&#10;">
              <v:fill on="f" focussize="0,0"/>
              <v:stroke on="f"/>
              <v:imagedata o:title=""/>
              <o:lock v:ext="edit" aspectratio="f"/>
              <v:textbox inset="0mm,0mm,0mm,0mm" style="mso-fit-shape-to-text:t;">
                <w:txbxContent>
                  <w:p>
                    <w:pPr>
                      <w:pStyle w:val="9"/>
                      <w:rPr>
                        <w:rFonts w:hint="eastAsia" w:eastAsia="方正仿宋_GBK"/>
                        <w:lang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0" w:firstLineChars="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20" name="文本框 520"/>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a:effectLst/>
                    </wps:spPr>
                    <wps:txbx>
                      <w:txbxContent>
                        <w:p>
                          <w:pPr>
                            <w:pStyle w:val="9"/>
                            <w:ind w:firstLine="36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BYAAABkcnMvUEsB&#10;AhQAFAAAAAgAh07iQLNJWO7QAAAABQEAAA8AAAAAAAAAAQAgAAAAOAAAAGRycy9kb3ducmV2Lnht&#10;bFBLAQIUABQAAAAIAIdO4kCPXKzsJAIAADsEAAAOAAAAAAAAAAEAIAAAADUBAABkcnMvZTJvRG9j&#10;LnhtbFBLBQYAAAAABgAGAFkBAADLBQAAAAA=&#10;">
              <v:fill on="f" focussize="0,0"/>
              <v:stroke on="f" weight="0.5pt"/>
              <v:imagedata o:title=""/>
              <o:lock v:ext="edit" aspectratio="f"/>
              <v:textbox inset="0mm,0mm,0mm,0mm" style="mso-fit-shape-to-text:t;">
                <w:txbxContent>
                  <w:p>
                    <w:pPr>
                      <w:pStyle w:val="9"/>
                      <w:ind w:firstLine="36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IDxM9IdAgAAKQQAAA4AAAAAAAAAAQAgAAAANQEAAGRycy9lMm9Eb2MueG1sUEsF&#10;BgAAAAAGAAYAWQEAAMQFAAAAAA==&#10;">
              <v:fill on="f" focussize="0,0"/>
              <v:stroke on="f" weight="0.5pt"/>
              <v:imagedata o:title=""/>
              <o:lock v:ext="edit" aspectratio="f"/>
              <v:textbox inset="0mm,0mm,0mm,0mm" style="mso-fit-shape-to-text:t;">
                <w:txbxContent>
                  <w:p>
                    <w:pPr>
                      <w:pStyle w:val="9"/>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wps:spPr>
                    <wps:txbx>
                      <w:txbxContent>
                        <w:p>
                          <w:pPr>
                            <w:pStyle w:val="9"/>
                            <w:rPr>
                              <w:rFonts w:hint="eastAsia" w:eastAsia="方正仿宋_GBK"/>
                              <w:lang w:eastAsia="zh-CN"/>
                            </w:rPr>
                          </w:pPr>
                        </w:p>
                      </w:txbxContent>
                    </wps:txbx>
                    <wps:bodyPr wrap="none" lIns="0" tIns="0" rIns="0" bIns="0" upright="fals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BYAAABkcnMvUEsB&#10;AhQAFAAAAAgAh07iQM6pebnPAAAABQEAAA8AAAAAAAAAAQAgAAAAOAAAAGRycy9kb3ducmV2Lnht&#10;bFBLAQIUABQAAAAIAIdO4kCqizKUswEAAFIDAAAOAAAAAAAAAAEAIAAAADQBAABkcnMvZTJvRG9j&#10;LnhtbFBLBQYAAAAABgAGAFkBAABZBQAAAAA=&#10;">
              <v:fill on="f" focussize="0,0"/>
              <v:stroke on="f"/>
              <v:imagedata o:title=""/>
              <o:lock v:ext="edit" aspectratio="f"/>
              <v:textbox inset="0mm,0mm,0mm,0mm" style="mso-fit-shape-to-text:t;">
                <w:txbxContent>
                  <w:p>
                    <w:pPr>
                      <w:pStyle w:val="9"/>
                      <w:rPr>
                        <w:rFonts w:hint="eastAsia" w:eastAsia="方正仿宋_GBK"/>
                        <w:lang w:eastAsia="zh-CN"/>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keepNext w:val="0"/>
      <w:keepLines w:val="0"/>
      <w:pageBreakBefore w:val="0"/>
      <w:widowControl/>
      <w:kinsoku/>
      <w:wordWrap/>
      <w:overflowPunct/>
      <w:topLinePunct w:val="0"/>
      <w:autoSpaceDE/>
      <w:autoSpaceDN/>
      <w:bidi w:val="0"/>
      <w:adjustRightInd/>
      <w:snapToGrid w:val="0"/>
      <w:spacing w:line="240" w:lineRule="auto"/>
      <w:ind w:firstLine="360"/>
      <w:jc w:val="center"/>
      <w:textAlignment w:val="auto"/>
      <w:rPr>
        <w:rFonts w:hint="eastAsia"/>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iMuAO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DiMuAOGwIAACkEAAAOAAAAAAAAAAEAIAAAADUBAABkcnMvZTJvRG9jLnhtbFBLBQYA&#10;AAAABgAGAFkBAADCBQAAAAA=&#10;">
              <v:fill on="f" focussize="0,0"/>
              <v:stroke on="f" weight="0.5pt"/>
              <v:imagedata o:title=""/>
              <o:lock v:ext="edit" aspectratio="f"/>
              <v:textbox inset="0mm,0mm,0mm,0mm" style="mso-fit-shape-to-text:t;">
                <w:txbxContent>
                  <w:p>
                    <w:pPr>
                      <w:pStyle w:val="9"/>
                    </w:pPr>
                  </w:p>
                </w:txbxContent>
              </v:textbox>
            </v:shap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Ca/cNOGwIAACkEAAAOAAAAAAAAAAEAIAAAADUBAABkcnMvZTJvRG9jLnhtbFBLBQYA&#10;AAAABgAGAFkBAADCBQAAAAA=&#10;">
              <v:fill on="f" focussize="0,0"/>
              <v:stroke on="f" weight="0.5pt"/>
              <v:imagedata o:title=""/>
              <o:lock v:ext="edit" aspectratio="f"/>
              <v:textbox inset="0mm,0mm,0mm,0mm" style="mso-fit-shape-to-text:t;">
                <w:txbxContent>
                  <w:p>
                    <w:pPr>
                      <w:pStyle w:val="9"/>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keepNext w:val="0"/>
      <w:keepLines w:val="0"/>
      <w:pageBreakBefore w:val="0"/>
      <w:widowControl/>
      <w:kinsoku/>
      <w:wordWrap/>
      <w:overflowPunct/>
      <w:topLinePunct w:val="0"/>
      <w:autoSpaceDE/>
      <w:autoSpaceDN/>
      <w:bidi w:val="0"/>
      <w:adjustRightInd/>
      <w:snapToGrid w:val="0"/>
      <w:spacing w:line="240" w:lineRule="auto"/>
      <w:ind w:firstLine="360"/>
      <w:jc w:val="center"/>
      <w:textAlignment w:val="auto"/>
      <w:rPr>
        <w:rFonts w:hint="eastAsia"/>
      </w:rPr>
    </w:pPr>
    <w:r>
      <w:rPr>
        <w:sz w:val="24"/>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WAAAAZHJzL1BLAQIUABQAAAAI&#10;AIdO4kCzSVju0AAAAAUBAAAPAAAAAAAAAAEAIAAAADgAAABkcnMvZG93bnJldi54bWxQSwECFAAU&#10;AAAACACHTuJAFsIeAxwCAAArBAAADgAAAAAAAAABACAAAAA1AQAAZHJzL2Uyb0RvYy54bWxQSwUG&#10;AAAAAAYABgBZAQAAwwU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jc w:val="center"/>
                          </w:pP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GQA+L8aAgAAKwQAAA4AAAAAAAAAAQAgAAAANQEAAGRycy9lMm9Eb2MueG1sUEsFBgAA&#10;AAAGAAYAWQEAAMEFAAAAAA==&#10;">
              <v:fill on="f" focussize="0,0"/>
              <v:stroke on="f" weight="0.5pt"/>
              <v:imagedata o:title=""/>
              <o:lock v:ext="edit" aspectratio="f"/>
              <v:textbox inset="0mm,0mm,0mm,0mm" style="mso-fit-shape-to-text:t;">
                <w:txbxContent>
                  <w:p>
                    <w:pPr>
                      <w:pStyle w:val="9"/>
                      <w:jc w:val="cente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thinThickMediumGap" w:color="auto" w:sz="18" w:space="1"/>
      </w:pBdr>
      <w:jc w:val="center"/>
      <w:rPr>
        <w:rFonts w:hint="eastAsia" w:ascii="黑体" w:hAnsi="黑体" w:eastAsia="黑体" w:cs="黑体"/>
        <w:sz w:val="21"/>
        <w:szCs w:val="21"/>
        <w:lang w:val="en-US" w:eastAsia="zh-CN"/>
      </w:rPr>
    </w:pPr>
    <w:r>
      <w:rPr>
        <w:rFonts w:hint="eastAsia" w:ascii="黑体" w:hAnsi="黑体" w:eastAsia="黑体" w:cs="黑体"/>
        <w:sz w:val="21"/>
        <w:szCs w:val="21"/>
        <w:lang w:val="en-US" w:eastAsia="zh-CN"/>
      </w:rPr>
      <w:t>喀什地区</w:t>
    </w:r>
    <w:r>
      <w:rPr>
        <w:rFonts w:hint="eastAsia" w:ascii="方正仿宋_GBK" w:hAnsi="方正仿宋_GBK" w:cs="方正仿宋_GBK"/>
        <w:sz w:val="21"/>
        <w:szCs w:val="21"/>
        <w:lang w:val="en-US" w:eastAsia="zh-CN"/>
      </w:rPr>
      <w:t>“</w:t>
    </w:r>
    <w:r>
      <w:rPr>
        <w:rFonts w:hint="eastAsia" w:ascii="黑体" w:hAnsi="黑体" w:eastAsia="黑体" w:cs="黑体"/>
        <w:sz w:val="21"/>
        <w:szCs w:val="21"/>
        <w:lang w:val="en-US" w:eastAsia="zh-CN"/>
      </w:rPr>
      <w:t>十五五</w:t>
    </w:r>
    <w:r>
      <w:rPr>
        <w:rFonts w:hint="eastAsia" w:ascii="方正仿宋_GBK" w:hAnsi="方正仿宋_GBK" w:cs="方正仿宋_GBK"/>
        <w:sz w:val="21"/>
        <w:szCs w:val="21"/>
        <w:lang w:val="en-US" w:eastAsia="zh-CN"/>
      </w:rPr>
      <w:t>”</w:t>
    </w:r>
    <w:r>
      <w:rPr>
        <w:rFonts w:hint="eastAsia" w:ascii="黑体" w:hAnsi="黑体" w:eastAsia="黑体" w:cs="黑体"/>
        <w:sz w:val="21"/>
        <w:szCs w:val="21"/>
        <w:lang w:val="en-US" w:eastAsia="zh-CN"/>
      </w:rPr>
      <w:t>水安全保障规划</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12" w:space="1"/>
      </w:pBdr>
      <w:tabs>
        <w:tab w:val="right" w:pos="9070"/>
        <w:tab w:val="right" w:pos="13606"/>
        <w:tab w:val="clear" w:pos="8306"/>
      </w:tabs>
      <w:spacing w:line="560" w:lineRule="exact"/>
      <w:ind w:left="700" w:leftChars="250" w:firstLine="0" w:firstLineChars="0"/>
    </w:pPr>
    <w:r>
      <w:rPr>
        <w:rFonts w:ascii="宋体" w:hAnsi="宋体"/>
        <w:position w:val="-7"/>
      </w:rPr>
      <w:drawing>
        <wp:anchor distT="0" distB="0" distL="114300" distR="114300" simplePos="0" relativeHeight="251660288" behindDoc="0" locked="0" layoutInCell="1" allowOverlap="1">
          <wp:simplePos x="0" y="0"/>
          <wp:positionH relativeFrom="column">
            <wp:posOffset>41275</wp:posOffset>
          </wp:positionH>
          <wp:positionV relativeFrom="paragraph">
            <wp:posOffset>151130</wp:posOffset>
          </wp:positionV>
          <wp:extent cx="362585" cy="365760"/>
          <wp:effectExtent l="0" t="0" r="3175" b="0"/>
          <wp:wrapNone/>
          <wp:docPr id="3" name="图片 2" descr="标志"/>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2" descr="标志"/>
                  <pic:cNvPicPr>
                    <a:picLocks noChangeAspect="true"/>
                  </pic:cNvPicPr>
                </pic:nvPicPr>
                <pic:blipFill>
                  <a:blip r:embed="rId1"/>
                  <a:stretch>
                    <a:fillRect/>
                  </a:stretch>
                </pic:blipFill>
                <pic:spPr>
                  <a:xfrm>
                    <a:off x="0" y="0"/>
                    <a:ext cx="362585" cy="365760"/>
                  </a:xfrm>
                  <a:prstGeom prst="rect">
                    <a:avLst/>
                  </a:prstGeom>
                  <a:noFill/>
                  <a:ln>
                    <a:noFill/>
                  </a:ln>
                </pic:spPr>
              </pic:pic>
            </a:graphicData>
          </a:graphic>
        </wp:anchor>
      </w:drawing>
    </w:r>
    <w:r>
      <w:rPr>
        <w:rFonts w:ascii="宋体" w:hAnsi="宋体"/>
        <w:position w:val="-7"/>
      </w:rPr>
      <w:t>喀什地区水网建设规划</w:t>
    </w:r>
    <w:r>
      <w:rPr>
        <w:rFonts w:ascii="宋体" w:hAnsi="宋体"/>
        <w:position w:val="-7"/>
      </w:rPr>
      <w:tab/>
    </w:r>
    <w:r>
      <w:rPr>
        <w:rFonts w:ascii="宋体" w:hAnsi="宋体"/>
        <w:position w:val="-7"/>
      </w:rPr>
      <w:tab/>
    </w:r>
    <w:r>
      <w:rPr>
        <w:rFonts w:ascii="宋体" w:hAnsi="宋体"/>
        <w:position w:val="-7"/>
      </w:rPr>
      <w:t>第一章建设基础与面临形势</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thinThickMediumGap" w:color="auto" w:sz="18" w:space="1"/>
      </w:pBdr>
      <w:jc w:val="center"/>
      <w:rPr>
        <w:rFonts w:hint="eastAsia" w:ascii="方正仿宋_GBK" w:hAnsi="方正仿宋_GBK" w:eastAsia="方正仿宋_GBK" w:cs="方正仿宋_GBK"/>
        <w:b/>
        <w:bCs/>
        <w:sz w:val="21"/>
        <w:szCs w:val="21"/>
        <w:lang w:val="en-US" w:eastAsia="zh-CN"/>
      </w:rPr>
    </w:pPr>
    <w:r>
      <w:rPr>
        <w:rFonts w:hint="eastAsia" w:ascii="方正仿宋_GBK" w:hAnsi="方正仿宋_GBK" w:eastAsia="方正仿宋_GBK" w:cs="方正仿宋_GBK"/>
        <w:b/>
        <w:bCs/>
        <w:sz w:val="21"/>
        <w:szCs w:val="21"/>
        <w:lang w:val="en-US" w:eastAsia="zh-CN"/>
      </w:rPr>
      <w:t>喀什地区</w:t>
    </w:r>
    <w:r>
      <w:rPr>
        <w:rFonts w:hint="eastAsia" w:ascii="方正仿宋_GBK" w:hAnsi="方正仿宋_GBK" w:cs="方正仿宋_GBK"/>
        <w:b/>
        <w:bCs/>
        <w:sz w:val="21"/>
        <w:szCs w:val="21"/>
        <w:lang w:val="en-US" w:eastAsia="zh-CN"/>
      </w:rPr>
      <w:t>“</w:t>
    </w:r>
    <w:r>
      <w:rPr>
        <w:rFonts w:hint="eastAsia" w:ascii="方正仿宋_GBK" w:hAnsi="方正仿宋_GBK" w:eastAsia="方正仿宋_GBK" w:cs="方正仿宋_GBK"/>
        <w:b/>
        <w:bCs/>
        <w:sz w:val="21"/>
        <w:szCs w:val="21"/>
        <w:lang w:val="en-US" w:eastAsia="zh-CN"/>
      </w:rPr>
      <w:t>十五五</w:t>
    </w:r>
    <w:r>
      <w:rPr>
        <w:rFonts w:hint="eastAsia" w:ascii="方正仿宋_GBK" w:hAnsi="方正仿宋_GBK" w:cs="方正仿宋_GBK"/>
        <w:b/>
        <w:bCs/>
        <w:sz w:val="21"/>
        <w:szCs w:val="21"/>
        <w:lang w:val="en-US" w:eastAsia="zh-CN"/>
      </w:rPr>
      <w:t>”</w:t>
    </w:r>
    <w:r>
      <w:rPr>
        <w:rFonts w:hint="eastAsia" w:ascii="方正仿宋_GBK" w:hAnsi="方正仿宋_GBK" w:eastAsia="方正仿宋_GBK" w:cs="方正仿宋_GBK"/>
        <w:b/>
        <w:bCs/>
        <w:sz w:val="21"/>
        <w:szCs w:val="21"/>
        <w:lang w:val="en-US" w:eastAsia="zh-CN"/>
      </w:rPr>
      <w:t>水安全保障规划</w:t>
    </w:r>
  </w:p>
  <w:p>
    <w:pPr>
      <w:keepNext w:val="0"/>
      <w:keepLines w:val="0"/>
      <w:pageBreakBefore w:val="0"/>
      <w:widowControl/>
      <w:tabs>
        <w:tab w:val="left" w:pos="1599"/>
      </w:tabs>
      <w:kinsoku/>
      <w:wordWrap/>
      <w:overflowPunct/>
      <w:topLinePunct w:val="0"/>
      <w:autoSpaceDE/>
      <w:autoSpaceDN/>
      <w:bidi w:val="0"/>
      <w:adjustRightInd/>
      <w:snapToGrid/>
      <w:spacing w:line="240" w:lineRule="auto"/>
      <w:textAlignment w:val="auto"/>
      <w:rPr>
        <w:rFonts w:hint="eastAsia" w:eastAsia="方正仿宋_GBK"/>
        <w:lang w:eastAsia="zh-CN"/>
      </w:rPr>
    </w:pPr>
    <w:r>
      <w:rPr>
        <w:rFonts w:hint="eastAsia"/>
        <w:sz w:val="18"/>
        <w:szCs w:val="18"/>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1A58FB"/>
    <w:multiLevelType w:val="multilevel"/>
    <w:tmpl w:val="261A58FB"/>
    <w:lvl w:ilvl="0" w:tentative="0">
      <w:start w:val="1"/>
      <w:numFmt w:val="chineseCounting"/>
      <w:suff w:val="nothing"/>
      <w:lvlText w:val="%1、"/>
      <w:lvlJc w:val="left"/>
      <w:pPr>
        <w:tabs>
          <w:tab w:val="left" w:pos="0"/>
        </w:tabs>
        <w:ind w:left="0" w:firstLine="0"/>
      </w:pPr>
      <w:rPr>
        <w:rFonts w:hint="eastAsia" w:ascii="黑体" w:hAnsi="黑体" w:eastAsia="黑体"/>
      </w:rPr>
    </w:lvl>
    <w:lvl w:ilvl="1" w:tentative="0">
      <w:start w:val="1"/>
      <w:numFmt w:val="chineseCounting"/>
      <w:suff w:val="nothing"/>
      <w:lvlText w:val="（%2）"/>
      <w:lvlJc w:val="left"/>
      <w:pPr>
        <w:tabs>
          <w:tab w:val="left" w:pos="0"/>
        </w:tabs>
        <w:ind w:left="0" w:firstLine="0"/>
      </w:pPr>
      <w:rPr>
        <w:rFonts w:hint="eastAsia" w:ascii="黑体" w:hAnsi="黑体" w:eastAsia="黑体"/>
      </w:rPr>
    </w:lvl>
    <w:lvl w:ilvl="2" w:tentative="0">
      <w:start w:val="1"/>
      <w:numFmt w:val="decimal"/>
      <w:pStyle w:val="4"/>
      <w:suff w:val="nothing"/>
      <w:lvlText w:val="%3．"/>
      <w:lvlJc w:val="left"/>
      <w:pPr>
        <w:tabs>
          <w:tab w:val="left" w:pos="0"/>
        </w:tabs>
        <w:ind w:left="0" w:firstLine="400"/>
      </w:pPr>
      <w:rPr>
        <w:rFonts w:hint="eastAsia" w:ascii="黑体" w:hAnsi="黑体" w:eastAsia="黑体"/>
      </w:rPr>
    </w:lvl>
    <w:lvl w:ilvl="3" w:tentative="0">
      <w:start w:val="1"/>
      <w:numFmt w:val="decimal"/>
      <w:suff w:val="nothing"/>
      <w:lvlText w:val="（%4）"/>
      <w:lvlJc w:val="left"/>
      <w:pPr>
        <w:tabs>
          <w:tab w:val="left" w:pos="0"/>
        </w:tabs>
        <w:ind w:left="158" w:firstLine="402"/>
      </w:pPr>
      <w:rPr>
        <w:rFonts w:hint="eastAsia" w:ascii="黑体" w:hAnsi="黑体" w:eastAsia="黑体"/>
      </w:rPr>
    </w:lvl>
    <w:lvl w:ilvl="4" w:tentative="0">
      <w:start w:val="1"/>
      <w:numFmt w:val="decimalEnclosedCircleChinese"/>
      <w:suff w:val="nothing"/>
      <w:lvlText w:val="%5"/>
      <w:lvlJc w:val="left"/>
      <w:pPr>
        <w:tabs>
          <w:tab w:val="left" w:pos="0"/>
        </w:tabs>
        <w:ind w:left="0" w:firstLine="402"/>
      </w:pPr>
      <w:rPr>
        <w:rFonts w:hint="eastAsia" w:ascii="黑体" w:hAnsi="黑体" w:eastAsia="黑体"/>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76AB9"/>
    <w:rsid w:val="006147BE"/>
    <w:rsid w:val="00815B74"/>
    <w:rsid w:val="00CB0CBB"/>
    <w:rsid w:val="01287DBE"/>
    <w:rsid w:val="018067FB"/>
    <w:rsid w:val="022B0BBB"/>
    <w:rsid w:val="02B76F4D"/>
    <w:rsid w:val="030872C7"/>
    <w:rsid w:val="030D78E8"/>
    <w:rsid w:val="037F14E9"/>
    <w:rsid w:val="0388769F"/>
    <w:rsid w:val="039A1177"/>
    <w:rsid w:val="039B0691"/>
    <w:rsid w:val="03CF5674"/>
    <w:rsid w:val="03E05266"/>
    <w:rsid w:val="040A7DCA"/>
    <w:rsid w:val="04117BDE"/>
    <w:rsid w:val="041E680A"/>
    <w:rsid w:val="04364D8B"/>
    <w:rsid w:val="04375034"/>
    <w:rsid w:val="043F6266"/>
    <w:rsid w:val="04BC223D"/>
    <w:rsid w:val="04E44851"/>
    <w:rsid w:val="05001E1A"/>
    <w:rsid w:val="05322830"/>
    <w:rsid w:val="05D8245A"/>
    <w:rsid w:val="05F23512"/>
    <w:rsid w:val="06A76A70"/>
    <w:rsid w:val="06C47189"/>
    <w:rsid w:val="06ED4932"/>
    <w:rsid w:val="070C1091"/>
    <w:rsid w:val="074C22BB"/>
    <w:rsid w:val="075D4404"/>
    <w:rsid w:val="075E5AC7"/>
    <w:rsid w:val="079C1A3B"/>
    <w:rsid w:val="07BE2128"/>
    <w:rsid w:val="08A52946"/>
    <w:rsid w:val="091E254C"/>
    <w:rsid w:val="09493EB5"/>
    <w:rsid w:val="09CA11E6"/>
    <w:rsid w:val="09E37492"/>
    <w:rsid w:val="0A747BEA"/>
    <w:rsid w:val="0A8322C1"/>
    <w:rsid w:val="0AC02230"/>
    <w:rsid w:val="0AE76262"/>
    <w:rsid w:val="0B273908"/>
    <w:rsid w:val="0B5605CC"/>
    <w:rsid w:val="0B6E3399"/>
    <w:rsid w:val="0BF648F3"/>
    <w:rsid w:val="0C225EEA"/>
    <w:rsid w:val="0C4C3815"/>
    <w:rsid w:val="0C523BE4"/>
    <w:rsid w:val="0C534543"/>
    <w:rsid w:val="0C826A22"/>
    <w:rsid w:val="0C8B3654"/>
    <w:rsid w:val="0D087556"/>
    <w:rsid w:val="0D0A1594"/>
    <w:rsid w:val="0D0E01E4"/>
    <w:rsid w:val="0D1575B4"/>
    <w:rsid w:val="0D77279E"/>
    <w:rsid w:val="0E4710A0"/>
    <w:rsid w:val="0EE94ED6"/>
    <w:rsid w:val="0F170EE4"/>
    <w:rsid w:val="0F274759"/>
    <w:rsid w:val="0F696E28"/>
    <w:rsid w:val="0F9D4A1B"/>
    <w:rsid w:val="100A4E02"/>
    <w:rsid w:val="10202B87"/>
    <w:rsid w:val="1050259F"/>
    <w:rsid w:val="105A0A16"/>
    <w:rsid w:val="10627213"/>
    <w:rsid w:val="107C04FD"/>
    <w:rsid w:val="10C23347"/>
    <w:rsid w:val="10D12BCF"/>
    <w:rsid w:val="10E30996"/>
    <w:rsid w:val="10EB675B"/>
    <w:rsid w:val="119D75E0"/>
    <w:rsid w:val="11E80B13"/>
    <w:rsid w:val="12322B2B"/>
    <w:rsid w:val="126562B0"/>
    <w:rsid w:val="129B4A65"/>
    <w:rsid w:val="12AF6F40"/>
    <w:rsid w:val="12F775A4"/>
    <w:rsid w:val="13327E41"/>
    <w:rsid w:val="13AF0CC9"/>
    <w:rsid w:val="13AF2F6F"/>
    <w:rsid w:val="13BA3444"/>
    <w:rsid w:val="14254474"/>
    <w:rsid w:val="14567285"/>
    <w:rsid w:val="147B6389"/>
    <w:rsid w:val="149030E0"/>
    <w:rsid w:val="14D26C5D"/>
    <w:rsid w:val="14D6498D"/>
    <w:rsid w:val="14F95C64"/>
    <w:rsid w:val="152E176F"/>
    <w:rsid w:val="156F305A"/>
    <w:rsid w:val="15861149"/>
    <w:rsid w:val="158D0E46"/>
    <w:rsid w:val="15C17F20"/>
    <w:rsid w:val="15CD03F3"/>
    <w:rsid w:val="15DE5256"/>
    <w:rsid w:val="1602567D"/>
    <w:rsid w:val="168D7598"/>
    <w:rsid w:val="16DF4065"/>
    <w:rsid w:val="17566C55"/>
    <w:rsid w:val="17CE3108"/>
    <w:rsid w:val="17DB3FD9"/>
    <w:rsid w:val="17FD2F59"/>
    <w:rsid w:val="184101CA"/>
    <w:rsid w:val="184B0CD8"/>
    <w:rsid w:val="18747F4C"/>
    <w:rsid w:val="187B41A5"/>
    <w:rsid w:val="1890063D"/>
    <w:rsid w:val="18AA51EB"/>
    <w:rsid w:val="18F733EE"/>
    <w:rsid w:val="19012332"/>
    <w:rsid w:val="195E6DAC"/>
    <w:rsid w:val="198E061D"/>
    <w:rsid w:val="19AE0290"/>
    <w:rsid w:val="19D5184B"/>
    <w:rsid w:val="1A23018A"/>
    <w:rsid w:val="1A7662E8"/>
    <w:rsid w:val="1A824F3A"/>
    <w:rsid w:val="1A915A50"/>
    <w:rsid w:val="1AB11F36"/>
    <w:rsid w:val="1AD51C46"/>
    <w:rsid w:val="1B0B4650"/>
    <w:rsid w:val="1BA923A6"/>
    <w:rsid w:val="1BE038A2"/>
    <w:rsid w:val="1C0B2904"/>
    <w:rsid w:val="1C874A89"/>
    <w:rsid w:val="1CBE47DB"/>
    <w:rsid w:val="1D0E51AB"/>
    <w:rsid w:val="1D1C7527"/>
    <w:rsid w:val="1D24052A"/>
    <w:rsid w:val="1D53638A"/>
    <w:rsid w:val="1D8031D1"/>
    <w:rsid w:val="1D8D3868"/>
    <w:rsid w:val="1D8E1E9D"/>
    <w:rsid w:val="1DF4613B"/>
    <w:rsid w:val="1E1427A5"/>
    <w:rsid w:val="1E2C123D"/>
    <w:rsid w:val="1E681015"/>
    <w:rsid w:val="1E8F6D79"/>
    <w:rsid w:val="1EB44E2C"/>
    <w:rsid w:val="1ECF2392"/>
    <w:rsid w:val="1F072100"/>
    <w:rsid w:val="1F222031"/>
    <w:rsid w:val="1F2821A3"/>
    <w:rsid w:val="1F6644F4"/>
    <w:rsid w:val="1FA6446E"/>
    <w:rsid w:val="1FD60B9C"/>
    <w:rsid w:val="20451CEE"/>
    <w:rsid w:val="204D7D98"/>
    <w:rsid w:val="217E4044"/>
    <w:rsid w:val="219E6AFD"/>
    <w:rsid w:val="21C70D18"/>
    <w:rsid w:val="22B706FA"/>
    <w:rsid w:val="233D63C7"/>
    <w:rsid w:val="233E11B6"/>
    <w:rsid w:val="23457BA7"/>
    <w:rsid w:val="23C02A3D"/>
    <w:rsid w:val="23EB3B50"/>
    <w:rsid w:val="24784176"/>
    <w:rsid w:val="24820617"/>
    <w:rsid w:val="24BE3BD0"/>
    <w:rsid w:val="24EF000E"/>
    <w:rsid w:val="25284930"/>
    <w:rsid w:val="254F77E9"/>
    <w:rsid w:val="25614EB4"/>
    <w:rsid w:val="25D02C7B"/>
    <w:rsid w:val="268362C1"/>
    <w:rsid w:val="269F6C33"/>
    <w:rsid w:val="270E04D1"/>
    <w:rsid w:val="276F6F70"/>
    <w:rsid w:val="27A2383D"/>
    <w:rsid w:val="27DB6CD8"/>
    <w:rsid w:val="27E20676"/>
    <w:rsid w:val="282B592F"/>
    <w:rsid w:val="28362541"/>
    <w:rsid w:val="283775A6"/>
    <w:rsid w:val="28A15125"/>
    <w:rsid w:val="28B567B3"/>
    <w:rsid w:val="28E0648D"/>
    <w:rsid w:val="29042279"/>
    <w:rsid w:val="292813A2"/>
    <w:rsid w:val="2958477F"/>
    <w:rsid w:val="299C5DEB"/>
    <w:rsid w:val="2A4A71B8"/>
    <w:rsid w:val="2A521AAC"/>
    <w:rsid w:val="2AC86999"/>
    <w:rsid w:val="2ACF307E"/>
    <w:rsid w:val="2AF0329D"/>
    <w:rsid w:val="2AFA7E49"/>
    <w:rsid w:val="2B0E3DC6"/>
    <w:rsid w:val="2B211A0C"/>
    <w:rsid w:val="2B4C1375"/>
    <w:rsid w:val="2B933E60"/>
    <w:rsid w:val="2BB01C58"/>
    <w:rsid w:val="2BC752F3"/>
    <w:rsid w:val="2C145970"/>
    <w:rsid w:val="2C225A99"/>
    <w:rsid w:val="2C554FCF"/>
    <w:rsid w:val="2C9F3491"/>
    <w:rsid w:val="2CC13A37"/>
    <w:rsid w:val="2CEB2E12"/>
    <w:rsid w:val="2D993853"/>
    <w:rsid w:val="2DA07314"/>
    <w:rsid w:val="2DA97BB5"/>
    <w:rsid w:val="2DAA34ED"/>
    <w:rsid w:val="2DAF50B0"/>
    <w:rsid w:val="2DD72844"/>
    <w:rsid w:val="2DE540E6"/>
    <w:rsid w:val="2DE57F73"/>
    <w:rsid w:val="2E5D1AEE"/>
    <w:rsid w:val="2E713CD9"/>
    <w:rsid w:val="2E88352B"/>
    <w:rsid w:val="2E8B6A69"/>
    <w:rsid w:val="2E925A15"/>
    <w:rsid w:val="2ED753FC"/>
    <w:rsid w:val="2F5E78CC"/>
    <w:rsid w:val="2F671B8D"/>
    <w:rsid w:val="2F8073E6"/>
    <w:rsid w:val="2FB82421"/>
    <w:rsid w:val="300244A0"/>
    <w:rsid w:val="30120348"/>
    <w:rsid w:val="302D418B"/>
    <w:rsid w:val="303845C1"/>
    <w:rsid w:val="30440AF6"/>
    <w:rsid w:val="30823A8E"/>
    <w:rsid w:val="30B73BA2"/>
    <w:rsid w:val="313A0D71"/>
    <w:rsid w:val="31DD0FCD"/>
    <w:rsid w:val="323A4620"/>
    <w:rsid w:val="32C6689E"/>
    <w:rsid w:val="32E26A66"/>
    <w:rsid w:val="33545F37"/>
    <w:rsid w:val="33622BBD"/>
    <w:rsid w:val="336E56AD"/>
    <w:rsid w:val="33BE302F"/>
    <w:rsid w:val="33F26965"/>
    <w:rsid w:val="340F12DB"/>
    <w:rsid w:val="341A0A92"/>
    <w:rsid w:val="34394728"/>
    <w:rsid w:val="345F0720"/>
    <w:rsid w:val="34806536"/>
    <w:rsid w:val="34B15291"/>
    <w:rsid w:val="34BB714D"/>
    <w:rsid w:val="35D84829"/>
    <w:rsid w:val="360600D4"/>
    <w:rsid w:val="3622149A"/>
    <w:rsid w:val="362F44F2"/>
    <w:rsid w:val="366763D7"/>
    <w:rsid w:val="366E607B"/>
    <w:rsid w:val="36701E08"/>
    <w:rsid w:val="369E2CA4"/>
    <w:rsid w:val="36A55DE0"/>
    <w:rsid w:val="36A87B8C"/>
    <w:rsid w:val="36B95E1E"/>
    <w:rsid w:val="372411D3"/>
    <w:rsid w:val="373D45D2"/>
    <w:rsid w:val="37F56C35"/>
    <w:rsid w:val="38D64977"/>
    <w:rsid w:val="38F867F8"/>
    <w:rsid w:val="39500E48"/>
    <w:rsid w:val="397352EA"/>
    <w:rsid w:val="39911D71"/>
    <w:rsid w:val="39AA447E"/>
    <w:rsid w:val="3A211CDB"/>
    <w:rsid w:val="3A2202D0"/>
    <w:rsid w:val="3A4A65E6"/>
    <w:rsid w:val="3AF64E5C"/>
    <w:rsid w:val="3B131801"/>
    <w:rsid w:val="3B547DD5"/>
    <w:rsid w:val="3B871F58"/>
    <w:rsid w:val="3B911AC8"/>
    <w:rsid w:val="3BE61CD9"/>
    <w:rsid w:val="3BE93AAF"/>
    <w:rsid w:val="3C3231D2"/>
    <w:rsid w:val="3C3250C3"/>
    <w:rsid w:val="3C330780"/>
    <w:rsid w:val="3C372C5E"/>
    <w:rsid w:val="3C79244A"/>
    <w:rsid w:val="3CE56F8B"/>
    <w:rsid w:val="3D225B7D"/>
    <w:rsid w:val="3D7C01AE"/>
    <w:rsid w:val="3D7D3613"/>
    <w:rsid w:val="3E0027C2"/>
    <w:rsid w:val="3E4359E4"/>
    <w:rsid w:val="3ED509E5"/>
    <w:rsid w:val="3F0B5DBE"/>
    <w:rsid w:val="3FA222D1"/>
    <w:rsid w:val="3FE10831"/>
    <w:rsid w:val="3FF65165"/>
    <w:rsid w:val="405A40DF"/>
    <w:rsid w:val="40833B47"/>
    <w:rsid w:val="40F37E9F"/>
    <w:rsid w:val="410858E9"/>
    <w:rsid w:val="412B2AE3"/>
    <w:rsid w:val="415172B2"/>
    <w:rsid w:val="41F9620A"/>
    <w:rsid w:val="42326C40"/>
    <w:rsid w:val="42980EEF"/>
    <w:rsid w:val="42D47A4B"/>
    <w:rsid w:val="42F125A5"/>
    <w:rsid w:val="432C2E2E"/>
    <w:rsid w:val="43747F3E"/>
    <w:rsid w:val="437C5D36"/>
    <w:rsid w:val="43800984"/>
    <w:rsid w:val="43F03DB9"/>
    <w:rsid w:val="440112A3"/>
    <w:rsid w:val="446929C8"/>
    <w:rsid w:val="446F554E"/>
    <w:rsid w:val="447F79AF"/>
    <w:rsid w:val="44910278"/>
    <w:rsid w:val="44E14700"/>
    <w:rsid w:val="44EB6D91"/>
    <w:rsid w:val="45275075"/>
    <w:rsid w:val="45654BD5"/>
    <w:rsid w:val="46463D54"/>
    <w:rsid w:val="46963997"/>
    <w:rsid w:val="46BD0168"/>
    <w:rsid w:val="46DF080D"/>
    <w:rsid w:val="477D3036"/>
    <w:rsid w:val="47954A17"/>
    <w:rsid w:val="47963DBF"/>
    <w:rsid w:val="47B10A54"/>
    <w:rsid w:val="47D30909"/>
    <w:rsid w:val="47D417F9"/>
    <w:rsid w:val="486D053A"/>
    <w:rsid w:val="49272538"/>
    <w:rsid w:val="492E2CA6"/>
    <w:rsid w:val="495B021E"/>
    <w:rsid w:val="49814D95"/>
    <w:rsid w:val="498609C0"/>
    <w:rsid w:val="49887CED"/>
    <w:rsid w:val="49FF0725"/>
    <w:rsid w:val="4A712751"/>
    <w:rsid w:val="4B142A1F"/>
    <w:rsid w:val="4B697F93"/>
    <w:rsid w:val="4C1D1245"/>
    <w:rsid w:val="4C513DD8"/>
    <w:rsid w:val="4C6F0C59"/>
    <w:rsid w:val="4C8C1D25"/>
    <w:rsid w:val="4CB11398"/>
    <w:rsid w:val="4CF40AB9"/>
    <w:rsid w:val="4DFF3F45"/>
    <w:rsid w:val="4E722434"/>
    <w:rsid w:val="4E982604"/>
    <w:rsid w:val="4EC0355A"/>
    <w:rsid w:val="4ECC2CE3"/>
    <w:rsid w:val="4EFF9D90"/>
    <w:rsid w:val="4F846A83"/>
    <w:rsid w:val="4F9B73A0"/>
    <w:rsid w:val="4FAD5FDA"/>
    <w:rsid w:val="4FC67FA3"/>
    <w:rsid w:val="4FEE3BD4"/>
    <w:rsid w:val="4FF24E5A"/>
    <w:rsid w:val="4FFB4F58"/>
    <w:rsid w:val="500A2AB2"/>
    <w:rsid w:val="506F7733"/>
    <w:rsid w:val="51131308"/>
    <w:rsid w:val="51397B28"/>
    <w:rsid w:val="513C0C59"/>
    <w:rsid w:val="519733F6"/>
    <w:rsid w:val="51BD627C"/>
    <w:rsid w:val="51D27708"/>
    <w:rsid w:val="51D51D50"/>
    <w:rsid w:val="51DA4683"/>
    <w:rsid w:val="522F05FD"/>
    <w:rsid w:val="524C6ABD"/>
    <w:rsid w:val="52AA3BFC"/>
    <w:rsid w:val="52EA12F3"/>
    <w:rsid w:val="533B49B9"/>
    <w:rsid w:val="539E7D9B"/>
    <w:rsid w:val="53AF7A8E"/>
    <w:rsid w:val="53BA0356"/>
    <w:rsid w:val="53CB402C"/>
    <w:rsid w:val="54262752"/>
    <w:rsid w:val="54424CE4"/>
    <w:rsid w:val="5452118E"/>
    <w:rsid w:val="54640C31"/>
    <w:rsid w:val="54BB7A2B"/>
    <w:rsid w:val="552E542C"/>
    <w:rsid w:val="55440404"/>
    <w:rsid w:val="554C4097"/>
    <w:rsid w:val="55E7123C"/>
    <w:rsid w:val="560D68AF"/>
    <w:rsid w:val="565E6FD9"/>
    <w:rsid w:val="5676590C"/>
    <w:rsid w:val="568850AA"/>
    <w:rsid w:val="568948A3"/>
    <w:rsid w:val="57465E73"/>
    <w:rsid w:val="57571908"/>
    <w:rsid w:val="57630B2F"/>
    <w:rsid w:val="579517AF"/>
    <w:rsid w:val="57C00CB7"/>
    <w:rsid w:val="57CD2D48"/>
    <w:rsid w:val="5839274C"/>
    <w:rsid w:val="58665DD9"/>
    <w:rsid w:val="58930D6E"/>
    <w:rsid w:val="58C61F13"/>
    <w:rsid w:val="58EC016B"/>
    <w:rsid w:val="58FC3DB6"/>
    <w:rsid w:val="58FE326B"/>
    <w:rsid w:val="590D080A"/>
    <w:rsid w:val="59144783"/>
    <w:rsid w:val="593F2951"/>
    <w:rsid w:val="596B2347"/>
    <w:rsid w:val="59A71CEC"/>
    <w:rsid w:val="59C4289D"/>
    <w:rsid w:val="5A237F1A"/>
    <w:rsid w:val="5A4E4B57"/>
    <w:rsid w:val="5A8D5449"/>
    <w:rsid w:val="5AA343F0"/>
    <w:rsid w:val="5AF922C9"/>
    <w:rsid w:val="5B5B0FE0"/>
    <w:rsid w:val="5B6D3BF3"/>
    <w:rsid w:val="5B761F7C"/>
    <w:rsid w:val="5B8B53E1"/>
    <w:rsid w:val="5BE162F8"/>
    <w:rsid w:val="5C084598"/>
    <w:rsid w:val="5C1B076F"/>
    <w:rsid w:val="5D0055E6"/>
    <w:rsid w:val="5D9B52C2"/>
    <w:rsid w:val="5DD32EA2"/>
    <w:rsid w:val="5DE06F2A"/>
    <w:rsid w:val="5E115985"/>
    <w:rsid w:val="5E44307F"/>
    <w:rsid w:val="5E766130"/>
    <w:rsid w:val="5E98205C"/>
    <w:rsid w:val="5F303A32"/>
    <w:rsid w:val="5F343CDA"/>
    <w:rsid w:val="5F424C1C"/>
    <w:rsid w:val="5F7F3846"/>
    <w:rsid w:val="5F9A31BC"/>
    <w:rsid w:val="6016117F"/>
    <w:rsid w:val="60496E03"/>
    <w:rsid w:val="60620B2B"/>
    <w:rsid w:val="60B013CD"/>
    <w:rsid w:val="60E85BCF"/>
    <w:rsid w:val="61393674"/>
    <w:rsid w:val="617F66D9"/>
    <w:rsid w:val="6194220F"/>
    <w:rsid w:val="61B36220"/>
    <w:rsid w:val="61F503D0"/>
    <w:rsid w:val="61FA4543"/>
    <w:rsid w:val="62413A55"/>
    <w:rsid w:val="628865C5"/>
    <w:rsid w:val="63222000"/>
    <w:rsid w:val="6376286A"/>
    <w:rsid w:val="638A093E"/>
    <w:rsid w:val="638A23BB"/>
    <w:rsid w:val="63A37563"/>
    <w:rsid w:val="63D731CD"/>
    <w:rsid w:val="64363BAA"/>
    <w:rsid w:val="643E5869"/>
    <w:rsid w:val="644A1179"/>
    <w:rsid w:val="647577E8"/>
    <w:rsid w:val="649F3DE7"/>
    <w:rsid w:val="64D01BC4"/>
    <w:rsid w:val="64E76671"/>
    <w:rsid w:val="65154CE8"/>
    <w:rsid w:val="655100E3"/>
    <w:rsid w:val="65CA7059"/>
    <w:rsid w:val="65CD4AB0"/>
    <w:rsid w:val="667A695C"/>
    <w:rsid w:val="66B04A51"/>
    <w:rsid w:val="66F91423"/>
    <w:rsid w:val="672849CE"/>
    <w:rsid w:val="67361140"/>
    <w:rsid w:val="674D7B77"/>
    <w:rsid w:val="678623CD"/>
    <w:rsid w:val="67D2242C"/>
    <w:rsid w:val="681B3601"/>
    <w:rsid w:val="683F7593"/>
    <w:rsid w:val="68444D24"/>
    <w:rsid w:val="68E639A4"/>
    <w:rsid w:val="693C123C"/>
    <w:rsid w:val="69731060"/>
    <w:rsid w:val="69FF17C1"/>
    <w:rsid w:val="6A010FA4"/>
    <w:rsid w:val="6A0C0F11"/>
    <w:rsid w:val="6A282268"/>
    <w:rsid w:val="6A2C025F"/>
    <w:rsid w:val="6A311144"/>
    <w:rsid w:val="6A670BDC"/>
    <w:rsid w:val="6A700C47"/>
    <w:rsid w:val="6AAE27AE"/>
    <w:rsid w:val="6AD71939"/>
    <w:rsid w:val="6B1E5F39"/>
    <w:rsid w:val="6B4933BA"/>
    <w:rsid w:val="6B977E8E"/>
    <w:rsid w:val="6BD57B21"/>
    <w:rsid w:val="6BDDE73E"/>
    <w:rsid w:val="6C5027C9"/>
    <w:rsid w:val="6C523D39"/>
    <w:rsid w:val="6CF5320E"/>
    <w:rsid w:val="6D12529E"/>
    <w:rsid w:val="6D2E22AB"/>
    <w:rsid w:val="6D774F01"/>
    <w:rsid w:val="6DCA3C0C"/>
    <w:rsid w:val="6DD476D0"/>
    <w:rsid w:val="6E19291F"/>
    <w:rsid w:val="6E566138"/>
    <w:rsid w:val="6E5901D0"/>
    <w:rsid w:val="6E886006"/>
    <w:rsid w:val="6EAA7324"/>
    <w:rsid w:val="6EC46A44"/>
    <w:rsid w:val="6EF2206B"/>
    <w:rsid w:val="6EF706C2"/>
    <w:rsid w:val="6F183610"/>
    <w:rsid w:val="6F9A5C1E"/>
    <w:rsid w:val="6FFE0335"/>
    <w:rsid w:val="70646784"/>
    <w:rsid w:val="706B0F6C"/>
    <w:rsid w:val="707029DF"/>
    <w:rsid w:val="710E2B6F"/>
    <w:rsid w:val="712C542B"/>
    <w:rsid w:val="715674DC"/>
    <w:rsid w:val="71C965BE"/>
    <w:rsid w:val="71CF1A8E"/>
    <w:rsid w:val="72264B07"/>
    <w:rsid w:val="72397433"/>
    <w:rsid w:val="727C0D64"/>
    <w:rsid w:val="72895FDA"/>
    <w:rsid w:val="72B33057"/>
    <w:rsid w:val="72EB672B"/>
    <w:rsid w:val="73367613"/>
    <w:rsid w:val="73761A95"/>
    <w:rsid w:val="738D1AFA"/>
    <w:rsid w:val="73B320B7"/>
    <w:rsid w:val="74006C18"/>
    <w:rsid w:val="74063E80"/>
    <w:rsid w:val="74532FE9"/>
    <w:rsid w:val="74855AA6"/>
    <w:rsid w:val="74EE1937"/>
    <w:rsid w:val="75240A71"/>
    <w:rsid w:val="7527682D"/>
    <w:rsid w:val="752A0C89"/>
    <w:rsid w:val="753F3CD6"/>
    <w:rsid w:val="754B3A1B"/>
    <w:rsid w:val="75575F1C"/>
    <w:rsid w:val="758570D4"/>
    <w:rsid w:val="75AC1FFD"/>
    <w:rsid w:val="75B3712E"/>
    <w:rsid w:val="75C00721"/>
    <w:rsid w:val="75C01D68"/>
    <w:rsid w:val="75C86452"/>
    <w:rsid w:val="75F76D40"/>
    <w:rsid w:val="75FE0843"/>
    <w:rsid w:val="766201D5"/>
    <w:rsid w:val="77390766"/>
    <w:rsid w:val="781B4770"/>
    <w:rsid w:val="78521A2E"/>
    <w:rsid w:val="78871796"/>
    <w:rsid w:val="78AF6A0C"/>
    <w:rsid w:val="78BB0952"/>
    <w:rsid w:val="78C803EC"/>
    <w:rsid w:val="78FD4C57"/>
    <w:rsid w:val="79153177"/>
    <w:rsid w:val="79304E75"/>
    <w:rsid w:val="7952168F"/>
    <w:rsid w:val="7954304C"/>
    <w:rsid w:val="797F5661"/>
    <w:rsid w:val="7997609D"/>
    <w:rsid w:val="79B94C98"/>
    <w:rsid w:val="7A0E7A31"/>
    <w:rsid w:val="7A1F24E2"/>
    <w:rsid w:val="7AA14A88"/>
    <w:rsid w:val="7ACD4A0E"/>
    <w:rsid w:val="7AE2157E"/>
    <w:rsid w:val="7AED10D1"/>
    <w:rsid w:val="7B22542A"/>
    <w:rsid w:val="7B4E0D77"/>
    <w:rsid w:val="7B526932"/>
    <w:rsid w:val="7B8F70B3"/>
    <w:rsid w:val="7BA51E9E"/>
    <w:rsid w:val="7BC670EF"/>
    <w:rsid w:val="7BCC106C"/>
    <w:rsid w:val="7BDA539F"/>
    <w:rsid w:val="7C470082"/>
    <w:rsid w:val="7C743857"/>
    <w:rsid w:val="7C833A9B"/>
    <w:rsid w:val="7C915049"/>
    <w:rsid w:val="7D12042D"/>
    <w:rsid w:val="7D3343FE"/>
    <w:rsid w:val="7D4612B3"/>
    <w:rsid w:val="7D6829E3"/>
    <w:rsid w:val="7E1E746D"/>
    <w:rsid w:val="7E6A75F3"/>
    <w:rsid w:val="7E9172C9"/>
    <w:rsid w:val="7ECF563C"/>
    <w:rsid w:val="7EF33673"/>
    <w:rsid w:val="7F364DF4"/>
    <w:rsid w:val="7F81059C"/>
    <w:rsid w:val="7FA93818"/>
    <w:rsid w:val="7FD34CA8"/>
    <w:rsid w:val="7FDD7B9F"/>
    <w:rsid w:val="7FFDC231"/>
    <w:rsid w:val="F77E901E"/>
    <w:rsid w:val="FE2332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560" w:firstLineChars="200"/>
      <w:jc w:val="both"/>
    </w:pPr>
    <w:rPr>
      <w:rFonts w:ascii="Times New Roman" w:hAnsi="Times New Roman" w:eastAsia="方正仿宋_GBK" w:cs="Times New Roman"/>
      <w:kern w:val="2"/>
      <w:sz w:val="28"/>
      <w:szCs w:val="28"/>
      <w:lang w:val="en-US" w:eastAsia="zh-CN" w:bidi="ar-SA"/>
    </w:rPr>
  </w:style>
  <w:style w:type="paragraph" w:styleId="2">
    <w:name w:val="heading 1"/>
    <w:basedOn w:val="1"/>
    <w:next w:val="1"/>
    <w:qFormat/>
    <w:uiPriority w:val="0"/>
    <w:pPr>
      <w:keepNext/>
      <w:keepLines/>
      <w:pageBreakBefore/>
      <w:spacing w:before="50" w:beforeLines="50" w:beforeAutospacing="0" w:after="50" w:afterLines="50" w:afterAutospacing="0" w:line="560" w:lineRule="exact"/>
      <w:ind w:firstLine="0" w:firstLineChars="0"/>
      <w:jc w:val="center"/>
      <w:outlineLvl w:val="0"/>
    </w:pPr>
    <w:rPr>
      <w:rFonts w:eastAsia="黑体"/>
      <w:kern w:val="44"/>
      <w:sz w:val="36"/>
    </w:rPr>
  </w:style>
  <w:style w:type="paragraph" w:styleId="3">
    <w:name w:val="heading 2"/>
    <w:basedOn w:val="1"/>
    <w:next w:val="1"/>
    <w:link w:val="28"/>
    <w:unhideWhenUsed/>
    <w:qFormat/>
    <w:uiPriority w:val="0"/>
    <w:pPr>
      <w:keepNext/>
      <w:keepLines w:val="0"/>
      <w:widowControl w:val="0"/>
      <w:spacing w:beforeLines="0" w:beforeAutospacing="0" w:afterLines="0" w:afterAutospacing="0" w:line="560" w:lineRule="exact"/>
      <w:outlineLvl w:val="1"/>
    </w:pPr>
    <w:rPr>
      <w:rFonts w:eastAsia="黑体"/>
      <w:sz w:val="32"/>
    </w:rPr>
  </w:style>
  <w:style w:type="paragraph" w:styleId="4">
    <w:name w:val="heading 3"/>
    <w:basedOn w:val="1"/>
    <w:next w:val="1"/>
    <w:link w:val="29"/>
    <w:qFormat/>
    <w:uiPriority w:val="9"/>
    <w:pPr>
      <w:numPr>
        <w:ilvl w:val="2"/>
        <w:numId w:val="1"/>
      </w:numPr>
      <w:tabs>
        <w:tab w:val="left" w:pos="312"/>
        <w:tab w:val="clear" w:pos="0"/>
      </w:tabs>
      <w:ind w:left="0" w:firstLine="400"/>
      <w:outlineLvl w:val="2"/>
    </w:pPr>
    <w:rPr>
      <w:rFonts w:ascii="Times New Roman" w:hAnsi="Times New Roman"/>
      <w:b/>
      <w:szCs w:val="30"/>
    </w:rPr>
  </w:style>
  <w:style w:type="paragraph" w:styleId="5">
    <w:name w:val="heading 4"/>
    <w:basedOn w:val="1"/>
    <w:next w:val="1"/>
    <w:unhideWhenUsed/>
    <w:qFormat/>
    <w:uiPriority w:val="0"/>
    <w:pPr>
      <w:keepNext/>
      <w:keepLines/>
      <w:spacing w:beforeLines="0" w:beforeAutospacing="0" w:afterLines="0" w:afterAutospacing="0" w:line="560" w:lineRule="exact"/>
      <w:outlineLvl w:val="3"/>
    </w:pPr>
    <w:rPr>
      <w:rFonts w:ascii="Times New Roman" w:hAnsi="Times New Roman" w:eastAsia="方正仿宋_GBK"/>
      <w:b/>
    </w:rPr>
  </w:style>
  <w:style w:type="character" w:default="1" w:styleId="19">
    <w:name w:val="Default Paragraph Font"/>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6">
    <w:name w:val="Body Text"/>
    <w:basedOn w:val="1"/>
    <w:next w:val="1"/>
    <w:qFormat/>
    <w:uiPriority w:val="0"/>
    <w:pPr>
      <w:spacing w:before="100" w:after="100" w:afterLines="0" w:afterAutospacing="0" w:line="300" w:lineRule="auto"/>
      <w:ind w:firstLine="1124" w:firstLineChars="200"/>
    </w:pPr>
    <w:rPr>
      <w:rFonts w:ascii="Times New Roman" w:hAnsi="Times New Roman"/>
    </w:rPr>
  </w:style>
  <w:style w:type="paragraph" w:styleId="7">
    <w:name w:val="Body Text Indent"/>
    <w:basedOn w:val="1"/>
    <w:next w:val="6"/>
    <w:qFormat/>
    <w:uiPriority w:val="0"/>
    <w:pPr>
      <w:ind w:left="944" w:hanging="944" w:hangingChars="472"/>
    </w:pPr>
    <w:rPr>
      <w:rFonts w:eastAsia="仿宋_GB2312"/>
      <w:sz w:val="32"/>
    </w:rPr>
  </w:style>
  <w:style w:type="paragraph" w:styleId="8">
    <w:name w:val="toc 3"/>
    <w:basedOn w:val="1"/>
    <w:next w:val="1"/>
    <w:qFormat/>
    <w:uiPriority w:val="0"/>
    <w:pPr>
      <w:ind w:left="840" w:leftChars="400"/>
    </w:pPr>
  </w:style>
  <w:style w:type="paragraph" w:styleId="9">
    <w:name w:val="footer"/>
    <w:basedOn w:val="1"/>
    <w:qFormat/>
    <w:uiPriority w:val="99"/>
    <w:pPr>
      <w:tabs>
        <w:tab w:val="center" w:pos="4153"/>
        <w:tab w:val="right" w:pos="8306"/>
      </w:tabs>
      <w:snapToGrid w:val="0"/>
      <w:jc w:val="left"/>
    </w:pPr>
    <w:rPr>
      <w:sz w:val="24"/>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rPr>
      <w:b/>
    </w:rPr>
  </w:style>
  <w:style w:type="paragraph" w:styleId="12">
    <w:name w:val="toc 2"/>
    <w:basedOn w:val="1"/>
    <w:next w:val="1"/>
    <w:qFormat/>
    <w:uiPriority w:val="0"/>
    <w:pPr>
      <w:ind w:left="420" w:leftChars="200"/>
    </w:p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Title"/>
    <w:basedOn w:val="1"/>
    <w:qFormat/>
    <w:uiPriority w:val="0"/>
    <w:pPr>
      <w:spacing w:before="240" w:beforeLines="0" w:beforeAutospacing="0" w:after="60" w:afterLines="0" w:afterAutospacing="0" w:line="800" w:lineRule="exact"/>
      <w:ind w:firstLine="0" w:firstLineChars="0"/>
      <w:jc w:val="center"/>
      <w:outlineLvl w:val="0"/>
    </w:pPr>
    <w:rPr>
      <w:rFonts w:ascii="黑体" w:hAnsi="黑体" w:eastAsia="黑体" w:cs="黑体"/>
      <w:b/>
      <w:sz w:val="52"/>
    </w:rPr>
  </w:style>
  <w:style w:type="paragraph" w:styleId="15">
    <w:name w:val="Body Text First Indent"/>
    <w:basedOn w:val="6"/>
    <w:next w:val="9"/>
    <w:qFormat/>
    <w:uiPriority w:val="99"/>
    <w:pPr>
      <w:spacing w:after="0"/>
    </w:pPr>
  </w:style>
  <w:style w:type="paragraph" w:styleId="16">
    <w:name w:val="Body Text First Indent 2"/>
    <w:basedOn w:val="7"/>
    <w:next w:val="15"/>
    <w:qFormat/>
    <w:uiPriority w:val="0"/>
    <w:pPr>
      <w:widowControl w:val="0"/>
      <w:spacing w:after="120" w:line="500" w:lineRule="exact"/>
      <w:ind w:left="420" w:leftChars="200" w:firstLine="420"/>
      <w:jc w:val="both"/>
    </w:pPr>
    <w:rPr>
      <w:sz w:val="32"/>
      <w:szCs w:val="32"/>
    </w:rPr>
  </w:style>
  <w:style w:type="table" w:styleId="18">
    <w:name w:val="Table Grid"/>
    <w:basedOn w:val="1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rPr>
  </w:style>
  <w:style w:type="character" w:styleId="21">
    <w:name w:val="Emphasis"/>
    <w:basedOn w:val="19"/>
    <w:qFormat/>
    <w:uiPriority w:val="0"/>
    <w:rPr>
      <w:i/>
    </w:rPr>
  </w:style>
  <w:style w:type="paragraph" w:customStyle="1" w:styleId="22">
    <w:name w:val="BodyText"/>
    <w:basedOn w:val="1"/>
    <w:qFormat/>
    <w:uiPriority w:val="0"/>
    <w:pPr>
      <w:spacing w:after="120"/>
      <w:textAlignment w:val="baseline"/>
    </w:pPr>
  </w:style>
  <w:style w:type="paragraph" w:customStyle="1" w:styleId="23">
    <w:name w:val="默认段落"/>
    <w:basedOn w:val="1"/>
    <w:qFormat/>
    <w:uiPriority w:val="0"/>
  </w:style>
  <w:style w:type="table" w:customStyle="1" w:styleId="24">
    <w:name w:val="Table Normal"/>
    <w:unhideWhenUsed/>
    <w:qFormat/>
    <w:uiPriority w:val="0"/>
    <w:tblPr>
      <w:tblCellMar>
        <w:top w:w="0" w:type="dxa"/>
        <w:left w:w="0" w:type="dxa"/>
        <w:bottom w:w="0" w:type="dxa"/>
        <w:right w:w="0" w:type="dxa"/>
      </w:tblCellMar>
    </w:tblPr>
  </w:style>
  <w:style w:type="paragraph" w:customStyle="1" w:styleId="25">
    <w:name w:val="无间隔"/>
    <w:basedOn w:val="1"/>
    <w:next w:val="1"/>
    <w:qFormat/>
    <w:uiPriority w:val="0"/>
    <w:pPr>
      <w:spacing w:line="400" w:lineRule="exact"/>
      <w:ind w:firstLine="0" w:firstLineChars="0"/>
      <w:jc w:val="center"/>
    </w:pPr>
    <w:rPr>
      <w:rFonts w:ascii="Times New Roman" w:hAnsi="Times New Roman"/>
      <w:sz w:val="24"/>
    </w:rPr>
  </w:style>
  <w:style w:type="paragraph" w:customStyle="1" w:styleId="26">
    <w:name w:val="表头"/>
    <w:basedOn w:val="1"/>
    <w:qFormat/>
    <w:uiPriority w:val="0"/>
    <w:pPr>
      <w:ind w:firstLine="0" w:firstLineChars="0"/>
      <w:jc w:val="center"/>
    </w:pPr>
    <w:rPr>
      <w:rFonts w:ascii="黑体" w:hAnsi="黑体" w:eastAsia="黑体" w:cs="黑体"/>
    </w:rPr>
  </w:style>
  <w:style w:type="paragraph" w:customStyle="1" w:styleId="27">
    <w:name w:val="样式1"/>
    <w:basedOn w:val="1"/>
    <w:qFormat/>
    <w:uiPriority w:val="0"/>
    <w:rPr>
      <w:sz w:val="24"/>
    </w:rPr>
  </w:style>
  <w:style w:type="character" w:customStyle="1" w:styleId="28">
    <w:name w:val="标题 2 Char"/>
    <w:link w:val="3"/>
    <w:qFormat/>
    <w:uiPriority w:val="0"/>
    <w:rPr>
      <w:rFonts w:eastAsia="黑体"/>
      <w:sz w:val="32"/>
    </w:rPr>
  </w:style>
  <w:style w:type="character" w:customStyle="1" w:styleId="29">
    <w:name w:val="标题 3 Char"/>
    <w:link w:val="4"/>
    <w:qFormat/>
    <w:uiPriority w:val="9"/>
    <w:rPr>
      <w:rFonts w:ascii="Times New Roman" w:hAnsi="Times New Roman"/>
      <w:b/>
      <w:szCs w:val="30"/>
    </w:rPr>
  </w:style>
  <w:style w:type="paragraph" w:customStyle="1" w:styleId="30">
    <w:name w:val="样式2"/>
    <w:basedOn w:val="1"/>
    <w:qFormat/>
    <w:uiPriority w:val="0"/>
    <w:pPr>
      <w:ind w:firstLine="200" w:firstLineChars="200"/>
    </w:pPr>
    <w:rPr>
      <w:rFonts w:eastAsia="仿宋_GB2312"/>
      <w:sz w:val="32"/>
    </w:rPr>
  </w:style>
  <w:style w:type="character" w:customStyle="1" w:styleId="31">
    <w:name w:val="font11"/>
    <w:basedOn w:val="19"/>
    <w:qFormat/>
    <w:uiPriority w:val="0"/>
    <w:rPr>
      <w:rFonts w:hint="eastAsia" w:ascii="方正仿宋_GBK" w:hAnsi="方正仿宋_GBK" w:eastAsia="方正仿宋_GBK" w:cs="方正仿宋_GBK"/>
      <w:color w:val="000000"/>
      <w:sz w:val="20"/>
      <w:szCs w:val="20"/>
      <w:u w:val="none"/>
    </w:rPr>
  </w:style>
  <w:style w:type="character" w:customStyle="1" w:styleId="32">
    <w:name w:val="font21"/>
    <w:basedOn w:val="19"/>
    <w:qFormat/>
    <w:uiPriority w:val="0"/>
    <w:rPr>
      <w:rFonts w:hint="default" w:ascii="Times New Roman" w:hAnsi="Times New Roman" w:cs="Times New Roman"/>
      <w:color w:val="000000"/>
      <w:sz w:val="20"/>
      <w:szCs w:val="20"/>
      <w:u w:val="none"/>
    </w:rPr>
  </w:style>
  <w:style w:type="paragraph" w:customStyle="1" w:styleId="33">
    <w:name w:val="正  文"/>
    <w:qFormat/>
    <w:uiPriority w:val="0"/>
    <w:pPr>
      <w:spacing w:before="20" w:after="20" w:line="560" w:lineRule="exact"/>
      <w:ind w:firstLine="200" w:firstLineChars="200"/>
      <w:jc w:val="both"/>
    </w:pPr>
    <w:rPr>
      <w:rFonts w:ascii="Times New Roman" w:hAnsi="Times New Roman" w:eastAsia="仿宋_GB2312" w:cs="Times New Roman"/>
      <w:kern w:val="2"/>
      <w:sz w:val="30"/>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false"/>
        </a:gradFill>
        <a:gradFill>
          <a:gsLst>
            <a:gs pos="0">
              <a:schemeClr val="phClr">
                <a:hueOff val="-2520000"/>
              </a:schemeClr>
            </a:gs>
            <a:gs pos="100000">
              <a:schemeClr val="phClr"/>
            </a:gs>
          </a:gsLst>
          <a:lin ang="2700000" scaled="false"/>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true"/>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38</Pages>
  <Words>24357</Words>
  <Characters>24534</Characters>
  <Lines>0</Lines>
  <Paragraphs>0</Paragraphs>
  <TotalTime>42</TotalTime>
  <ScaleCrop>false</ScaleCrop>
  <LinksUpToDate>false</LinksUpToDate>
  <CharactersWithSpaces>24575</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2025-12-05T09:38:00Z</dcterms:created>
  <dc:creator>28051</dc:creator>
  <cp:lastModifiedBy>user</cp:lastModifiedBy>
  <cp:lastPrinted>2025-12-05T21:47:00Z</cp:lastPrinted>
  <dcterms:modified xsi:type="dcterms:W3CDTF">2026-09-10T10:21:48Z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y fmtid="{D5CDD505-2E9C-101B-9397-08002B2CF9AE}" pid="3" name="KSOTemplateDocerSaveRecord">
    <vt:lpwstr>eyJoZGlkIjoiYWVlOTU1Mjk4NDRmYmJhYTQwZjQxNTg5YmFiN2NkMzEiLCJ1c2VySWQiOiIyODExMTkyMTYifQ==</vt:lpwstr>
  </property>
  <property fmtid="{D5CDD505-2E9C-101B-9397-08002B2CF9AE}" pid="4" name="ICV">
    <vt:lpwstr>D1E37ACCD4DA4DF8934E8331B0267878_13</vt:lpwstr>
  </property>
</Properties>
</file>