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3AED7">
      <w:pPr>
        <w:keepNext w:val="0"/>
        <w:keepLines w:val="0"/>
        <w:pageBreakBefore w:val="0"/>
        <w:widowControl w:val="0"/>
        <w:kinsoku/>
        <w:wordWrap/>
        <w:overflowPunct/>
        <w:topLinePunct w:val="0"/>
        <w:autoSpaceDE/>
        <w:autoSpaceDN/>
        <w:bidi w:val="0"/>
        <w:adjustRightInd/>
        <w:snapToGrid/>
        <w:spacing w:after="0" w:line="570" w:lineRule="exact"/>
        <w:jc w:val="both"/>
        <w:textAlignment w:val="auto"/>
        <w:rPr>
          <w:rFonts w:hint="default" w:ascii="Times New Roman" w:hAnsi="Times New Roman" w:eastAsia="方正仿宋_GBK" w:cs="Times New Roman"/>
        </w:rPr>
      </w:pPr>
    </w:p>
    <w:p w14:paraId="77D1111E">
      <w:pPr>
        <w:keepNext w:val="0"/>
        <w:keepLines w:val="0"/>
        <w:pageBreakBefore w:val="0"/>
        <w:widowControl w:val="0"/>
        <w:kinsoku/>
        <w:wordWrap/>
        <w:overflowPunct/>
        <w:topLinePunct w:val="0"/>
        <w:autoSpaceDE/>
        <w:autoSpaceDN/>
        <w:bidi w:val="0"/>
        <w:adjustRightInd/>
        <w:snapToGrid/>
        <w:spacing w:after="0" w:line="570" w:lineRule="exact"/>
        <w:jc w:val="center"/>
        <w:textAlignment w:val="auto"/>
        <w:rPr>
          <w:rFonts w:hint="default" w:ascii="Times New Roman" w:hAnsi="Times New Roman" w:eastAsia="方正小标宋_GBK" w:cs="Times New Roman"/>
          <w:sz w:val="40"/>
          <w:szCs w:val="40"/>
        </w:rPr>
      </w:pPr>
      <w:r>
        <w:rPr>
          <w:rFonts w:hint="default" w:ascii="Times New Roman" w:hAnsi="Times New Roman" w:eastAsia="方正小标宋_GBK" w:cs="Times New Roman"/>
          <w:sz w:val="40"/>
          <w:szCs w:val="40"/>
        </w:rPr>
        <w:t>《关于加快推进喀什地区营利性服务业高质量发展的工作方案（2026—2028年）》政策解读</w:t>
      </w:r>
    </w:p>
    <w:p w14:paraId="25895311">
      <w:pPr>
        <w:keepNext w:val="0"/>
        <w:keepLines w:val="0"/>
        <w:pageBreakBefore w:val="0"/>
        <w:widowControl w:val="0"/>
        <w:kinsoku/>
        <w:wordWrap/>
        <w:overflowPunct/>
        <w:topLinePunct w:val="0"/>
        <w:autoSpaceDE/>
        <w:autoSpaceDN/>
        <w:bidi w:val="0"/>
        <w:adjustRightInd/>
        <w:snapToGrid/>
        <w:spacing w:after="0" w:line="570" w:lineRule="exact"/>
        <w:ind w:firstLine="640" w:firstLineChars="200"/>
        <w:jc w:val="both"/>
        <w:textAlignment w:val="auto"/>
        <w:rPr>
          <w:rFonts w:hint="default" w:ascii="Times New Roman" w:hAnsi="Times New Roman" w:eastAsia="方正仿宋_GBK" w:cs="Times New Roman"/>
        </w:rPr>
      </w:pPr>
    </w:p>
    <w:p w14:paraId="06077C78">
      <w:pPr>
        <w:keepNext w:val="0"/>
        <w:keepLines w:val="0"/>
        <w:pageBreakBefore w:val="0"/>
        <w:widowControl w:val="0"/>
        <w:kinsoku/>
        <w:wordWrap/>
        <w:overflowPunct/>
        <w:topLinePunct w:val="0"/>
        <w:autoSpaceDE/>
        <w:autoSpaceDN/>
        <w:bidi w:val="0"/>
        <w:adjustRightInd/>
        <w:snapToGrid/>
        <w:spacing w:after="0" w:line="57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近日，喀什地区行政公署</w:t>
      </w:r>
      <w:r>
        <w:rPr>
          <w:rFonts w:hint="eastAsia" w:cs="Times New Roman"/>
          <w:sz w:val="32"/>
          <w:szCs w:val="32"/>
          <w:lang w:eastAsia="zh-CN"/>
        </w:rPr>
        <w:t>办公室</w:t>
      </w:r>
      <w:r>
        <w:rPr>
          <w:rFonts w:hint="default" w:ascii="Times New Roman" w:hAnsi="Times New Roman" w:eastAsia="方正仿宋_GBK" w:cs="Times New Roman"/>
          <w:sz w:val="32"/>
          <w:szCs w:val="32"/>
        </w:rPr>
        <w:t>印发《关于加快推进喀什地区营利性服务业高质量发展的工作方案（2026—2028年）》（以下简称《工作方案》）。现就《工作方案》有关内容解读如下。</w:t>
      </w:r>
    </w:p>
    <w:p w14:paraId="3CA917C1">
      <w:pPr>
        <w:keepNext w:val="0"/>
        <w:keepLines w:val="0"/>
        <w:pageBreakBefore w:val="0"/>
        <w:widowControl w:val="0"/>
        <w:kinsoku/>
        <w:wordWrap/>
        <w:overflowPunct/>
        <w:topLinePunct w:val="0"/>
        <w:autoSpaceDE/>
        <w:autoSpaceDN/>
        <w:bidi w:val="0"/>
        <w:adjustRightInd/>
        <w:snapToGrid/>
        <w:spacing w:after="0" w:line="570" w:lineRule="exact"/>
        <w:ind w:firstLine="640" w:firstLineChars="200"/>
        <w:jc w:val="both"/>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一、《工作方案》出台的背景</w:t>
      </w:r>
    </w:p>
    <w:p w14:paraId="5DB281C7">
      <w:pPr>
        <w:keepNext w:val="0"/>
        <w:keepLines w:val="0"/>
        <w:pageBreakBefore w:val="0"/>
        <w:widowControl w:val="0"/>
        <w:kinsoku/>
        <w:wordWrap/>
        <w:overflowPunct/>
        <w:topLinePunct w:val="0"/>
        <w:autoSpaceDE/>
        <w:autoSpaceDN/>
        <w:bidi w:val="0"/>
        <w:adjustRightInd/>
        <w:snapToGrid/>
        <w:spacing w:after="0" w:line="57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大力发展</w:t>
      </w:r>
      <w:r>
        <w:rPr>
          <w:rFonts w:hint="default" w:ascii="Times New Roman" w:hAnsi="Times New Roman" w:cs="Times New Roman"/>
          <w:sz w:val="32"/>
          <w:szCs w:val="32"/>
          <w:lang w:eastAsia="zh-CN"/>
        </w:rPr>
        <w:t>营利性</w:t>
      </w:r>
      <w:r>
        <w:rPr>
          <w:rFonts w:hint="default" w:ascii="Times New Roman" w:hAnsi="Times New Roman" w:eastAsia="方正仿宋_GBK" w:cs="Times New Roman"/>
          <w:sz w:val="32"/>
          <w:szCs w:val="32"/>
        </w:rPr>
        <w:t>服务业，对于稳定经济增长、支撑产业升级、满足民生需要、带动就业扩容具有不可替代的作用。本次出台的《工作方案》，主要基于三方面考量。</w:t>
      </w:r>
      <w:r>
        <w:rPr>
          <w:rFonts w:hint="default" w:ascii="Times New Roman" w:hAnsi="Times New Roman" w:eastAsia="方正楷体_GBK" w:cs="Times New Roman"/>
          <w:b/>
          <w:bCs/>
          <w:sz w:val="32"/>
          <w:szCs w:val="32"/>
        </w:rPr>
        <w:t>第一，这是贯彻国家战略部署、落实自治区要求的具体行动。</w:t>
      </w:r>
      <w:r>
        <w:rPr>
          <w:rFonts w:hint="default" w:ascii="Times New Roman" w:hAnsi="Times New Roman" w:eastAsia="方正仿宋_GBK" w:cs="Times New Roman"/>
          <w:sz w:val="32"/>
          <w:szCs w:val="32"/>
        </w:rPr>
        <w:t>习近平总书记就服务业发展作出重要指示强调，推进生产性服务业向专业化和价值链高端延伸，促进生活性服务业高品质多样化便利化发展，培育更多</w:t>
      </w:r>
      <w:r>
        <w:rPr>
          <w:rFonts w:hint="eastAsia" w:cs="Times New Roman"/>
          <w:sz w:val="32"/>
          <w:szCs w:val="32"/>
          <w:lang w:eastAsia="zh-CN"/>
        </w:rPr>
        <w:t>“</w:t>
      </w:r>
      <w:r>
        <w:rPr>
          <w:rFonts w:hint="default" w:ascii="Times New Roman" w:hAnsi="Times New Roman" w:eastAsia="方正仿宋_GBK" w:cs="Times New Roman"/>
          <w:sz w:val="32"/>
          <w:szCs w:val="32"/>
        </w:rPr>
        <w:t>中国服务</w:t>
      </w:r>
      <w:r>
        <w:rPr>
          <w:rFonts w:hint="eastAsia" w:cs="Times New Roman"/>
          <w:sz w:val="32"/>
          <w:szCs w:val="32"/>
          <w:lang w:eastAsia="zh-CN"/>
        </w:rPr>
        <w:t>”</w:t>
      </w:r>
      <w:r>
        <w:rPr>
          <w:rFonts w:hint="default" w:ascii="Times New Roman" w:hAnsi="Times New Roman" w:eastAsia="方正仿宋_GBK" w:cs="Times New Roman"/>
          <w:sz w:val="32"/>
          <w:szCs w:val="32"/>
        </w:rPr>
        <w:t>品牌，努力开创服务业高质量发展新局面。喀什地区行政公署常务会议指出，加快推进营利性服务业高质量发展是贯彻国务院服务业扩能提质部署、构建现代化产业体系、培育经济增长新动能、扩大就业容量的重要路径。《工作方案》坚持有效市场和有为政府相结合，突出需求牵引、改革攻坚、科技赋能，推动营利性服务业高质量发展，为经济持续稳定健康发展提供有力支撑。</w:t>
      </w:r>
      <w:r>
        <w:rPr>
          <w:rFonts w:hint="default" w:ascii="Times New Roman" w:hAnsi="Times New Roman" w:eastAsia="方正楷体_GBK" w:cs="Times New Roman"/>
          <w:b/>
          <w:bCs/>
          <w:sz w:val="32"/>
          <w:szCs w:val="32"/>
        </w:rPr>
        <w:t>第二，这是发挥比较优势、夯实发展根基的现实需要。</w:t>
      </w:r>
      <w:r>
        <w:rPr>
          <w:rFonts w:hint="default" w:ascii="Times New Roman" w:hAnsi="Times New Roman" w:eastAsia="方正仿宋_GBK" w:cs="Times New Roman"/>
          <w:sz w:val="32"/>
          <w:szCs w:val="32"/>
        </w:rPr>
        <w:t>服务业一头连着经济循环、一头牵着民生冷暖。喀什地处丝绸之路经济带核心区重要支点，拥有中国（新疆）自由贸易试验区喀什片区、对口援疆等政策叠加优势。2025年，全地区第三产业增加值达到950.48亿元、占地区生产总值比重54.2%，营利性服务业增加值159.64亿元、增长8.6%，营利性服务业已成为支撑喀什经济发展、带动就业增收的重要力量。《工作方案》立足喀什产业基础和区位优势精准施策，推动营利性服务业成为稳增长、惠民生、促就业的重要引擎。</w:t>
      </w:r>
      <w:r>
        <w:rPr>
          <w:rFonts w:hint="eastAsia" w:ascii="方正楷体_GBK" w:hAnsi="方正楷体_GBK" w:eastAsia="方正楷体_GBK" w:cs="方正楷体_GBK"/>
          <w:b/>
          <w:bCs/>
          <w:sz w:val="32"/>
          <w:szCs w:val="32"/>
        </w:rPr>
        <w:t>第三，这是补齐短板弱项、培育发展新动能的关键路径。</w:t>
      </w:r>
      <w:r>
        <w:rPr>
          <w:rFonts w:hint="default" w:ascii="Times New Roman" w:hAnsi="Times New Roman" w:eastAsia="方正仿宋_GBK" w:cs="Times New Roman"/>
          <w:sz w:val="32"/>
          <w:szCs w:val="32"/>
        </w:rPr>
        <w:t>当前，喀什地区营利性服务业存在行业发展不平衡、企业规模小、服务业态单一等短板，龙头企业偏少、新业态培育不足，部分行业在库样本企业存在空白。《工作方案》坚持问题导向，牢牢聚焦上述瓶颈问题精准施策，以营利性服务业破题，着力培育服务业新增长点，提升发展能级，推动服务业向产业链价值链高端迈进。</w:t>
      </w:r>
    </w:p>
    <w:p w14:paraId="1B35C3EF">
      <w:pPr>
        <w:keepNext w:val="0"/>
        <w:keepLines w:val="0"/>
        <w:pageBreakBefore w:val="0"/>
        <w:widowControl w:val="0"/>
        <w:kinsoku/>
        <w:wordWrap/>
        <w:overflowPunct/>
        <w:topLinePunct w:val="0"/>
        <w:autoSpaceDE/>
        <w:autoSpaceDN/>
        <w:bidi w:val="0"/>
        <w:adjustRightInd/>
        <w:snapToGrid/>
        <w:spacing w:after="0" w:line="570" w:lineRule="exact"/>
        <w:ind w:firstLine="640" w:firstLineChars="200"/>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二、《工作方案》明确的目标</w:t>
      </w:r>
    </w:p>
    <w:p w14:paraId="1C5B82E9">
      <w:pPr>
        <w:keepNext w:val="0"/>
        <w:keepLines w:val="0"/>
        <w:pageBreakBefore w:val="0"/>
        <w:widowControl w:val="0"/>
        <w:kinsoku/>
        <w:wordWrap/>
        <w:overflowPunct/>
        <w:topLinePunct w:val="0"/>
        <w:autoSpaceDE/>
        <w:autoSpaceDN/>
        <w:bidi w:val="0"/>
        <w:adjustRightInd/>
        <w:snapToGrid/>
        <w:spacing w:after="0" w:line="57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到2028年，全地区营利性服务业增加值达到438亿元左右，年均增长14%左右，占GDP比重21%左右。通过加快培育一批具有区域影响力的营利性服务业头部企业和知名品牌，逐步补齐66个行业在库样本企业空白，有效解决行业发展不平衡、企业规模小、服务业态单一的短板，为喀什地区经济高质量发展提供有力支撑。</w:t>
      </w:r>
    </w:p>
    <w:p w14:paraId="50620BF7">
      <w:pPr>
        <w:keepNext w:val="0"/>
        <w:keepLines w:val="0"/>
        <w:pageBreakBefore w:val="0"/>
        <w:widowControl w:val="0"/>
        <w:kinsoku/>
        <w:wordWrap/>
        <w:overflowPunct/>
        <w:topLinePunct w:val="0"/>
        <w:autoSpaceDE/>
        <w:autoSpaceDN/>
        <w:bidi w:val="0"/>
        <w:adjustRightInd/>
        <w:snapToGrid/>
        <w:spacing w:after="0" w:line="570" w:lineRule="exact"/>
        <w:ind w:firstLine="640" w:firstLineChars="200"/>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三、《工作方案》提出的举措</w:t>
      </w:r>
    </w:p>
    <w:p w14:paraId="0A349CF3">
      <w:pPr>
        <w:keepNext w:val="0"/>
        <w:keepLines w:val="0"/>
        <w:pageBreakBefore w:val="0"/>
        <w:widowControl w:val="0"/>
        <w:kinsoku/>
        <w:wordWrap/>
        <w:overflowPunct/>
        <w:topLinePunct w:val="0"/>
        <w:autoSpaceDE/>
        <w:autoSpaceDN/>
        <w:bidi w:val="0"/>
        <w:adjustRightInd/>
        <w:snapToGrid/>
        <w:spacing w:after="0" w:line="57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《工作方案》结合喀什实际，聚焦营利性服务业八大领域提出30条具体措施。</w:t>
      </w:r>
    </w:p>
    <w:p w14:paraId="1A413803">
      <w:pPr>
        <w:keepNext w:val="0"/>
        <w:keepLines w:val="0"/>
        <w:pageBreakBefore w:val="0"/>
        <w:widowControl w:val="0"/>
        <w:kinsoku/>
        <w:wordWrap/>
        <w:overflowPunct/>
        <w:topLinePunct w:val="0"/>
        <w:autoSpaceDE/>
        <w:autoSpaceDN/>
        <w:bidi w:val="0"/>
        <w:adjustRightInd/>
        <w:snapToGrid/>
        <w:spacing w:after="0" w:line="570" w:lineRule="exact"/>
        <w:ind w:firstLine="643" w:firstLineChars="200"/>
        <w:jc w:val="both"/>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b/>
          <w:bCs/>
          <w:sz w:val="32"/>
          <w:szCs w:val="32"/>
        </w:rPr>
        <w:t>一是加快发展信息传输、软件和信息技术服务业。</w:t>
      </w:r>
      <w:r>
        <w:rPr>
          <w:rFonts w:hint="default" w:ascii="Times New Roman" w:hAnsi="Times New Roman" w:eastAsia="方正仿宋_GBK" w:cs="Times New Roman"/>
          <w:sz w:val="32"/>
          <w:szCs w:val="32"/>
        </w:rPr>
        <w:t>加快5G网络部署，推进万兆光网试点，提升边境区域通信质量；加快推动自贸试验区喀什片区智算中心、喀什市丝路慧途智算中心、新疆分布式渲染智算中心等3个算力项目建设</w:t>
      </w:r>
      <w:r>
        <w:rPr>
          <w:rFonts w:hint="eastAsia" w:cs="Times New Roman"/>
          <w:sz w:val="32"/>
          <w:szCs w:val="32"/>
          <w:lang w:eastAsia="zh-CN"/>
        </w:rPr>
        <w:t>，</w:t>
      </w:r>
      <w:r>
        <w:rPr>
          <w:rFonts w:hint="default" w:ascii="Times New Roman" w:hAnsi="Times New Roman" w:eastAsia="方正仿宋_GBK" w:cs="Times New Roman"/>
          <w:sz w:val="32"/>
          <w:szCs w:val="32"/>
        </w:rPr>
        <w:t>以绿电直连推进算力与电力协同发展；加快算力场景应用，与山东省、上海市、广东省、深圳市开展算力共建联动试点，承接非实时算力需求，探索向西拓展</w:t>
      </w:r>
      <w:r>
        <w:rPr>
          <w:rFonts w:hint="eastAsia" w:cs="Times New Roman"/>
          <w:sz w:val="32"/>
          <w:szCs w:val="32"/>
          <w:lang w:eastAsia="zh-CN"/>
        </w:rPr>
        <w:t>“</w:t>
      </w:r>
      <w:r>
        <w:rPr>
          <w:rFonts w:hint="default" w:ascii="Times New Roman" w:hAnsi="Times New Roman" w:eastAsia="方正仿宋_GBK" w:cs="Times New Roman"/>
          <w:sz w:val="32"/>
          <w:szCs w:val="32"/>
        </w:rPr>
        <w:t>算力出海</w:t>
      </w:r>
      <w:r>
        <w:rPr>
          <w:rFonts w:hint="eastAsia" w:cs="Times New Roman"/>
          <w:sz w:val="32"/>
          <w:szCs w:val="32"/>
          <w:lang w:eastAsia="zh-CN"/>
        </w:rPr>
        <w:t>”</w:t>
      </w:r>
      <w:r>
        <w:rPr>
          <w:rFonts w:hint="default" w:ascii="Times New Roman" w:hAnsi="Times New Roman" w:eastAsia="方正仿宋_GBK" w:cs="Times New Roman"/>
          <w:sz w:val="32"/>
          <w:szCs w:val="32"/>
        </w:rPr>
        <w:t>市场，落实算力普惠政策；落实集成电路、软件企业税收优惠政策；支持企业知识产权质押融资，单笔贷款额度最高不超过1000万元、贴息最高不超过50万元。</w:t>
      </w:r>
    </w:p>
    <w:p w14:paraId="6A7DFD33">
      <w:pPr>
        <w:keepNext w:val="0"/>
        <w:keepLines w:val="0"/>
        <w:pageBreakBefore w:val="0"/>
        <w:widowControl w:val="0"/>
        <w:kinsoku/>
        <w:wordWrap/>
        <w:overflowPunct/>
        <w:topLinePunct w:val="0"/>
        <w:autoSpaceDE/>
        <w:autoSpaceDN/>
        <w:bidi w:val="0"/>
        <w:adjustRightInd/>
        <w:snapToGrid/>
        <w:spacing w:after="0" w:line="570" w:lineRule="exact"/>
        <w:ind w:firstLine="643" w:firstLineChars="200"/>
        <w:jc w:val="both"/>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b/>
          <w:bCs/>
          <w:sz w:val="32"/>
          <w:szCs w:val="32"/>
        </w:rPr>
        <w:t>二是做大做优租赁和商务服务业。</w:t>
      </w:r>
      <w:r>
        <w:rPr>
          <w:rFonts w:hint="default" w:ascii="Times New Roman" w:hAnsi="Times New Roman" w:eastAsia="方正仿宋_GBK" w:cs="Times New Roman"/>
          <w:sz w:val="32"/>
          <w:szCs w:val="32"/>
        </w:rPr>
        <w:t>加快人力资源服务业集聚发展，支持建设人力资源服务产业园，接续实施专业技术人才知识更新工程；高质量办好新疆喀什</w:t>
      </w:r>
      <w:r>
        <w:rPr>
          <w:rFonts w:hint="eastAsia" w:cs="Times New Roman"/>
          <w:sz w:val="32"/>
          <w:szCs w:val="32"/>
          <w:lang w:val="en-US" w:eastAsia="zh-CN"/>
        </w:rPr>
        <w:t>·</w:t>
      </w:r>
      <w:r>
        <w:rPr>
          <w:rFonts w:hint="default" w:ascii="Times New Roman" w:hAnsi="Times New Roman" w:eastAsia="方正仿宋_GBK" w:cs="Times New Roman"/>
          <w:sz w:val="32"/>
          <w:szCs w:val="32"/>
        </w:rPr>
        <w:t>中亚南亚商品交易会等重点展会，做强涉外法律服务，打造喀什法律集聚区；落实国家中小微企业贷款贴息政策，对符合条件的机械设备经营租赁企业给予年化1.5个百分点、期限不超过2年的贴息支持，单户贴息贷款规模上限5000万元；支持盘活老旧厂房、发展住房租赁和汽车租赁等业务，促进租赁服务多元化发展。</w:t>
      </w:r>
    </w:p>
    <w:p w14:paraId="625A035E">
      <w:pPr>
        <w:keepNext w:val="0"/>
        <w:keepLines w:val="0"/>
        <w:pageBreakBefore w:val="0"/>
        <w:widowControl w:val="0"/>
        <w:kinsoku/>
        <w:wordWrap/>
        <w:overflowPunct/>
        <w:topLinePunct w:val="0"/>
        <w:autoSpaceDE/>
        <w:autoSpaceDN/>
        <w:bidi w:val="0"/>
        <w:adjustRightInd/>
        <w:snapToGrid/>
        <w:spacing w:after="0" w:line="570" w:lineRule="exact"/>
        <w:ind w:firstLine="643" w:firstLineChars="200"/>
        <w:jc w:val="both"/>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b/>
          <w:bCs/>
          <w:sz w:val="32"/>
          <w:szCs w:val="32"/>
        </w:rPr>
        <w:t>三是推动发展科学研究和技术服务业。</w:t>
      </w:r>
      <w:r>
        <w:rPr>
          <w:rFonts w:hint="default" w:ascii="Times New Roman" w:hAnsi="Times New Roman" w:eastAsia="方正仿宋_GBK" w:cs="Times New Roman"/>
          <w:sz w:val="32"/>
          <w:szCs w:val="32"/>
        </w:rPr>
        <w:t>支持信息技术、现代物流、文化旅游等领域布局建设科技创新平台基地，鼓励产学研协同创新，发展检验检测认证、知识产权服务等专业技术服务业，培育第三方服务机构；支持科技型企业孵化器建设，2026年新认定自治区级孵化器1—2家，发挥技术转移机构作用；深入实施</w:t>
      </w:r>
      <w:r>
        <w:rPr>
          <w:rFonts w:hint="eastAsia" w:cs="Times New Roman"/>
          <w:sz w:val="32"/>
          <w:szCs w:val="32"/>
          <w:lang w:eastAsia="zh-CN"/>
        </w:rPr>
        <w:t>“</w:t>
      </w:r>
      <w:r>
        <w:rPr>
          <w:rFonts w:hint="default" w:ascii="Times New Roman" w:hAnsi="Times New Roman" w:eastAsia="方正仿宋_GBK" w:cs="Times New Roman"/>
          <w:sz w:val="32"/>
          <w:szCs w:val="32"/>
        </w:rPr>
        <w:t>人工智能+</w:t>
      </w:r>
      <w:r>
        <w:rPr>
          <w:rFonts w:hint="eastAsia" w:cs="Times New Roman"/>
          <w:sz w:val="32"/>
          <w:szCs w:val="32"/>
          <w:lang w:eastAsia="zh-CN"/>
        </w:rPr>
        <w:t>”</w:t>
      </w:r>
      <w:r>
        <w:rPr>
          <w:rFonts w:hint="default" w:ascii="Times New Roman" w:hAnsi="Times New Roman" w:eastAsia="方正仿宋_GBK" w:cs="Times New Roman"/>
          <w:sz w:val="32"/>
          <w:szCs w:val="32"/>
        </w:rPr>
        <w:t>行动，对符合条件的数智化转型企业给予</w:t>
      </w:r>
      <w:r>
        <w:rPr>
          <w:rFonts w:hint="eastAsia" w:cs="Times New Roman"/>
          <w:sz w:val="32"/>
          <w:szCs w:val="32"/>
          <w:lang w:eastAsia="zh-CN"/>
        </w:rPr>
        <w:t>资金</w:t>
      </w:r>
      <w:r>
        <w:rPr>
          <w:rFonts w:hint="default" w:ascii="Times New Roman" w:hAnsi="Times New Roman" w:eastAsia="方正仿宋_GBK" w:cs="Times New Roman"/>
          <w:sz w:val="32"/>
          <w:szCs w:val="32"/>
        </w:rPr>
        <w:t>支持，对入驻数字（信息）产业园区、特色小镇等区域的OPC企业实行物业费、网络使用费</w:t>
      </w:r>
      <w:r>
        <w:rPr>
          <w:rFonts w:hint="eastAsia" w:cs="Times New Roman"/>
          <w:sz w:val="32"/>
          <w:szCs w:val="32"/>
          <w:lang w:eastAsia="zh-CN"/>
        </w:rPr>
        <w:t>“</w:t>
      </w:r>
      <w:r>
        <w:rPr>
          <w:rFonts w:hint="default" w:ascii="Times New Roman" w:hAnsi="Times New Roman" w:eastAsia="方正仿宋_GBK" w:cs="Times New Roman"/>
          <w:sz w:val="32"/>
          <w:szCs w:val="32"/>
        </w:rPr>
        <w:t>前三年免收、后两年减半</w:t>
      </w:r>
      <w:r>
        <w:rPr>
          <w:rFonts w:hint="eastAsia" w:cs="Times New Roman"/>
          <w:sz w:val="32"/>
          <w:szCs w:val="32"/>
          <w:lang w:eastAsia="zh-CN"/>
        </w:rPr>
        <w:t>”</w:t>
      </w:r>
      <w:r>
        <w:rPr>
          <w:rFonts w:hint="default" w:ascii="Times New Roman" w:hAnsi="Times New Roman" w:eastAsia="方正仿宋_GBK" w:cs="Times New Roman"/>
          <w:sz w:val="32"/>
          <w:szCs w:val="32"/>
        </w:rPr>
        <w:t>。</w:t>
      </w:r>
    </w:p>
    <w:p w14:paraId="17F4DDB4">
      <w:pPr>
        <w:keepNext w:val="0"/>
        <w:keepLines w:val="0"/>
        <w:pageBreakBefore w:val="0"/>
        <w:widowControl w:val="0"/>
        <w:kinsoku/>
        <w:wordWrap/>
        <w:overflowPunct w:val="0"/>
        <w:topLinePunct w:val="0"/>
        <w:autoSpaceDE/>
        <w:autoSpaceDN/>
        <w:bidi w:val="0"/>
        <w:adjustRightInd/>
        <w:snapToGrid/>
        <w:spacing w:after="0" w:line="570" w:lineRule="exact"/>
        <w:ind w:firstLine="643" w:firstLineChars="200"/>
        <w:jc w:val="both"/>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b/>
          <w:bCs/>
          <w:sz w:val="32"/>
          <w:szCs w:val="32"/>
        </w:rPr>
        <w:t>四是扶持提升居民服务、修理和其他服务业。</w:t>
      </w:r>
      <w:r>
        <w:rPr>
          <w:rFonts w:hint="default" w:ascii="Times New Roman" w:hAnsi="Times New Roman" w:eastAsia="方正仿宋_GBK" w:cs="Times New Roman"/>
          <w:sz w:val="32"/>
          <w:szCs w:val="32"/>
        </w:rPr>
        <w:t>推广</w:t>
      </w:r>
      <w:r>
        <w:rPr>
          <w:rFonts w:hint="eastAsia" w:cs="Times New Roman"/>
          <w:sz w:val="32"/>
          <w:szCs w:val="32"/>
          <w:lang w:eastAsia="zh-CN"/>
        </w:rPr>
        <w:t>“</w:t>
      </w:r>
      <w:r>
        <w:rPr>
          <w:rFonts w:hint="default" w:ascii="Times New Roman" w:hAnsi="Times New Roman" w:eastAsia="方正仿宋_GBK" w:cs="Times New Roman"/>
          <w:sz w:val="32"/>
          <w:szCs w:val="32"/>
        </w:rPr>
        <w:t>喀什家政</w:t>
      </w:r>
      <w:r>
        <w:rPr>
          <w:rFonts w:hint="eastAsia" w:cs="Times New Roman"/>
          <w:sz w:val="32"/>
          <w:szCs w:val="32"/>
          <w:lang w:eastAsia="zh-CN"/>
        </w:rPr>
        <w:t>”</w:t>
      </w:r>
      <w:r>
        <w:rPr>
          <w:rFonts w:hint="default" w:ascii="Times New Roman" w:hAnsi="Times New Roman" w:eastAsia="方正仿宋_GBK" w:cs="Times New Roman"/>
          <w:sz w:val="32"/>
          <w:szCs w:val="32"/>
        </w:rPr>
        <w:t>服务品牌，深化家政服务产教融合，完善家政行业标准和信用信息平台；落实养老服务消费补贴和民办养老机构补贴政策，推进城乡三级养老服务网络和</w:t>
      </w:r>
      <w:r>
        <w:rPr>
          <w:rFonts w:hint="eastAsia" w:cs="Times New Roman"/>
          <w:sz w:val="32"/>
          <w:szCs w:val="32"/>
          <w:lang w:eastAsia="zh-CN"/>
        </w:rPr>
        <w:t>“</w:t>
      </w:r>
      <w:r>
        <w:rPr>
          <w:rFonts w:hint="default" w:ascii="Times New Roman" w:hAnsi="Times New Roman" w:eastAsia="方正仿宋_GBK" w:cs="Times New Roman"/>
          <w:sz w:val="32"/>
          <w:szCs w:val="32"/>
        </w:rPr>
        <w:t>一刻钟</w:t>
      </w:r>
      <w:r>
        <w:rPr>
          <w:rFonts w:hint="eastAsia" w:cs="Times New Roman"/>
          <w:sz w:val="32"/>
          <w:szCs w:val="32"/>
          <w:lang w:eastAsia="zh-CN"/>
        </w:rPr>
        <w:t>”</w:t>
      </w:r>
      <w:r>
        <w:rPr>
          <w:rFonts w:hint="default" w:ascii="Times New Roman" w:hAnsi="Times New Roman" w:eastAsia="方正仿宋_GBK" w:cs="Times New Roman"/>
          <w:sz w:val="32"/>
          <w:szCs w:val="32"/>
        </w:rPr>
        <w:t>居民养老服务圈建设，发展社区嵌入式托育和幼儿园托幼一体化服务；完善家电维修资质认定标准，加快汽车排放性能维护（维修）技术示范站建设；支持家政、洗染、美容美发等细分行业规范化、品牌化、连锁化发展，完善县乡村居民服务网络，开展职工疗休养活动。</w:t>
      </w:r>
    </w:p>
    <w:p w14:paraId="20756304">
      <w:pPr>
        <w:keepNext w:val="0"/>
        <w:keepLines w:val="0"/>
        <w:pageBreakBefore w:val="0"/>
        <w:widowControl w:val="0"/>
        <w:kinsoku/>
        <w:wordWrap/>
        <w:overflowPunct/>
        <w:topLinePunct w:val="0"/>
        <w:autoSpaceDE/>
        <w:autoSpaceDN/>
        <w:bidi w:val="0"/>
        <w:adjustRightInd/>
        <w:snapToGrid/>
        <w:spacing w:after="0" w:line="570" w:lineRule="exact"/>
        <w:ind w:firstLine="643" w:firstLineChars="200"/>
        <w:jc w:val="both"/>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b/>
          <w:bCs/>
          <w:sz w:val="32"/>
          <w:szCs w:val="32"/>
        </w:rPr>
        <w:t>五是发展升级文化、体育和娱乐业。</w:t>
      </w:r>
      <w:r>
        <w:rPr>
          <w:rFonts w:hint="default" w:ascii="Times New Roman" w:hAnsi="Times New Roman" w:eastAsia="方正仿宋_GBK" w:cs="Times New Roman"/>
          <w:sz w:val="32"/>
          <w:szCs w:val="32"/>
        </w:rPr>
        <w:t>积极争取国家、自治区、援疆省市文化发展资金，推动文化产业项目建设，办好文艺演出等特色文化活动；打造喀什古城、莎车老城等景区品牌，推进重点景区改造提升和智慧化建设，拓展低空旅游新业态；实施</w:t>
      </w:r>
      <w:r>
        <w:rPr>
          <w:rFonts w:hint="eastAsia" w:cs="Times New Roman"/>
          <w:sz w:val="32"/>
          <w:szCs w:val="32"/>
          <w:lang w:eastAsia="zh-CN"/>
        </w:rPr>
        <w:t>“</w:t>
      </w:r>
      <w:r>
        <w:rPr>
          <w:rFonts w:hint="default" w:ascii="Times New Roman" w:hAnsi="Times New Roman" w:eastAsia="方正仿宋_GBK" w:cs="Times New Roman"/>
          <w:sz w:val="32"/>
          <w:szCs w:val="32"/>
        </w:rPr>
        <w:t>文旅+</w:t>
      </w:r>
      <w:r>
        <w:rPr>
          <w:rFonts w:hint="eastAsia" w:cs="Times New Roman"/>
          <w:sz w:val="32"/>
          <w:szCs w:val="32"/>
          <w:lang w:eastAsia="zh-CN"/>
        </w:rPr>
        <w:t>”</w:t>
      </w:r>
      <w:r>
        <w:rPr>
          <w:rFonts w:hint="default" w:ascii="Times New Roman" w:hAnsi="Times New Roman" w:eastAsia="方正仿宋_GBK" w:cs="Times New Roman"/>
          <w:sz w:val="32"/>
          <w:szCs w:val="32"/>
        </w:rPr>
        <w:t>促消费行动，深挖喀什人文与自然景观独特价值，讲好喀什故事；承办好</w:t>
      </w:r>
      <w:r>
        <w:rPr>
          <w:rFonts w:hint="eastAsia" w:cs="Times New Roman"/>
          <w:sz w:val="32"/>
          <w:szCs w:val="32"/>
          <w:lang w:eastAsia="zh-CN"/>
        </w:rPr>
        <w:t>“</w:t>
      </w:r>
      <w:r>
        <w:rPr>
          <w:rFonts w:hint="default" w:ascii="Times New Roman" w:hAnsi="Times New Roman" w:eastAsia="方正仿宋_GBK" w:cs="Times New Roman"/>
          <w:sz w:val="32"/>
          <w:szCs w:val="32"/>
        </w:rPr>
        <w:t>同心杯</w:t>
      </w:r>
      <w:r>
        <w:rPr>
          <w:rFonts w:hint="eastAsia" w:cs="Times New Roman"/>
          <w:sz w:val="32"/>
          <w:szCs w:val="32"/>
          <w:lang w:eastAsia="zh-CN"/>
        </w:rPr>
        <w:t>”</w:t>
      </w:r>
      <w:r>
        <w:rPr>
          <w:rFonts w:hint="default" w:ascii="Times New Roman" w:hAnsi="Times New Roman" w:eastAsia="方正仿宋_GBK" w:cs="Times New Roman"/>
          <w:sz w:val="32"/>
          <w:szCs w:val="32"/>
        </w:rPr>
        <w:t>新疆足球超级联赛喀什分赛区、中国环塔（国际）拉力赛喀什分站赛等赛事，完善全民健身场地设施，对免费或低收费开放的公共体育场馆给予财政补助。</w:t>
      </w:r>
    </w:p>
    <w:p w14:paraId="43165B26">
      <w:pPr>
        <w:keepNext w:val="0"/>
        <w:keepLines w:val="0"/>
        <w:pageBreakBefore w:val="0"/>
        <w:widowControl w:val="0"/>
        <w:kinsoku/>
        <w:wordWrap/>
        <w:overflowPunct/>
        <w:topLinePunct w:val="0"/>
        <w:autoSpaceDE/>
        <w:autoSpaceDN/>
        <w:bidi w:val="0"/>
        <w:adjustRightInd/>
        <w:snapToGrid/>
        <w:spacing w:after="0" w:line="570" w:lineRule="exact"/>
        <w:ind w:firstLine="643" w:firstLineChars="200"/>
        <w:jc w:val="both"/>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b/>
          <w:bCs/>
          <w:sz w:val="32"/>
          <w:szCs w:val="32"/>
        </w:rPr>
        <w:t>六是提质增效房地产业。</w:t>
      </w:r>
      <w:r>
        <w:rPr>
          <w:rFonts w:hint="default" w:ascii="Times New Roman" w:hAnsi="Times New Roman" w:eastAsia="方正仿宋_GBK" w:cs="Times New Roman"/>
          <w:sz w:val="32"/>
          <w:szCs w:val="32"/>
        </w:rPr>
        <w:t>坚持</w:t>
      </w:r>
      <w:r>
        <w:rPr>
          <w:rFonts w:hint="eastAsia" w:cs="Times New Roman"/>
          <w:sz w:val="32"/>
          <w:szCs w:val="32"/>
          <w:lang w:eastAsia="zh-CN"/>
        </w:rPr>
        <w:t>“</w:t>
      </w:r>
      <w:r>
        <w:rPr>
          <w:rFonts w:hint="default" w:ascii="Times New Roman" w:hAnsi="Times New Roman" w:eastAsia="方正仿宋_GBK" w:cs="Times New Roman"/>
          <w:sz w:val="32"/>
          <w:szCs w:val="32"/>
        </w:rPr>
        <w:t>房住不炒</w:t>
      </w:r>
      <w:r>
        <w:rPr>
          <w:rFonts w:hint="eastAsia" w:cs="Times New Roman"/>
          <w:sz w:val="32"/>
          <w:szCs w:val="32"/>
          <w:lang w:eastAsia="zh-CN"/>
        </w:rPr>
        <w:t>”</w:t>
      </w:r>
      <w:r>
        <w:rPr>
          <w:rFonts w:hint="default" w:ascii="Times New Roman" w:hAnsi="Times New Roman" w:eastAsia="方正仿宋_GBK" w:cs="Times New Roman"/>
          <w:sz w:val="32"/>
          <w:szCs w:val="32"/>
        </w:rPr>
        <w:t>定位，支持刚性和改善性住房需求，健全</w:t>
      </w:r>
      <w:r>
        <w:rPr>
          <w:rFonts w:hint="eastAsia" w:cs="Times New Roman"/>
          <w:sz w:val="32"/>
          <w:szCs w:val="32"/>
          <w:lang w:eastAsia="zh-CN"/>
        </w:rPr>
        <w:t>“</w:t>
      </w:r>
      <w:r>
        <w:rPr>
          <w:rFonts w:hint="default" w:ascii="Times New Roman" w:hAnsi="Times New Roman" w:eastAsia="方正仿宋_GBK" w:cs="Times New Roman"/>
          <w:sz w:val="32"/>
          <w:szCs w:val="32"/>
        </w:rPr>
        <w:t>人、房、地、钱</w:t>
      </w:r>
      <w:r>
        <w:rPr>
          <w:rFonts w:hint="eastAsia" w:cs="Times New Roman"/>
          <w:sz w:val="32"/>
          <w:szCs w:val="32"/>
          <w:lang w:eastAsia="zh-CN"/>
        </w:rPr>
        <w:t>”</w:t>
      </w:r>
      <w:r>
        <w:rPr>
          <w:rFonts w:hint="default" w:ascii="Times New Roman" w:hAnsi="Times New Roman" w:eastAsia="方正仿宋_GBK" w:cs="Times New Roman"/>
          <w:sz w:val="32"/>
          <w:szCs w:val="32"/>
        </w:rPr>
        <w:t>要素联动机制，优化住房公积金使用政策，依托中国（新疆）自由贸易试验区喀什片区带动效应，吸引外地投资和人才来喀置业；推动物业服务规范化、标准化、品牌化发展，推进智慧物业建设。</w:t>
      </w:r>
    </w:p>
    <w:p w14:paraId="61526108">
      <w:pPr>
        <w:keepNext w:val="0"/>
        <w:keepLines w:val="0"/>
        <w:pageBreakBefore w:val="0"/>
        <w:widowControl w:val="0"/>
        <w:kinsoku/>
        <w:wordWrap/>
        <w:overflowPunct/>
        <w:topLinePunct w:val="0"/>
        <w:autoSpaceDE/>
        <w:autoSpaceDN/>
        <w:bidi w:val="0"/>
        <w:adjustRightInd/>
        <w:snapToGrid/>
        <w:spacing w:after="0" w:line="570" w:lineRule="exact"/>
        <w:ind w:firstLine="643" w:firstLineChars="200"/>
        <w:jc w:val="both"/>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b/>
          <w:bCs/>
          <w:sz w:val="32"/>
          <w:szCs w:val="32"/>
        </w:rPr>
        <w:t>七是培育壮大水利、环境和公共设施管理业。</w:t>
      </w:r>
      <w:r>
        <w:rPr>
          <w:rFonts w:hint="default" w:ascii="Times New Roman" w:hAnsi="Times New Roman" w:eastAsia="方正仿宋_GBK" w:cs="Times New Roman"/>
          <w:sz w:val="32"/>
          <w:szCs w:val="32"/>
        </w:rPr>
        <w:t>加快米斯克尼水电站、叶尔羌河大型灌区续建配套与现代化改造等重点水利项目前期建设，推行水利工程专业化、市场化运营；深入推进</w:t>
      </w:r>
      <w:r>
        <w:rPr>
          <w:rFonts w:hint="eastAsia" w:cs="Times New Roman"/>
          <w:sz w:val="32"/>
          <w:szCs w:val="32"/>
          <w:lang w:eastAsia="zh-CN"/>
        </w:rPr>
        <w:t>“</w:t>
      </w:r>
      <w:r>
        <w:rPr>
          <w:rFonts w:hint="default" w:ascii="Times New Roman" w:hAnsi="Times New Roman" w:eastAsia="方正仿宋_GBK" w:cs="Times New Roman"/>
          <w:sz w:val="32"/>
          <w:szCs w:val="32"/>
        </w:rPr>
        <w:t>三北</w:t>
      </w:r>
      <w:r>
        <w:rPr>
          <w:rFonts w:hint="eastAsia" w:cs="Times New Roman"/>
          <w:sz w:val="32"/>
          <w:szCs w:val="32"/>
          <w:lang w:eastAsia="zh-CN"/>
        </w:rPr>
        <w:t>”</w:t>
      </w:r>
      <w:r>
        <w:rPr>
          <w:rFonts w:hint="default" w:ascii="Times New Roman" w:hAnsi="Times New Roman" w:eastAsia="方正仿宋_GBK" w:cs="Times New Roman"/>
          <w:sz w:val="32"/>
          <w:szCs w:val="32"/>
        </w:rPr>
        <w:t>工程攻坚战暨塔克拉玛干沙漠边缘阻击战，培育生态环境治理企业，推行环境污染第三方治理；巩固城乡供水一体化成果，推进污水处理厂提标改造和再生水利用，推动园林绿化、环境卫生等公共服务市场化；发展城市智慧管理服务，推进公共停车场、充电桩等基础设施市场化运营，探索基础设施REITs等融资模式盘活存量资产。</w:t>
      </w:r>
    </w:p>
    <w:p w14:paraId="1DB2D9E1">
      <w:pPr>
        <w:keepNext w:val="0"/>
        <w:keepLines w:val="0"/>
        <w:pageBreakBefore w:val="0"/>
        <w:widowControl w:val="0"/>
        <w:kinsoku/>
        <w:wordWrap/>
        <w:overflowPunct/>
        <w:topLinePunct w:val="0"/>
        <w:autoSpaceDE/>
        <w:autoSpaceDN/>
        <w:bidi w:val="0"/>
        <w:adjustRightInd/>
        <w:snapToGrid/>
        <w:spacing w:after="0" w:line="570" w:lineRule="exact"/>
        <w:ind w:firstLine="643" w:firstLineChars="200"/>
        <w:jc w:val="both"/>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b/>
          <w:bCs/>
          <w:sz w:val="32"/>
          <w:szCs w:val="32"/>
        </w:rPr>
        <w:t>八是扩容升级交通运输、仓储和邮政业。</w:t>
      </w:r>
      <w:r>
        <w:rPr>
          <w:rFonts w:hint="default" w:ascii="Times New Roman" w:hAnsi="Times New Roman" w:eastAsia="方正仿宋_GBK" w:cs="Times New Roman"/>
          <w:sz w:val="32"/>
          <w:szCs w:val="32"/>
        </w:rPr>
        <w:t>构建</w:t>
      </w:r>
      <w:r>
        <w:rPr>
          <w:rFonts w:hint="eastAsia" w:cs="Times New Roman"/>
          <w:sz w:val="32"/>
          <w:szCs w:val="32"/>
          <w:lang w:eastAsia="zh-CN"/>
        </w:rPr>
        <w:t>“</w:t>
      </w:r>
      <w:r>
        <w:rPr>
          <w:rFonts w:hint="default" w:ascii="Times New Roman" w:hAnsi="Times New Roman" w:eastAsia="方正仿宋_GBK" w:cs="Times New Roman"/>
          <w:sz w:val="32"/>
          <w:szCs w:val="32"/>
        </w:rPr>
        <w:t>三位一体</w:t>
      </w:r>
      <w:r>
        <w:rPr>
          <w:rFonts w:hint="eastAsia" w:cs="Times New Roman"/>
          <w:sz w:val="32"/>
          <w:szCs w:val="32"/>
          <w:lang w:eastAsia="zh-CN"/>
        </w:rPr>
        <w:t>”</w:t>
      </w:r>
      <w:r>
        <w:rPr>
          <w:rFonts w:hint="default" w:ascii="Times New Roman" w:hAnsi="Times New Roman" w:eastAsia="方正仿宋_GBK" w:cs="Times New Roman"/>
          <w:sz w:val="32"/>
          <w:szCs w:val="32"/>
        </w:rPr>
        <w:t>综合交通枢纽体系，完善喀什国际机场功能，打造区域航空枢纽；加快打造喀什国家物流枢纽、国家骨干冷链物流基地、功能型现代流通战略支点城市，提升中欧班列开行质量和效益，发展冷链物流、电商物流、跨境物流，完善县乡村三级物流配送体系；推进快递进村工程，依托</w:t>
      </w:r>
      <w:r>
        <w:rPr>
          <w:rFonts w:hint="eastAsia" w:cs="Times New Roman"/>
          <w:sz w:val="32"/>
          <w:szCs w:val="32"/>
          <w:lang w:eastAsia="zh-CN"/>
        </w:rPr>
        <w:t>“</w:t>
      </w:r>
      <w:r>
        <w:rPr>
          <w:rFonts w:hint="default" w:ascii="Times New Roman" w:hAnsi="Times New Roman" w:eastAsia="方正仿宋_GBK" w:cs="Times New Roman"/>
          <w:sz w:val="32"/>
          <w:szCs w:val="32"/>
        </w:rPr>
        <w:t>疆品鲜递</w:t>
      </w:r>
      <w:r>
        <w:rPr>
          <w:rFonts w:hint="eastAsia" w:cs="Times New Roman"/>
          <w:sz w:val="32"/>
          <w:szCs w:val="32"/>
          <w:lang w:eastAsia="zh-CN"/>
        </w:rPr>
        <w:t>”</w:t>
      </w:r>
      <w:r>
        <w:rPr>
          <w:rFonts w:hint="default" w:ascii="Times New Roman" w:hAnsi="Times New Roman" w:eastAsia="方正仿宋_GBK" w:cs="Times New Roman"/>
          <w:sz w:val="32"/>
          <w:szCs w:val="32"/>
        </w:rPr>
        <w:t>品牌发展专业化农产品寄递服务；推动</w:t>
      </w:r>
      <w:r>
        <w:rPr>
          <w:rFonts w:hint="eastAsia" w:cs="Times New Roman"/>
          <w:sz w:val="32"/>
          <w:szCs w:val="32"/>
          <w:lang w:eastAsia="zh-CN"/>
        </w:rPr>
        <w:t>“</w:t>
      </w:r>
      <w:r>
        <w:rPr>
          <w:rFonts w:hint="default" w:ascii="Times New Roman" w:hAnsi="Times New Roman" w:eastAsia="方正仿宋_GBK" w:cs="Times New Roman"/>
          <w:sz w:val="32"/>
          <w:szCs w:val="32"/>
        </w:rPr>
        <w:t>交通+旅游</w:t>
      </w:r>
      <w:r>
        <w:rPr>
          <w:rFonts w:hint="eastAsia" w:cs="Times New Roman"/>
          <w:sz w:val="32"/>
          <w:szCs w:val="32"/>
          <w:lang w:eastAsia="zh-CN"/>
        </w:rPr>
        <w:t>”</w:t>
      </w:r>
      <w:r>
        <w:rPr>
          <w:rFonts w:hint="default" w:ascii="Times New Roman" w:hAnsi="Times New Roman" w:eastAsia="方正仿宋_GBK" w:cs="Times New Roman"/>
          <w:sz w:val="32"/>
          <w:szCs w:val="32"/>
        </w:rPr>
        <w:t>融合发展，发展低空经济、通用航空等新业态，发挥喀什向西开放优势，发展国际道路运输和跨境物流。</w:t>
      </w:r>
    </w:p>
    <w:p w14:paraId="1FDF5D88">
      <w:pPr>
        <w:keepNext w:val="0"/>
        <w:keepLines w:val="0"/>
        <w:pageBreakBefore w:val="0"/>
        <w:widowControl w:val="0"/>
        <w:kinsoku/>
        <w:wordWrap/>
        <w:overflowPunct/>
        <w:topLinePunct w:val="0"/>
        <w:autoSpaceDE/>
        <w:autoSpaceDN/>
        <w:bidi w:val="0"/>
        <w:adjustRightInd/>
        <w:snapToGrid/>
        <w:spacing w:after="0" w:line="570" w:lineRule="exact"/>
        <w:ind w:firstLine="640" w:firstLineChars="200"/>
        <w:jc w:val="both"/>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四、落实《工作方案》的保障措施</w:t>
      </w:r>
    </w:p>
    <w:p w14:paraId="33603184">
      <w:pPr>
        <w:keepNext w:val="0"/>
        <w:keepLines w:val="0"/>
        <w:pageBreakBefore w:val="0"/>
        <w:widowControl w:val="0"/>
        <w:kinsoku/>
        <w:wordWrap/>
        <w:overflowPunct/>
        <w:topLinePunct w:val="0"/>
        <w:autoSpaceDE/>
        <w:autoSpaceDN/>
        <w:bidi w:val="0"/>
        <w:adjustRightInd/>
        <w:snapToGrid/>
        <w:spacing w:after="0" w:line="57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《工作方案》提出4条保障措施。</w:t>
      </w:r>
      <w:r>
        <w:rPr>
          <w:rFonts w:hint="eastAsia" w:ascii="方正楷体_GBK" w:hAnsi="方正楷体_GBK" w:eastAsia="方正楷体_GBK" w:cs="方正楷体_GBK"/>
          <w:b/>
          <w:bCs/>
          <w:sz w:val="32"/>
          <w:szCs w:val="32"/>
        </w:rPr>
        <w:t>一是加强组织领导。</w:t>
      </w:r>
      <w:r>
        <w:rPr>
          <w:rFonts w:hint="default" w:ascii="Times New Roman" w:hAnsi="Times New Roman" w:eastAsia="方正仿宋_GBK" w:cs="Times New Roman"/>
          <w:sz w:val="32"/>
          <w:szCs w:val="32"/>
        </w:rPr>
        <w:t>建立健全地区发展改革委统筹、各行业主管部门具体负责的常态化联系机制，加强</w:t>
      </w:r>
      <w:r>
        <w:rPr>
          <w:rFonts w:hint="eastAsia" w:cs="Times New Roman"/>
          <w:sz w:val="32"/>
          <w:szCs w:val="32"/>
          <w:lang w:eastAsia="zh-CN"/>
        </w:rPr>
        <w:t>“</w:t>
      </w:r>
      <w:r>
        <w:rPr>
          <w:rFonts w:hint="default" w:ascii="Times New Roman" w:hAnsi="Times New Roman" w:eastAsia="方正仿宋_GBK" w:cs="Times New Roman"/>
          <w:sz w:val="32"/>
          <w:szCs w:val="32"/>
        </w:rPr>
        <w:t>一对一</w:t>
      </w:r>
      <w:r>
        <w:rPr>
          <w:rFonts w:hint="eastAsia" w:cs="Times New Roman"/>
          <w:sz w:val="32"/>
          <w:szCs w:val="32"/>
          <w:lang w:eastAsia="zh-CN"/>
        </w:rPr>
        <w:t>”</w:t>
      </w:r>
      <w:r>
        <w:rPr>
          <w:rFonts w:hint="default" w:ascii="Times New Roman" w:hAnsi="Times New Roman" w:eastAsia="方正仿宋_GBK" w:cs="Times New Roman"/>
          <w:sz w:val="32"/>
          <w:szCs w:val="32"/>
        </w:rPr>
        <w:t>服务、</w:t>
      </w:r>
      <w:r>
        <w:rPr>
          <w:rFonts w:hint="eastAsia" w:cs="Times New Roman"/>
          <w:sz w:val="32"/>
          <w:szCs w:val="32"/>
          <w:lang w:eastAsia="zh-CN"/>
        </w:rPr>
        <w:t>“</w:t>
      </w:r>
      <w:r>
        <w:rPr>
          <w:rFonts w:hint="default" w:ascii="Times New Roman" w:hAnsi="Times New Roman" w:eastAsia="方正仿宋_GBK" w:cs="Times New Roman"/>
          <w:sz w:val="32"/>
          <w:szCs w:val="32"/>
        </w:rPr>
        <w:t>点对点</w:t>
      </w:r>
      <w:r>
        <w:rPr>
          <w:rFonts w:hint="eastAsia" w:cs="Times New Roman"/>
          <w:sz w:val="32"/>
          <w:szCs w:val="32"/>
          <w:lang w:eastAsia="zh-CN"/>
        </w:rPr>
        <w:t>”</w:t>
      </w:r>
      <w:r>
        <w:rPr>
          <w:rFonts w:hint="default" w:ascii="Times New Roman" w:hAnsi="Times New Roman" w:eastAsia="方正仿宋_GBK" w:cs="Times New Roman"/>
          <w:sz w:val="32"/>
          <w:szCs w:val="32"/>
        </w:rPr>
        <w:t>帮扶，及时解决行业发展中的困难和问题。</w:t>
      </w:r>
      <w:r>
        <w:rPr>
          <w:rFonts w:hint="eastAsia" w:ascii="方正楷体_GBK" w:hAnsi="方正楷体_GBK" w:eastAsia="方正楷体_GBK" w:cs="方正楷体_GBK"/>
          <w:b/>
          <w:bCs/>
          <w:sz w:val="32"/>
          <w:szCs w:val="32"/>
        </w:rPr>
        <w:t>二是强化政策支持。</w:t>
      </w:r>
      <w:r>
        <w:rPr>
          <w:rFonts w:hint="default" w:ascii="Times New Roman" w:hAnsi="Times New Roman" w:eastAsia="方正仿宋_GBK" w:cs="Times New Roman"/>
          <w:sz w:val="32"/>
          <w:szCs w:val="32"/>
        </w:rPr>
        <w:t>用足用好上级政策、积极争取上级资金，设立3000万元喀什地区营利性服务业项目专项资金，全面落实无还本续贷、贷款展期等纾困政策，鼓励政府性融资担保机构降低费率至1%以下，鼓励各县市结合实际出台配套政策，形成叠加效应。</w:t>
      </w:r>
      <w:r>
        <w:rPr>
          <w:rFonts w:hint="eastAsia" w:ascii="方正楷体_GBK" w:hAnsi="方正楷体_GBK" w:eastAsia="方正楷体_GBK" w:cs="方正楷体_GBK"/>
          <w:b/>
          <w:bCs/>
          <w:sz w:val="32"/>
          <w:szCs w:val="32"/>
        </w:rPr>
        <w:t>三是加快培育经营主体。</w:t>
      </w:r>
      <w:r>
        <w:rPr>
          <w:rFonts w:hint="default" w:ascii="Times New Roman" w:hAnsi="Times New Roman" w:eastAsia="方正仿宋_GBK" w:cs="Times New Roman"/>
          <w:sz w:val="32"/>
          <w:szCs w:val="32"/>
        </w:rPr>
        <w:t>建立企业</w:t>
      </w:r>
      <w:r>
        <w:rPr>
          <w:rFonts w:hint="eastAsia" w:cs="Times New Roman"/>
          <w:sz w:val="32"/>
          <w:szCs w:val="32"/>
          <w:lang w:eastAsia="zh-CN"/>
        </w:rPr>
        <w:t>“</w:t>
      </w:r>
      <w:r>
        <w:rPr>
          <w:rFonts w:hint="default" w:ascii="Times New Roman" w:hAnsi="Times New Roman" w:eastAsia="方正仿宋_GBK" w:cs="Times New Roman"/>
          <w:sz w:val="32"/>
          <w:szCs w:val="32"/>
        </w:rPr>
        <w:t>摸排—跟踪—培育—纳统</w:t>
      </w:r>
      <w:r>
        <w:rPr>
          <w:rFonts w:hint="eastAsia" w:cs="Times New Roman"/>
          <w:sz w:val="32"/>
          <w:szCs w:val="32"/>
          <w:lang w:eastAsia="zh-CN"/>
        </w:rPr>
        <w:t>”</w:t>
      </w:r>
      <w:r>
        <w:rPr>
          <w:rFonts w:hint="default" w:ascii="Times New Roman" w:hAnsi="Times New Roman" w:eastAsia="方正仿宋_GBK" w:cs="Times New Roman"/>
          <w:sz w:val="32"/>
          <w:szCs w:val="32"/>
        </w:rPr>
        <w:t>全流程培育机制，引导行业头部企业、平台企业带动上下游中小微企业协同发展，引导小微企业和个体工商户通过资产重组、业务合并等方式组建经营主体，推动入规纳统。</w:t>
      </w:r>
      <w:r>
        <w:rPr>
          <w:rFonts w:hint="eastAsia" w:ascii="方正楷体_GBK" w:hAnsi="方正楷体_GBK" w:eastAsia="方正楷体_GBK" w:cs="方正楷体_GBK"/>
          <w:b/>
          <w:bCs/>
          <w:sz w:val="32"/>
          <w:szCs w:val="32"/>
        </w:rPr>
        <w:t>四是广泛宣传引导。</w:t>
      </w:r>
      <w:r>
        <w:rPr>
          <w:rFonts w:hint="default" w:ascii="Times New Roman" w:hAnsi="Times New Roman" w:eastAsia="方正仿宋_GBK" w:cs="Times New Roman"/>
          <w:sz w:val="32"/>
          <w:szCs w:val="32"/>
        </w:rPr>
        <w:t>加大优惠政策宣贯力度，确保符合条件的企业应享尽享，每年遴选一批营利</w:t>
      </w:r>
      <w:bookmarkStart w:id="0" w:name="_GoBack"/>
      <w:bookmarkEnd w:id="0"/>
      <w:r>
        <w:rPr>
          <w:rFonts w:hint="default" w:ascii="Times New Roman" w:hAnsi="Times New Roman" w:eastAsia="方正仿宋_GBK" w:cs="Times New Roman"/>
          <w:sz w:val="32"/>
          <w:szCs w:val="32"/>
        </w:rPr>
        <w:t>性服务业发展示范县市、示范企业，宣传推广典型案例、成功经验，营造良好发展氛围。</w:t>
      </w:r>
    </w:p>
    <w:sectPr>
      <w:footerReference r:id="rId5" w:type="default"/>
      <w:pgSz w:w="11906" w:h="16838"/>
      <w:pgMar w:top="1440" w:right="1800" w:bottom="1440" w:left="180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CF13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637060">
                          <w:pPr>
                            <w:pStyle w:val="2"/>
                            <w:rPr>
                              <w:rFonts w:hint="eastAsia" w:asciiTheme="minorEastAsia" w:hAnsiTheme="minorEastAsia" w:eastAsiaTheme="minorEastAsia" w:cstheme="minorEastAsia"/>
                              <w:sz w:val="28"/>
                              <w:szCs w:val="40"/>
                            </w:rPr>
                          </w:pPr>
                          <w:r>
                            <w:rPr>
                              <w:rFonts w:hint="eastAsia" w:asciiTheme="minorEastAsia" w:hAnsiTheme="minorEastAsia" w:eastAsiaTheme="minorEastAsia" w:cstheme="minorEastAsia"/>
                              <w:sz w:val="28"/>
                              <w:szCs w:val="40"/>
                            </w:rPr>
                            <w:t xml:space="preserve">— </w:t>
                          </w:r>
                          <w:r>
                            <w:rPr>
                              <w:rFonts w:hint="eastAsia" w:asciiTheme="minorEastAsia" w:hAnsiTheme="minorEastAsia" w:eastAsiaTheme="minorEastAsia" w:cstheme="minorEastAsia"/>
                              <w:sz w:val="28"/>
                              <w:szCs w:val="40"/>
                            </w:rPr>
                            <w:fldChar w:fldCharType="begin"/>
                          </w:r>
                          <w:r>
                            <w:rPr>
                              <w:rFonts w:hint="eastAsia" w:asciiTheme="minorEastAsia" w:hAnsiTheme="minorEastAsia" w:eastAsiaTheme="minorEastAsia" w:cstheme="minorEastAsia"/>
                              <w:sz w:val="28"/>
                              <w:szCs w:val="40"/>
                            </w:rPr>
                            <w:instrText xml:space="preserve"> PAGE  \* MERGEFORMAT </w:instrText>
                          </w:r>
                          <w:r>
                            <w:rPr>
                              <w:rFonts w:hint="eastAsia" w:asciiTheme="minorEastAsia" w:hAnsiTheme="minorEastAsia" w:eastAsiaTheme="minorEastAsia" w:cstheme="minorEastAsia"/>
                              <w:sz w:val="28"/>
                              <w:szCs w:val="40"/>
                            </w:rPr>
                            <w:fldChar w:fldCharType="separate"/>
                          </w:r>
                          <w:r>
                            <w:rPr>
                              <w:rFonts w:hint="eastAsia" w:asciiTheme="minorEastAsia" w:hAnsiTheme="minorEastAsia" w:eastAsiaTheme="minorEastAsia" w:cstheme="minorEastAsia"/>
                              <w:sz w:val="28"/>
                              <w:szCs w:val="40"/>
                            </w:rPr>
                            <w:t>1</w:t>
                          </w:r>
                          <w:r>
                            <w:rPr>
                              <w:rFonts w:hint="eastAsia" w:asciiTheme="minorEastAsia" w:hAnsiTheme="minorEastAsia" w:eastAsiaTheme="minorEastAsia" w:cstheme="minorEastAsia"/>
                              <w:sz w:val="28"/>
                              <w:szCs w:val="40"/>
                            </w:rPr>
                            <w:fldChar w:fldCharType="end"/>
                          </w:r>
                          <w:r>
                            <w:rPr>
                              <w:rFonts w:hint="eastAsia" w:asciiTheme="minorEastAsia" w:hAnsiTheme="minorEastAsia" w:eastAsiaTheme="minorEastAsia" w:cstheme="minorEastAsia"/>
                              <w:sz w:val="28"/>
                              <w:szCs w:val="4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C637060">
                    <w:pPr>
                      <w:pStyle w:val="2"/>
                      <w:rPr>
                        <w:rFonts w:hint="eastAsia" w:asciiTheme="minorEastAsia" w:hAnsiTheme="minorEastAsia" w:eastAsiaTheme="minorEastAsia" w:cstheme="minorEastAsia"/>
                        <w:sz w:val="28"/>
                        <w:szCs w:val="40"/>
                      </w:rPr>
                    </w:pPr>
                    <w:r>
                      <w:rPr>
                        <w:rFonts w:hint="eastAsia" w:asciiTheme="minorEastAsia" w:hAnsiTheme="minorEastAsia" w:eastAsiaTheme="minorEastAsia" w:cstheme="minorEastAsia"/>
                        <w:sz w:val="28"/>
                        <w:szCs w:val="40"/>
                      </w:rPr>
                      <w:t xml:space="preserve">— </w:t>
                    </w:r>
                    <w:r>
                      <w:rPr>
                        <w:rFonts w:hint="eastAsia" w:asciiTheme="minorEastAsia" w:hAnsiTheme="minorEastAsia" w:eastAsiaTheme="minorEastAsia" w:cstheme="minorEastAsia"/>
                        <w:sz w:val="28"/>
                        <w:szCs w:val="40"/>
                      </w:rPr>
                      <w:fldChar w:fldCharType="begin"/>
                    </w:r>
                    <w:r>
                      <w:rPr>
                        <w:rFonts w:hint="eastAsia" w:asciiTheme="minorEastAsia" w:hAnsiTheme="minorEastAsia" w:eastAsiaTheme="minorEastAsia" w:cstheme="minorEastAsia"/>
                        <w:sz w:val="28"/>
                        <w:szCs w:val="40"/>
                      </w:rPr>
                      <w:instrText xml:space="preserve"> PAGE  \* MERGEFORMAT </w:instrText>
                    </w:r>
                    <w:r>
                      <w:rPr>
                        <w:rFonts w:hint="eastAsia" w:asciiTheme="minorEastAsia" w:hAnsiTheme="minorEastAsia" w:eastAsiaTheme="minorEastAsia" w:cstheme="minorEastAsia"/>
                        <w:sz w:val="28"/>
                        <w:szCs w:val="40"/>
                      </w:rPr>
                      <w:fldChar w:fldCharType="separate"/>
                    </w:r>
                    <w:r>
                      <w:rPr>
                        <w:rFonts w:hint="eastAsia" w:asciiTheme="minorEastAsia" w:hAnsiTheme="minorEastAsia" w:eastAsiaTheme="minorEastAsia" w:cstheme="minorEastAsia"/>
                        <w:sz w:val="28"/>
                        <w:szCs w:val="40"/>
                      </w:rPr>
                      <w:t>1</w:t>
                    </w:r>
                    <w:r>
                      <w:rPr>
                        <w:rFonts w:hint="eastAsia" w:asciiTheme="minorEastAsia" w:hAnsiTheme="minorEastAsia" w:eastAsiaTheme="minorEastAsia" w:cstheme="minorEastAsia"/>
                        <w:sz w:val="28"/>
                        <w:szCs w:val="40"/>
                      </w:rPr>
                      <w:fldChar w:fldCharType="end"/>
                    </w:r>
                    <w:r>
                      <w:rPr>
                        <w:rFonts w:hint="eastAsia" w:asciiTheme="minorEastAsia" w:hAnsiTheme="minorEastAsia" w:eastAsiaTheme="minorEastAsia" w:cstheme="minorEastAsia"/>
                        <w:sz w:val="28"/>
                        <w:szCs w:val="40"/>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9E33B5E"/>
    <w:rsid w:val="2AFBE9DA"/>
    <w:rsid w:val="2F676394"/>
    <w:rsid w:val="3BF3116E"/>
    <w:rsid w:val="3BFF4893"/>
    <w:rsid w:val="5FD46CBA"/>
    <w:rsid w:val="67E91BE3"/>
    <w:rsid w:val="7F6EB8B4"/>
    <w:rsid w:val="7FFF6A3A"/>
    <w:rsid w:val="9ECDE47E"/>
    <w:rsid w:val="B9E33B5E"/>
    <w:rsid w:val="BAF873A3"/>
    <w:rsid w:val="BFDD9BDD"/>
    <w:rsid w:val="D5F7BB8D"/>
    <w:rsid w:val="D932AAC6"/>
    <w:rsid w:val="DDFFE701"/>
    <w:rsid w:val="EDDF86A8"/>
    <w:rsid w:val="EF7B04F9"/>
    <w:rsid w:val="F3DD0FDC"/>
    <w:rsid w:val="F9F01DFF"/>
    <w:rsid w:val="FB7FB2AF"/>
    <w:rsid w:val="FDFF911B"/>
    <w:rsid w:val="FEFBBBD1"/>
    <w:rsid w:val="FF998BA9"/>
    <w:rsid w:val="FFDF4F77"/>
    <w:rsid w:val="FFF7B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方正仿宋_GBK" w:cstheme="minorBidi"/>
      <w:sz w:val="32"/>
      <w:szCs w:val="22"/>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139</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2026-08-29T13:08:00Z</dcterms:created>
  <dc:creator>脑袋空空</dc:creator>
  <cp:lastModifiedBy>脑袋空空</cp:lastModifiedBy>
  <dcterms:modified xsi:type="dcterms:W3CDTF">2026-08-28T20:11:46Z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4A9A36E7930AD9F7C117916A57E04C39_41</vt:lpwstr>
  </property>
</Properties>
</file>