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>部门单位项目支出绩效评价报告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2022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政协业务工作项目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喀什地区政协办公室</w:t>
      </w:r>
    </w:p>
    <w:p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喀什地区政协工委办公室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郎建林</w:t>
      </w:r>
    </w:p>
    <w:p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2023年05月06日</w:t>
      </w:r>
    </w:p>
    <w:p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1.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本项目遵循财政部《项目支出绩效评价管理办法》（财预〔2020〕10号）和自治区财政厅《自治区财政支出绩效评价管理暂行办法》（新财预〔2018〕189号）等相关政策文件与规定，旨在协助机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关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日常工作。依据自治区政协2022年工作安排，喀什地区政协工委按照《喀什地区政协工委党组2022年工作要点》、《关于全国政协办公厅在北戴河举办培训班的通知》、《关于地区处级干部周转房的相关规定（暂行）》通知要求，完成各项工作任务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2.主要内容及实施情况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建设主要服务于喀什地区政协工作的正常运行。团结带领全地区各级政协组织、政协各参加单位和各族各界政协委员，发扬民主和增进团结相互贯通、建言资政和凝聚共识双向发力，切实发挥政协专门协商机构作用，加强与委员的联络沟通，全力以赴抓好调研视察培训协商会议的组织实施，确保工委2022年全年工作的贯彻落实。</w:t>
      </w:r>
    </w:p>
    <w:p>
      <w:pPr>
        <w:spacing w:line="54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3.项目实施主体</w:t>
      </w:r>
    </w:p>
    <w:p>
      <w:pPr>
        <w:spacing w:line="54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2023年度政协业务项目由喀什地区政协工委办公室具体实施。</w:t>
      </w:r>
    </w:p>
    <w:p>
      <w:pPr>
        <w:spacing w:line="54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编制人数25人，其中：行政人员编制16人、工勤9人。实有在职人数27人，其中：行政在职22人、工勤5人。离退休人员29人，其中：离休人员1人，退休人员28人。</w:t>
      </w:r>
    </w:p>
    <w:p>
      <w:pPr>
        <w:spacing w:line="54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4.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资金投入和使用情况</w:t>
      </w:r>
    </w:p>
    <w:p>
      <w:pPr>
        <w:numPr>
          <w:numId w:val="0"/>
        </w:numPr>
        <w:spacing w:line="54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《关于下达2022年喀什地区本级预算的通知》（喀地财发【2022】1号）安排下达资金48.27万元，为一般公共预算资金，最终确定项目资金总数为48.27万元。</w:t>
      </w:r>
    </w:p>
    <w:p>
      <w:pPr>
        <w:numPr>
          <w:numId w:val="0"/>
        </w:numPr>
        <w:spacing w:line="540" w:lineRule="exact"/>
        <w:ind w:firstLine="624" w:firstLineChars="200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截至2022年12月31日，实际支出41.89万元，退回财政6.38万元，预算执行率85%。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项目绩效目标包括项目绩效总目标和阶段性目标。</w:t>
      </w:r>
    </w:p>
    <w:p>
      <w:pPr>
        <w:spacing w:line="540" w:lineRule="exact"/>
        <w:ind w:left="0" w:leftChars="0" w:firstLine="998" w:firstLineChars="32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1.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项目绩效总目标</w:t>
      </w:r>
    </w:p>
    <w:p>
      <w:pPr>
        <w:numPr>
          <w:numId w:val="0"/>
        </w:numPr>
        <w:spacing w:line="54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（1）根据喀什地区政协2022年工作要点统筹安排全年各项工作，紧紧围绕地委决策部署谋划政协工作，统筹抓好政协工委党组年度工作要点的落实，确保各项工作一体谋划、一体推进、一体落实。</w:t>
      </w:r>
    </w:p>
    <w:p>
      <w:pPr>
        <w:numPr>
          <w:numId w:val="0"/>
        </w:numPr>
        <w:spacing w:line="54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紧扣自治区政协专题议政性常委会、月度协商座谈会确定的议题开展调查研究，形成高质量的会议发言材料和调研报告。组织政协委员开展视察、调研活动，形成视察、调研报告，积极向地委、行署提出意见建议，助推地委各项决策部署落实。</w:t>
      </w:r>
    </w:p>
    <w:p>
      <w:pPr>
        <w:numPr>
          <w:numId w:val="0"/>
        </w:numPr>
        <w:spacing w:line="54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（3）根据2022年工作需要，着力提高提案质量和提案办理质量，发挥提案在履行职能中的重要作用。</w:t>
      </w:r>
    </w:p>
    <w:p>
      <w:pPr>
        <w:numPr>
          <w:numId w:val="0"/>
        </w:numPr>
        <w:spacing w:line="54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（4）加强业务培训，提高政协履职本领。按照保密工作要求，购置2个保密柜及1台保密碎纸机。</w:t>
      </w:r>
    </w:p>
    <w:p>
      <w:pPr>
        <w:numPr>
          <w:numId w:val="0"/>
        </w:numPr>
        <w:spacing w:line="54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（5）保障内调干部住房费用，落实了关心关爱干部政策。</w:t>
      </w:r>
    </w:p>
    <w:p>
      <w:pPr>
        <w:numPr>
          <w:numId w:val="0"/>
        </w:numPr>
        <w:spacing w:line="540" w:lineRule="exact"/>
        <w:ind w:left="319" w:leftChars="152" w:firstLine="312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2.阶段性目标</w:t>
      </w:r>
    </w:p>
    <w:p>
      <w:pPr>
        <w:numPr>
          <w:numId w:val="0"/>
        </w:numPr>
        <w:spacing w:line="540" w:lineRule="exact"/>
        <w:ind w:firstLine="624" w:firstLineChars="200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一阶段：前期准备阶段,根据喀什地区政协2022年工作要点统筹安排全年各项工作，紧紧围绕地委决策部署谋划政协工作，统筹抓好政协工委党组年度工作要点的落实，确保各项工作一体谋划、一体推进、一体落实。紧扣自治区政协专题议政性常委会、月度协商座谈会确定的议题开展调查研究，形成高质量的会议发言材料和调研报告。组织政协委员开展视察、调研活动，形成视察、调研报告，积极向地委、行署提出意见建议，助推地委各项决策部署落实。着力提高提案质量和提案办理质量，发挥提案在履行职能中的重要作用。加强业务培训，提高政协履职本领。保障内调干部和调训干部住房费用，以及关心慰问访惠聚工作队。确定2022年政协业务工作项目经费为16万元。第二阶段项目实施阶段:通过团结带领全地区各级政协组织、政协各参加单位和各族各界政协委员，发扬民主和增进团结相互贯通、建言资政和凝聚共识双向发力，切实发挥政协专门协商机构作用，加强与委员的联络沟通，全力以赴抓好调研视察培训协商会议的组织实施，确保工委2023年全年工作的贯彻落实。第三阶段：验收阶段，对2022年政协业务工作梳理，全面完成了2022年政协业务工作的计划，使政协各项工作得到了充分认可，提升政协干部和政协委员履职能力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1.绩效评价目的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和自治区财政厅《自治区财政支出绩效评价管理暂行办法》（新财预〔2018〕189号）等相关政策文件与规定，旨在评价财政项目实施前期、过程及效果，评价财政预算资金使用的效率及效益。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为全面了解该项目预算编制合理性、资金使用合规性、项目管理的规范性、项目目标的实现情况、服务对象的满意度等，通过本次部门绩效评价来总结经验和教训，促进项目成果转化和应用，为今后类似项目的长效管理，提供可行性参考建议。也为下一年预算编制与评审提供充分有效的依据，以达到改进预算管理、优化资源配置、提高预算资金使用效益的目的。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2.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绩效评价对象</w:t>
      </w:r>
    </w:p>
    <w:p>
      <w:pPr>
        <w:numPr>
          <w:numId w:val="0"/>
        </w:numPr>
        <w:spacing w:line="54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和自治区财政厅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</w:t>
      </w:r>
    </w:p>
    <w:p>
      <w:pPr>
        <w:numPr>
          <w:numId w:val="0"/>
        </w:numPr>
        <w:spacing w:line="54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3.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绩效评价范围</w:t>
      </w:r>
    </w:p>
    <w:p>
      <w:pPr>
        <w:numPr>
          <w:numId w:val="0"/>
        </w:numPr>
        <w:spacing w:line="540" w:lineRule="exact"/>
        <w:ind w:firstLine="624" w:firstLineChars="200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numPr>
          <w:ilvl w:val="0"/>
          <w:numId w:val="1"/>
        </w:numPr>
        <w:spacing w:line="570" w:lineRule="exact"/>
        <w:ind w:firstLine="627" w:firstLineChars="200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绩效评价原则、评价指标体系（附表说明）、评价方法、评价标准等。</w:t>
      </w:r>
    </w:p>
    <w:p>
      <w:pPr>
        <w:numPr>
          <w:numId w:val="0"/>
        </w:numPr>
        <w:spacing w:line="570" w:lineRule="exact"/>
        <w:ind w:firstLine="624" w:firstLineChars="200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1.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绩效评价原则</w:t>
      </w:r>
    </w:p>
    <w:p>
      <w:pPr>
        <w:numPr>
          <w:numId w:val="0"/>
        </w:numPr>
        <w:spacing w:line="57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本次绩效评价遵循的原则包括：</w:t>
      </w:r>
    </w:p>
    <w:p>
      <w:pPr>
        <w:numPr>
          <w:ilvl w:val="0"/>
          <w:numId w:val="2"/>
        </w:numPr>
        <w:spacing w:line="57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科学公正。绩效评价应当运用科学合理的方法，按照规范的程序，对项目绩效进行客观、公正的反映。</w:t>
      </w:r>
    </w:p>
    <w:p>
      <w:pPr>
        <w:numPr>
          <w:ilvl w:val="0"/>
          <w:numId w:val="2"/>
        </w:numPr>
        <w:spacing w:line="570" w:lineRule="exact"/>
        <w:ind w:left="0" w:leftChars="0"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</w:p>
    <w:p>
      <w:pPr>
        <w:numPr>
          <w:ilvl w:val="0"/>
          <w:numId w:val="2"/>
        </w:numPr>
        <w:spacing w:line="570" w:lineRule="exact"/>
        <w:ind w:left="0" w:leftChars="0"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激励约束。绩效评价结果应与预算安排、政策调整、改进管理实质性挂钩，体现奖优罚劣和激励相容导向，有效要安排、低效要压减、无效要问责。</w:t>
      </w:r>
    </w:p>
    <w:p>
      <w:pPr>
        <w:numPr>
          <w:ilvl w:val="0"/>
          <w:numId w:val="2"/>
        </w:numPr>
        <w:spacing w:line="570" w:lineRule="exact"/>
        <w:ind w:left="0" w:leftChars="0"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公开透明。绩效评价结果应依法依规公开，并自觉接受社会监督。</w:t>
      </w:r>
    </w:p>
    <w:p>
      <w:pPr>
        <w:numPr>
          <w:numId w:val="0"/>
        </w:numPr>
        <w:spacing w:line="57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1.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绩效评价指标体系</w:t>
      </w:r>
    </w:p>
    <w:p>
      <w:pPr>
        <w:numPr>
          <w:numId w:val="0"/>
        </w:numPr>
        <w:spacing w:line="57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绩效评价体系为根据财预﹝2020﹞10号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产出下设产出数量、产出质量、产出时效、产出成本4个2级指标，效益下设项目效益1个二级指标。项目绩效评价体系详见附件1。</w:t>
      </w:r>
    </w:p>
    <w:p>
      <w:pPr>
        <w:numPr>
          <w:numId w:val="0"/>
        </w:numPr>
        <w:spacing w:line="57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2.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绩效评价方法</w:t>
      </w:r>
    </w:p>
    <w:p>
      <w:pPr>
        <w:numPr>
          <w:numId w:val="0"/>
        </w:numPr>
        <w:spacing w:line="57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编办综合改革工作经费本次绩效评价方法有：比较法、最低成本法、公众评判法。</w:t>
      </w:r>
    </w:p>
    <w:p>
      <w:pPr>
        <w:numPr>
          <w:numId w:val="0"/>
        </w:numPr>
        <w:spacing w:line="57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（1）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比较法。是指将实施情况与绩效目标、历史情况、不同部门和地区同类支出情况进行比较的方法。</w:t>
      </w:r>
    </w:p>
    <w:p>
      <w:pPr>
        <w:numPr>
          <w:numId w:val="0"/>
        </w:numPr>
        <w:spacing w:line="57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（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最低成本法。是指在绩效目标确定的前提下，成本最小者为优的方法。</w:t>
      </w:r>
    </w:p>
    <w:p>
      <w:pPr>
        <w:numPr>
          <w:numId w:val="0"/>
        </w:numPr>
        <w:spacing w:line="57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（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公众评判法。是指通过专家评估、公众问卷及抽样调查等方式进行评判的方法。</w:t>
      </w:r>
    </w:p>
    <w:p>
      <w:pPr>
        <w:numPr>
          <w:numId w:val="0"/>
        </w:numPr>
        <w:spacing w:line="57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bookmarkStart w:id="0" w:name="_GoBack"/>
      <w:bookmarkEnd w:id="0"/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3.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绩效评价标准</w:t>
      </w:r>
    </w:p>
    <w:p>
      <w:pPr>
        <w:numPr>
          <w:numId w:val="0"/>
        </w:numPr>
        <w:spacing w:line="57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绩效评价标准通常包括计划标准、行业标准、历史标准等，用于对绩效指标完成情况进行比较、分析、评价。本次评价主要采用了计划标准、行业标准、历史标准。</w:t>
      </w:r>
    </w:p>
    <w:p>
      <w:pPr>
        <w:numPr>
          <w:numId w:val="0"/>
        </w:numPr>
        <w:spacing w:line="57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计划标准：指以预先制定的目标、计划、预算、定额等作为评价标准。</w:t>
      </w:r>
    </w:p>
    <w:p>
      <w:pPr>
        <w:numPr>
          <w:numId w:val="0"/>
        </w:numPr>
        <w:spacing w:line="570" w:lineRule="exact"/>
        <w:ind w:firstLine="624" w:firstLineChars="200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历史标准：指参照历史数据制定的评价标准，为体现绩效改进的原则，在可实现的条件下应当确定相对较高的评价标准。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本次评价成立了评价工作组，成员如下：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本次评价设计了评价方案、评价指标体系，通过资料分析、调研、访谈满意度调查等方式形成评价结论，在与项目单位沟通后确定评价意见，并出具评价报告。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第一阶段：前期准备。认真学习相关要求与规定，成立绩效评价工作组，作为绩效评价工作具体实施机构。成员构成如下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王建国任评价组组长，绩效评价工作职责为负责全盘工作。郎建林任评价组副组长，绩效评价工作职责为为对项目实施情况进行实地调查。王艳任评价组成员，绩效评价工作职责为负责资料审核等工作。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第二阶段：组织实施。经评价组通过实地调研、查阅资料等方式，采用综合分析法对项目的决策、管理、绩效进行的综合评价分析。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第三阶段：分析评价。首先按照指标体系进行定量、定性分析。其次开展量化打分、综合评价工作，形成初步评价结论。最后归纳整体项目情况与存在问题，撰写部门绩效评价报告。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（一）综合评价情况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经评价组通过比较法、最低成本法、公众评判法等方式，主要采用比较分析法对项目的决策、实施、产出、效益进行综合评价分析，最终评分98.67分。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综合改革工作项目得分情况表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一级指标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权重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得分率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实际得分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20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96.7%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19.34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40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98.33%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39.33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20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98.67%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98.67</w:t>
      </w:r>
    </w:p>
    <w:p>
      <w:pPr>
        <w:numPr>
          <w:numId w:val="0"/>
        </w:numPr>
        <w:spacing w:line="54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（二）综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合评价结论</w:t>
      </w:r>
    </w:p>
    <w:p>
      <w:pPr>
        <w:numPr>
          <w:ilvl w:val="0"/>
          <w:numId w:val="1"/>
        </w:numPr>
        <w:spacing w:line="540" w:lineRule="exact"/>
        <w:ind w:left="0" w:leftChars="0" w:firstLine="624" w:firstLineChars="200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运用项目组制定评价指标体系及财政部《项目支出绩效评价管理办法》（财预〔2020〕10号）文件评分标准进行评价，本次绩效评价结果主要采取评分和评级相结合的方式，具体分值和等级可根据不同评价的内容设定。总分一般设置为100分，其中项目决策20分、项目过程20分、项目产出40分、项目效益20分。评价结果分为优、良、中、差四个等级：优（90分（含）—100分）；良（80分（含）—90分）；中（60分（含）—80分）；差（0分—60分）。</w:t>
      </w:r>
    </w:p>
    <w:p>
      <w:pPr>
        <w:numPr>
          <w:ilvl w:val="0"/>
          <w:numId w:val="1"/>
        </w:numPr>
        <w:spacing w:line="540" w:lineRule="exact"/>
        <w:ind w:left="0" w:leftChars="0" w:firstLine="624" w:firstLineChars="200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政协业务工作项目已完成年初设立的绩效目标，根据喀什地区政协2022年工作要点统筹安排全年各项工作，紧紧围绕地委决策部署谋划政协工作，统筹抓好政协工委党组年度工作要点的落实，确保各项工作一体谋划、一体推进、一体落实。紧扣自治区政协专题议政性常委会、月度协商座谈会确定的议题开展调查研究，形成高质量的会议发言材料和调研报告。组织政协委员开展视察、调研活动，形成视察、调研报告，积极向地委、行署提出意见建议，助推地委各项决策部署落实。着力提高提案质量和提案办理质量，发挥提案在履行职能中的重要作用。加强业务培训，提高政协履职本领。保障了内调干部住房费用。产生系统完备、科学规范的社会效益。该项目最终评分98.67分，绩效评级为“优”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（一）项目决策情况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项目决策类指标包括项目立项、绩效目标和资金投入三方面的内容，由6个三级指标构成，权重分为20分，实际得分20分，得分率为100%。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综合改革工作项目决策指标得分情况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三级指标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权重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得分率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实际得分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立项依据充分性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3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立项程序规范性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绩效目标合理性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3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绩效指标明确性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预算编制科学性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5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资金分配合理性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5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20</w:t>
      </w:r>
    </w:p>
    <w:p>
      <w:pPr>
        <w:numPr>
          <w:ilvl w:val="0"/>
          <w:numId w:val="3"/>
        </w:num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立项依据充分性：本项目遵循财政部《项目支出绩效评价管理办法》（财预〔2020〕10号）和自治区财政厅《自治区财政支出绩效评价管理暂行办法》（新财预〔2018〕189号）等相关政策文件与规定，旨在协助政协工委机关日常工作。依据自治区政协2022年工作安排，喀什地区政协工委按照《喀什地区政协工委党组2022年工作要点》、《关于全国政协办公厅在北戴河举办培训班的通知》、《关于地区处级干部周转房的相关规定（暂行）》通知要求，结合喀什地区政协工委办公室部门职责，并组织实施。围绕2022年度工作重点和工作计划制定经费预算，根据评分标准，该指标不扣分，得3分。</w:t>
      </w:r>
    </w:p>
    <w:p>
      <w:pPr>
        <w:numPr>
          <w:ilvl w:val="0"/>
          <w:numId w:val="3"/>
        </w:numPr>
        <w:spacing w:line="540" w:lineRule="exact"/>
        <w:ind w:left="0" w:leftChars="0" w:firstLine="567" w:firstLineChars="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立项程序规范性：根据喀什地区政协2022年工作要点统筹安排全年各项工作，紧紧围绕地委决策部署谋划政协工作，统筹抓好政协工委党组年度工作要点的落实，确保各项工作一体谋划、一体推进、一体落实。紧扣自治区政协专题议政性常委会、月度协商座谈会确定的议题开展调查研究，形成高质量的会议发言材料和调研报告。组织政协委员开展视察、调研活动，形成视察、调研报告，积极向地委、行署提出意见建议，助推地委各项决策部署落实。着力提高提案质量和提案办理质量，发挥提案在履行职能中的重要作用。加强业务培训，提高政协履职本领。保障内调干部和调训干部住房费用。依据政协工作要点和经费预算，经过与负责政协业务工作项目的分管领导进行沟通、筛选确定经费预算计划，机关党组会议研究确定最终预算方案，根据评分标准，该指标不扣分，得2分。</w:t>
      </w:r>
    </w:p>
    <w:p>
      <w:pPr>
        <w:numPr>
          <w:ilvl w:val="0"/>
          <w:numId w:val="3"/>
        </w:numPr>
        <w:spacing w:line="540" w:lineRule="exact"/>
        <w:ind w:left="0" w:leftChars="0" w:firstLine="567" w:firstLineChars="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目标合理性：地区政协工委办公室制定了政协业务工作实施方案，明确了总体思路及目标、并对任务进行了详细分解，对目标进行了细化，组织政协委员开展政协会议、委员视察、培训、调研22次，形成视察、调研报告，积极向地委、行署提出意见建议，助推地委各项决策部署落实。保障内调干部、调训人员2人，慰问工作队4次，购置办公设备6台，举办基层政协领导干部培训班1次。发挥政协履职能力，提高政协履职本领。根据评分标准，该指标不扣分，得3分。</w:t>
      </w:r>
    </w:p>
    <w:p>
      <w:pPr>
        <w:numPr>
          <w:ilvl w:val="0"/>
          <w:numId w:val="3"/>
        </w:numPr>
        <w:spacing w:line="540" w:lineRule="exact"/>
        <w:ind w:left="0" w:leftChars="0" w:firstLine="567" w:firstLineChars="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指标明确性：政协业务工作绩效目标细化分解为具体的绩效指标，根据喀什地区政协2022年工作要点统筹安排全年各项工作，紧紧围绕地委决策部署谋划政协工作，组织政协委员开展政协会议、委员视察、培训、调研22次，形成视察、调研报告，积极向地委、行署提出意见建议，助推地委各项决策部署落实。保障内调干部、调训人员2人，慰问工作队4次，购置办公设备6台，举办基层政协领导干部培训班1次。发挥政协履职能力，提高政协履职本领。</w:t>
      </w:r>
    </w:p>
    <w:p>
      <w:pPr>
        <w:numPr>
          <w:numId w:val="0"/>
        </w:numPr>
        <w:spacing w:line="54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根据评分标准，该指标不扣分，得2分。</w:t>
      </w:r>
    </w:p>
    <w:p>
      <w:pPr>
        <w:numPr>
          <w:ilvl w:val="0"/>
          <w:numId w:val="3"/>
        </w:numPr>
        <w:spacing w:line="540" w:lineRule="exact"/>
        <w:ind w:left="0" w:leftChars="0" w:firstLine="567" w:firstLineChars="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预算编制科学性：政协业务工作项目预算编制经过科学论证，内容与项目内容匹配，项目下达资金总额48.27万元与工作任务相匹配，年末完成支付41.89万元，分别为开展政协会议、委员视察、培训、调研活动成本：31.75万元；保障内调干部、调训人员不少于2人0.82万元；慰问驻村工作队费用1万元；办公设备购置费用1.43万元；举办基层政协领导干部培训班成本成本6.89万元；因疫情原因，开展政协会议、委员视察、培训、调研活动未完成，退回财政6.38万元。根据评分标准，该指标不扣分，得5分。</w:t>
      </w:r>
    </w:p>
    <w:p>
      <w:pPr>
        <w:numPr>
          <w:numId w:val="0"/>
        </w:numPr>
        <w:spacing w:line="540" w:lineRule="exact"/>
        <w:ind w:firstLine="624" w:firstLineChars="200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（6）资金分配合理性：根据《于下达2022年喀什地区本级预算的通知》喀地财发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[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]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号，项目下达资金总额48.27万元与工作任务相匹配，年末完成支付41.89万元，分别为开展政协会议、委员视察、培训、调研活动成本：31.75万元；保障内调干部、调训人员不少于2人0.82万元；慰问驻村工作队费用1万元；办公设备购置费用1.43万元；举办基层政协领导干部培训班成本成本6.89万元；因疫情原因，开展政协会议、委员视察、培训、调研活动未完成，退回财政6.38万元。资金分配与实际相适应，根据评分标准，该指标不扣分，得5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项目过程类指标包括资金管理和组织实施两方面的内容，由5个三级指标构成，权重分为20分，实际得分19.34分，得分率为96.7%。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综合改革工作项目过程指标得分情况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三级指标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权重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得分率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实际得分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资金到位率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5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预算执行率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86.8%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4.34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资金使用合规性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5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管理制度健全性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制度执行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3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96.7%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19.34</w:t>
      </w:r>
    </w:p>
    <w:p>
      <w:pPr>
        <w:numPr>
          <w:ilvl w:val="0"/>
          <w:numId w:val="4"/>
        </w:num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资金到位率：根据《于下达2022年喀什地区本级预算的通知》喀地财发【2022】1号文件，综合改革工作项目财政资金足额到位48.27万元，地委政协能够及时足额按照合同约定将专项资金拨付给商家，根据评分标准，该指标不扣分，得5分。</w:t>
      </w:r>
    </w:p>
    <w:p>
      <w:pPr>
        <w:numPr>
          <w:ilvl w:val="0"/>
          <w:numId w:val="4"/>
        </w:numPr>
        <w:spacing w:line="540" w:lineRule="exact"/>
        <w:ind w:left="0" w:leftChars="0" w:firstLine="567" w:firstLineChars="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预算执行率：政协业务工作项目预算编制较为详细，项目资金支出总体能够按照预算执行，年末完成支付41.89万元，分别为开展政协会议、委员视察、培训、调研活动成本：30.12万元；保障内调干部、调训人员不少于2人2.45万元；慰问驻村工作队费用1万元；办公设备购置费用1.43万元；举办基层政协领导干部培训班成本成本6.89万元；因疫情原因，开展政协会议、委员视察、培训、调研活动未完成，退回财政6.38万元。根据评分标准，该指标扣0.66分，得4.34分。</w:t>
      </w:r>
    </w:p>
    <w:p>
      <w:pPr>
        <w:numPr>
          <w:ilvl w:val="0"/>
          <w:numId w:val="4"/>
        </w:numPr>
        <w:spacing w:line="540" w:lineRule="exact"/>
        <w:ind w:left="0" w:leftChars="0" w:firstLine="567" w:firstLineChars="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管理制度健全性：地区政协制定了财务管理办法分别是《政协财务管理制度》、《政协内控制度》、《政协绩效管理办法》对政协业务工作项目资金进行严格管理，做到了专款专用，根据评分标准，该指标不扣分，得2分。</w:t>
      </w:r>
    </w:p>
    <w:p>
      <w:pPr>
        <w:numPr>
          <w:ilvl w:val="0"/>
          <w:numId w:val="4"/>
        </w:numPr>
        <w:spacing w:line="540" w:lineRule="exact"/>
        <w:ind w:left="0" w:leftChars="0" w:firstLine="567" w:firstLineChars="0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制度执行有效性：根据《关于下达2022年喀什地区本级预算的通知》喀地财发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[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]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号文件规定，下达的政协业务工作项目资金，由部门提出经费预算支出可行性方案，经过与政协工委机关分管领导沟通后，报机关党支部会议研究执行，财务对资金的使用合法合规性进行监督，年底对资金使用效果进行自评，根据评分标准，该指标不扣分，得3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项目产出类指标包括产出数量、产出质量、产出时效、产出成本四方面的内容，由4个三级指标构成，权重分为40分，实际得分39.33分，得分率为98.33%。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综合改革工作项目产出指标得分情况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三级指标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权重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得分率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实际得分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产出数量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96.7%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9.67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产出质量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产出时效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成本情况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96.6%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9.66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40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98.33%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39.33</w:t>
      </w:r>
    </w:p>
    <w:p>
      <w:pPr>
        <w:numPr>
          <w:ilvl w:val="0"/>
          <w:numId w:val="5"/>
        </w:num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对于“产出数量”</w:t>
      </w:r>
    </w:p>
    <w:p>
      <w:pPr>
        <w:numPr>
          <w:numId w:val="0"/>
        </w:numPr>
        <w:spacing w:line="54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数量指标为开展政协会议、委员视察、培训、调研次数，预期指标值为≥24次，实际完成值为20次，指标完成率为83.3%，偏差原因：因疫情导致调研未实施。改进措施：根据项目实际情况及时调整目标。根据评分标准，该指标扣0.33分，得1.67分。</w:t>
      </w:r>
    </w:p>
    <w:p>
      <w:pPr>
        <w:numPr>
          <w:numId w:val="0"/>
        </w:numPr>
        <w:spacing w:line="54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数量指标为保障内调干部、调训人员数，预期指标值为≥2人，实际完成值为2人，指标完成率为100%，与预期目标一致，根据评分标准，该指标不扣分，得2分。</w:t>
      </w:r>
    </w:p>
    <w:p>
      <w:pPr>
        <w:numPr>
          <w:numId w:val="0"/>
        </w:numPr>
        <w:spacing w:line="54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数量指标为慰问工作队次数，预期指标值为≥4次，实际完成值为4次，指标完成率为100%，与预期目标一致，根据评分标准，该指标不扣分，得2分。</w:t>
      </w:r>
    </w:p>
    <w:p>
      <w:pPr>
        <w:numPr>
          <w:numId w:val="0"/>
        </w:numPr>
        <w:spacing w:line="54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数量指标为购置办公设备购置数，预期指标值为≥6台，实际完成值为6台，指标完成率为100%，与预期目标一致，根据评分标准，该指标不扣分，得2分。</w:t>
      </w:r>
    </w:p>
    <w:p>
      <w:pPr>
        <w:numPr>
          <w:numId w:val="0"/>
        </w:numPr>
        <w:spacing w:line="54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数量指标为举办基层政协领导干部培训班次数，预期指标值为≥1次，实际完成值为1次，指标完成率为100%，与预期目标一致，根据评分标准，该指标不扣分，得2分。</w:t>
      </w:r>
    </w:p>
    <w:p>
      <w:pPr>
        <w:numPr>
          <w:numId w:val="0"/>
        </w:numPr>
        <w:spacing w:line="54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合计得9.67分。</w:t>
      </w:r>
    </w:p>
    <w:p>
      <w:pPr>
        <w:numPr>
          <w:ilvl w:val="0"/>
          <w:numId w:val="5"/>
        </w:numPr>
        <w:spacing w:line="540" w:lineRule="exact"/>
        <w:ind w:left="0" w:leftChars="0" w:firstLine="567" w:firstLineChars="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对于“产出质量”：</w:t>
      </w:r>
    </w:p>
    <w:p>
      <w:pPr>
        <w:numPr>
          <w:numId w:val="0"/>
        </w:numPr>
        <w:spacing w:line="54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政府采购率，预期指标值为≥100%,实际完成值为100%，指标完成率为100%，与预期目标一致，根据评分标准，该指标不扣分，得5分。</w:t>
      </w:r>
    </w:p>
    <w:p>
      <w:pPr>
        <w:numPr>
          <w:numId w:val="0"/>
        </w:numPr>
        <w:spacing w:line="54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参加活动出勤率，预期指标值为≥96%,实际完成值为100%，指标完成率为104%，偏差原因：指标实际完成值与预期目标值之间存在合理偏差。改进措施：以后年度根据指标实际情况设置目标值。根据评分标准，该指标不扣分，得5分。</w:t>
      </w:r>
    </w:p>
    <w:p>
      <w:pPr>
        <w:numPr>
          <w:numId w:val="0"/>
        </w:numPr>
        <w:spacing w:line="54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</w:p>
    <w:p>
      <w:pPr>
        <w:numPr>
          <w:ilvl w:val="0"/>
          <w:numId w:val="5"/>
        </w:numPr>
        <w:spacing w:line="540" w:lineRule="exact"/>
        <w:ind w:left="0" w:leftChars="0" w:firstLine="567" w:firstLineChars="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对于“产出时效”：</w:t>
      </w:r>
    </w:p>
    <w:p>
      <w:pPr>
        <w:numPr>
          <w:numId w:val="0"/>
        </w:numPr>
        <w:spacing w:line="54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工作开展及时性，预期指标值为≥96%,实际完成值为100%，指标完成率为104%，偏差原因：指标实际完成值与预期目标值之间存在合理偏差。改进措施：以后年度根据指标实际情况设置目标值。根据评分标准，该指标不扣分，得10分。</w:t>
      </w:r>
    </w:p>
    <w:p>
      <w:pPr>
        <w:numPr>
          <w:numId w:val="0"/>
        </w:numPr>
        <w:spacing w:line="54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</w:p>
    <w:p>
      <w:pPr>
        <w:numPr>
          <w:ilvl w:val="0"/>
          <w:numId w:val="5"/>
        </w:numPr>
        <w:spacing w:line="540" w:lineRule="exact"/>
        <w:ind w:left="0" w:leftChars="0" w:firstLine="567" w:firstLineChars="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对于“产出成本”：</w:t>
      </w:r>
    </w:p>
    <w:p>
      <w:pPr>
        <w:numPr>
          <w:numId w:val="0"/>
        </w:numPr>
        <w:spacing w:line="54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开展政协会议、委员视察、培训、调研活动成本,预期指标值为≤15206.5元/次，实际完成值为12547.43元/次，指标完成率83%，项目经费都能控制绩效目标范围内，偏差原因：因疫情导致调研未实施。改进措施：根据项目实际情况及时调整目标。根据评分标准，该指标扣0.34分，得1.66分。</w:t>
      </w:r>
    </w:p>
    <w:p>
      <w:pPr>
        <w:numPr>
          <w:numId w:val="0"/>
        </w:numPr>
        <w:spacing w:line="54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本年支付保障内调干部、调训后勤成本，预期指标值为≤2.45万元，实际完成值为2.45万元，指标完成率100%，与预期目标一致，项目经费都能控制绩效目标范围内，根据评分标准，该指标不扣分，得2分。</w:t>
      </w:r>
    </w:p>
    <w:p>
      <w:pPr>
        <w:numPr>
          <w:numId w:val="0"/>
        </w:numPr>
        <w:spacing w:line="54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本年支付慰问驻村工作队成本，预期指标值为≤1万元，实际完成值为1万元，指标完成率100%，与预期目标一致，项目经费都能控制绩效目标范围内，根据评分标准，该指标不扣分，得2分。</w:t>
      </w:r>
    </w:p>
    <w:p>
      <w:pPr>
        <w:numPr>
          <w:numId w:val="0"/>
        </w:numPr>
        <w:spacing w:line="54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本年支付办公设备购置成本，预期指标值为≤1.43万元，实际完成值为1.43万元，指标完成率100%，与预期目标一致，项目经费都能控制绩效目标范围内，根据评分标准，该指标不扣分，得2分。</w:t>
      </w:r>
    </w:p>
    <w:p>
      <w:pPr>
        <w:numPr>
          <w:numId w:val="0"/>
        </w:numPr>
        <w:spacing w:line="54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本年支付举办基层政协领导干部培训班成本，预期指标值为≤6.89万元，实际完成值为6.89万元，指标完成率100%，与预期目标一致，项目经费都能控制绩效目标范围内，根据评分标准，该指标不扣分，得2分。</w:t>
      </w:r>
    </w:p>
    <w:p>
      <w:pPr>
        <w:numPr>
          <w:numId w:val="0"/>
        </w:numPr>
        <w:spacing w:line="540" w:lineRule="exact"/>
        <w:ind w:firstLine="624" w:firstLineChars="200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合计得9.66分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项目效益类指标包括项目效益1个方面的内容，由2个三级指标构成，权重分为20分，实际得分20分，得分率为100%。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综合改革工作项目绩效指标得分情况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三级指标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权重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得分率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实际得分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实施效益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满意度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20</w:t>
      </w:r>
    </w:p>
    <w:p>
      <w:pPr>
        <w:numPr>
          <w:ilvl w:val="0"/>
          <w:numId w:val="6"/>
        </w:num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实施效益指标：</w:t>
      </w:r>
    </w:p>
    <w:p>
      <w:pPr>
        <w:numPr>
          <w:ilvl w:val="0"/>
          <w:numId w:val="7"/>
        </w:numPr>
        <w:spacing w:line="54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对于“社会效益指标”：</w:t>
      </w:r>
    </w:p>
    <w:p>
      <w:pPr>
        <w:numPr>
          <w:numId w:val="0"/>
        </w:numPr>
        <w:spacing w:line="54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保障政协工委及机关各项工作正常开展，预期指标值为长期，实际完成值为长期，实际完成值率100%，与预期指标一致，根据评分标准，该指标不扣分，得3分。</w:t>
      </w:r>
    </w:p>
    <w:p>
      <w:pPr>
        <w:numPr>
          <w:numId w:val="0"/>
        </w:numPr>
        <w:spacing w:line="54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提高工作效率，目标为长期。预期指标值为长期，实际完成值为长期，实际完成值率100%，与预期指标一致，根据评分标准，该指标不扣分，得2分。</w:t>
      </w:r>
    </w:p>
    <w:p>
      <w:pPr>
        <w:numPr>
          <w:ilvl w:val="0"/>
          <w:numId w:val="7"/>
        </w:numPr>
        <w:spacing w:line="540" w:lineRule="exact"/>
        <w:ind w:left="0" w:leftChars="0"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对于“可持续影响指标”：</w:t>
      </w:r>
    </w:p>
    <w:p>
      <w:pPr>
        <w:numPr>
          <w:numId w:val="0"/>
        </w:numPr>
        <w:spacing w:line="54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设备使用年限，预期指标值≥6年，实际完成值为6年，实际完成率为100%，与预期指标一致，根据评分标准，该指标不扣分，得5分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。</w:t>
      </w:r>
    </w:p>
    <w:p>
      <w:pPr>
        <w:numPr>
          <w:numId w:val="0"/>
        </w:numPr>
        <w:spacing w:line="54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实施效益指标合计得10分。</w:t>
      </w:r>
    </w:p>
    <w:p>
      <w:pPr>
        <w:numPr>
          <w:ilvl w:val="0"/>
          <w:numId w:val="6"/>
        </w:numPr>
        <w:spacing w:line="540" w:lineRule="exact"/>
        <w:ind w:left="0" w:leftChars="0" w:firstLine="567" w:firstLineChars="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满意度指标:</w:t>
      </w:r>
    </w:p>
    <w:p>
      <w:pPr>
        <w:numPr>
          <w:numId w:val="0"/>
        </w:numPr>
        <w:spacing w:line="540" w:lineRule="exact"/>
        <w:ind w:firstLine="624" w:firstLineChars="2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工作人员满意度预期指标值100%，实际完成值为100%，指标完成率100%，与预期指标一致。根据评分标准，该指标不扣分,得10分。</w:t>
      </w:r>
    </w:p>
    <w:p>
      <w:pPr>
        <w:numPr>
          <w:numId w:val="0"/>
        </w:numPr>
        <w:spacing w:line="540" w:lineRule="exact"/>
        <w:ind w:firstLine="624" w:firstLineChars="200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满意度指标合计得10分。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政协工作项目预算48.27万元，到位41.89万元，实际支出16万元，预算执行率为86.8%，项目绩效指标总体完成率为100%，无偏差率为。</w:t>
      </w:r>
    </w:p>
    <w:p>
      <w:pPr>
        <w:spacing w:line="570" w:lineRule="exact"/>
        <w:ind w:firstLine="624" w:firstLineChars="200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实施效果较好的原因主要是管理制度完善、责任落实到位，跟踪考核机制完善且运行有效，在项目实施过程中创新管理办法，采用对发现的问题客观公正、不隐瞒、不庇护，针对问题提出建议，并及时解决问题的方式使项目取得了良好的效果。</w:t>
      </w:r>
    </w:p>
    <w:p>
      <w:pPr>
        <w:numPr>
          <w:ilvl w:val="0"/>
          <w:numId w:val="8"/>
        </w:num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存在问题及原因分析</w:t>
      </w:r>
    </w:p>
    <w:p>
      <w:pPr>
        <w:numPr>
          <w:numId w:val="0"/>
        </w:numPr>
        <w:spacing w:line="540" w:lineRule="exact"/>
        <w:ind w:firstLine="624" w:firstLineChars="200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计划局限与岗位本身，缺乏立足整体基础上的重点。绩效局限于岗位本身，没有从单位整体出发，无法发现实际工作中更加重点的问题执行绩效管理，绩效目标值设置有偏差，偏差原因是设置目标值过低，预算不精准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加大对各项资金使用的监管力度，特别事专项资金，做到专款专用；按照基本标准安排资金，发挥每笔资金的最大功能. 加强预算指标设置精准度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4886D1F"/>
    <w:multiLevelType w:val="singleLevel"/>
    <w:tmpl w:val="C4886D1F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D004D622"/>
    <w:multiLevelType w:val="singleLevel"/>
    <w:tmpl w:val="D004D62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FDA71DBC"/>
    <w:multiLevelType w:val="singleLevel"/>
    <w:tmpl w:val="FDA71DBC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22D899A7"/>
    <w:multiLevelType w:val="singleLevel"/>
    <w:tmpl w:val="22D899A7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30739B03"/>
    <w:multiLevelType w:val="singleLevel"/>
    <w:tmpl w:val="30739B03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35EC79CB"/>
    <w:multiLevelType w:val="singleLevel"/>
    <w:tmpl w:val="35EC79CB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3B03C2DF"/>
    <w:multiLevelType w:val="singleLevel"/>
    <w:tmpl w:val="3B03C2DF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7">
    <w:nsid w:val="7E48357F"/>
    <w:multiLevelType w:val="singleLevel"/>
    <w:tmpl w:val="7E48357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1A867CF4"/>
    <w:rsid w:val="2AE11386"/>
    <w:rsid w:val="2D4C6AD2"/>
    <w:rsid w:val="2D5A6638"/>
    <w:rsid w:val="340D5924"/>
    <w:rsid w:val="43B04001"/>
    <w:rsid w:val="44D503ED"/>
    <w:rsid w:val="4609551D"/>
    <w:rsid w:val="4D2606A1"/>
    <w:rsid w:val="4DD42C22"/>
    <w:rsid w:val="503863D1"/>
    <w:rsid w:val="50796DE0"/>
    <w:rsid w:val="5DA70C36"/>
    <w:rsid w:val="70DA7605"/>
    <w:rsid w:val="716B6B6A"/>
    <w:rsid w:val="7A780714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110</Words>
  <Characters>633</Characters>
  <Lines>5</Lines>
  <Paragraphs>1</Paragraphs>
  <TotalTime>42</TotalTime>
  <ScaleCrop>false</ScaleCrop>
  <LinksUpToDate>false</LinksUpToDate>
  <CharactersWithSpaces>742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2022-01-14T05:11:00Z</dcterms:created>
  <dc:creator>赵 恺（预算处）</dc:creator>
  <cp:lastModifiedBy>kshl</cp:lastModifiedBy>
  <cp:lastPrinted>2023-08-21T10:19:00Z</cp:lastPrinted>
  <dcterms:modified xsi:type="dcterms:W3CDTF">2023-08-21T10:20:19Z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