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中共喀什地区委员专用通信局2024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BADF86F">
      <w:r>
        <w:br w:type="page"/>
      </w:r>
    </w:p>
    <w:p w14:paraId="2CE9C68E">
      <w:pPr>
        <w:spacing w:line="640" w:lineRule="exact"/>
        <w:jc w:val="center"/>
        <w:outlineLvl w:val="1"/>
      </w:pPr>
      <w:r>
        <w:rPr>
          <w:rFonts w:ascii="黑体" w:hAnsi="黑体" w:eastAsia="黑体"/>
          <w:sz w:val="32"/>
        </w:rPr>
        <w:t>第一部分 单位概况</w:t>
      </w:r>
    </w:p>
    <w:p w14:paraId="4A3EDB71">
      <w:pPr>
        <w:spacing w:line="640" w:lineRule="exact"/>
        <w:ind w:firstLine="640"/>
        <w:jc w:val="both"/>
        <w:outlineLvl w:val="2"/>
      </w:pPr>
      <w:r>
        <w:rPr>
          <w:rFonts w:ascii="黑体" w:hAnsi="黑体" w:eastAsia="黑体"/>
          <w:sz w:val="32"/>
        </w:rPr>
        <w:t>一、主要职能</w:t>
      </w:r>
    </w:p>
    <w:p w14:paraId="34E43E03">
      <w:pPr>
        <w:spacing w:line="580" w:lineRule="exact"/>
        <w:ind w:firstLine="640"/>
        <w:jc w:val="both"/>
      </w:pPr>
      <w:r>
        <w:rPr>
          <w:rFonts w:ascii="仿宋_GB2312" w:hAnsi="仿宋_GB2312" w:eastAsia="仿宋_GB2312"/>
          <w:sz w:val="32"/>
        </w:rPr>
        <w:t>按照安全、保密、便捷、畅通的要求，承担地区领导安全高效专用通信服务职责；负责本地区专用通信的基础建设和运行维护工作；负责本地区重要通信保障和应急通信保障工作；承担地委、行署及自治区交办的</w:t>
      </w:r>
      <w:r>
        <w:rPr>
          <w:rFonts w:hint="eastAsia" w:ascii="仿宋_GB2312" w:hAnsi="仿宋_GB2312" w:eastAsia="仿宋_GB2312"/>
          <w:sz w:val="32"/>
          <w:lang w:eastAsia="zh-CN"/>
        </w:rPr>
        <w:t>其他事项</w:t>
      </w:r>
      <w:r>
        <w:rPr>
          <w:rFonts w:ascii="仿宋_GB2312" w:hAnsi="仿宋_GB2312" w:eastAsia="仿宋_GB2312"/>
          <w:sz w:val="32"/>
        </w:rPr>
        <w:t>。</w:t>
      </w:r>
    </w:p>
    <w:p w14:paraId="1E40B2B0">
      <w:pPr>
        <w:spacing w:line="640" w:lineRule="exact"/>
        <w:ind w:firstLine="640"/>
        <w:jc w:val="both"/>
        <w:outlineLvl w:val="2"/>
      </w:pPr>
      <w:r>
        <w:rPr>
          <w:rFonts w:ascii="黑体" w:hAnsi="黑体" w:eastAsia="黑体"/>
          <w:sz w:val="32"/>
        </w:rPr>
        <w:t>二、机构设置及人员情况</w:t>
      </w:r>
    </w:p>
    <w:p w14:paraId="61A4D449">
      <w:pPr>
        <w:spacing w:line="580" w:lineRule="exact"/>
        <w:ind w:firstLine="640"/>
        <w:jc w:val="both"/>
      </w:pPr>
      <w:r>
        <w:rPr>
          <w:rFonts w:ascii="仿宋_GB2312" w:hAnsi="仿宋_GB2312" w:eastAsia="仿宋_GB2312"/>
          <w:sz w:val="32"/>
        </w:rPr>
        <w:t>中共喀什地区委员专用通信局2024年度，实有人数9人，其中：在职人员9人，减少2人；离休人员0人，增加0人；退休人员0人,增加0人。</w:t>
      </w:r>
    </w:p>
    <w:p w14:paraId="1A1E3948">
      <w:pPr>
        <w:spacing w:line="580" w:lineRule="exact"/>
        <w:ind w:firstLine="640"/>
        <w:jc w:val="both"/>
      </w:pPr>
      <w:r>
        <w:rPr>
          <w:rFonts w:ascii="仿宋_GB2312" w:hAnsi="仿宋_GB2312" w:eastAsia="仿宋_GB2312"/>
          <w:sz w:val="32"/>
        </w:rPr>
        <w:t>中共喀什地区委员专用通信局无下属预算单位，下设4个科室，分别是：综合管理科、运行维护科、应急通信保障科、工程技术中心。</w:t>
      </w:r>
    </w:p>
    <w:p w14:paraId="2886F3D2">
      <w:r>
        <w:br w:type="page"/>
      </w:r>
    </w:p>
    <w:p w14:paraId="5F6CEC3B">
      <w:pPr>
        <w:spacing w:line="240" w:lineRule="auto"/>
        <w:jc w:val="center"/>
        <w:outlineLvl w:val="1"/>
      </w:pPr>
      <w:r>
        <w:rPr>
          <w:rFonts w:ascii="黑体" w:hAnsi="黑体" w:eastAsia="黑体"/>
          <w:sz w:val="32"/>
        </w:rPr>
        <w:t>第二部分 部门决算情况说明</w:t>
      </w:r>
    </w:p>
    <w:p w14:paraId="7852F570">
      <w:pPr>
        <w:spacing w:line="640" w:lineRule="exact"/>
        <w:ind w:firstLine="640"/>
        <w:jc w:val="both"/>
        <w:outlineLvl w:val="2"/>
      </w:pPr>
      <w:r>
        <w:rPr>
          <w:rFonts w:ascii="黑体" w:hAnsi="黑体" w:eastAsia="黑体"/>
          <w:sz w:val="32"/>
        </w:rPr>
        <w:t>一、收入支出决算总体情况说明</w:t>
      </w:r>
    </w:p>
    <w:p w14:paraId="3E78CF74">
      <w:pPr>
        <w:spacing w:line="580" w:lineRule="exact"/>
        <w:ind w:firstLine="640"/>
        <w:jc w:val="both"/>
      </w:pPr>
      <w:r>
        <w:rPr>
          <w:rFonts w:ascii="仿宋_GB2312" w:hAnsi="仿宋_GB2312" w:eastAsia="仿宋_GB2312"/>
          <w:b/>
          <w:sz w:val="32"/>
        </w:rPr>
        <w:t>2024年度收入总计761.90万元，</w:t>
      </w:r>
      <w:r>
        <w:rPr>
          <w:rFonts w:ascii="仿宋_GB2312" w:hAnsi="仿宋_GB2312" w:eastAsia="仿宋_GB2312"/>
          <w:b w:val="0"/>
          <w:sz w:val="32"/>
        </w:rPr>
        <w:t>其中：本年收入合计761.90万元，使用非财政拨款结余（含专用结余）0.00万元，年初结转和结余0.00万元。</w:t>
      </w:r>
    </w:p>
    <w:p w14:paraId="13F07D08">
      <w:pPr>
        <w:spacing w:line="580" w:lineRule="exact"/>
        <w:ind w:firstLine="640"/>
        <w:jc w:val="both"/>
      </w:pPr>
      <w:r>
        <w:rPr>
          <w:rFonts w:ascii="仿宋_GB2312" w:hAnsi="仿宋_GB2312" w:eastAsia="仿宋_GB2312"/>
          <w:b/>
          <w:sz w:val="32"/>
        </w:rPr>
        <w:t>2024年度支出总计761.90万元，</w:t>
      </w:r>
      <w:r>
        <w:rPr>
          <w:rFonts w:ascii="仿宋_GB2312" w:hAnsi="仿宋_GB2312" w:eastAsia="仿宋_GB2312"/>
          <w:b w:val="0"/>
          <w:sz w:val="32"/>
        </w:rPr>
        <w:t>其中：本年支出合计761.90万元，结余分配0.00万元，年末结转和结余0.00万元。</w:t>
      </w:r>
    </w:p>
    <w:p w14:paraId="16C3CD15">
      <w:pPr>
        <w:spacing w:line="580" w:lineRule="exact"/>
        <w:ind w:firstLine="640"/>
        <w:jc w:val="both"/>
      </w:pPr>
      <w:r>
        <w:rPr>
          <w:rFonts w:ascii="仿宋_GB2312" w:hAnsi="仿宋_GB2312" w:eastAsia="仿宋_GB2312"/>
          <w:b w:val="0"/>
          <w:sz w:val="32"/>
        </w:rPr>
        <w:t>收入支出总体与上年相比，增加165.07万元，增长27.66%，主要原因是：1.本年在职人员工资调增，社保、公积金基数调增，人员经费增加；2.本年度新增会展中心喀什会议厅党政加密视频会议会场建设项目。</w:t>
      </w:r>
    </w:p>
    <w:p w14:paraId="68497FEE">
      <w:pPr>
        <w:spacing w:line="640" w:lineRule="exact"/>
        <w:ind w:firstLine="640"/>
        <w:jc w:val="both"/>
        <w:outlineLvl w:val="2"/>
      </w:pPr>
      <w:r>
        <w:rPr>
          <w:rFonts w:ascii="黑体" w:hAnsi="黑体" w:eastAsia="黑体"/>
          <w:sz w:val="32"/>
        </w:rPr>
        <w:t>二、收入决算情况说明</w:t>
      </w:r>
    </w:p>
    <w:p w14:paraId="7E254915">
      <w:pPr>
        <w:spacing w:line="580" w:lineRule="exact"/>
        <w:ind w:firstLine="640"/>
        <w:jc w:val="both"/>
      </w:pPr>
      <w:r>
        <w:rPr>
          <w:rFonts w:ascii="仿宋_GB2312" w:hAnsi="仿宋_GB2312" w:eastAsia="仿宋_GB2312"/>
          <w:b/>
          <w:sz w:val="32"/>
        </w:rPr>
        <w:t>本年收入761.90万元，</w:t>
      </w:r>
      <w:r>
        <w:rPr>
          <w:rFonts w:ascii="仿宋_GB2312" w:hAnsi="仿宋_GB2312" w:eastAsia="仿宋_GB2312"/>
          <w:b w:val="0"/>
          <w:sz w:val="32"/>
        </w:rPr>
        <w:t>其中：财政拨款收入761.90万元，占100.00%；上级补助收入0.00万元，占0.00%；事业收入0.00万元，占0.00%；经营收入0.00万元，占0.00%；附属单位上缴收入0.00万元，占0.00%；其他收入0.00万元，占0.00%。</w:t>
      </w:r>
    </w:p>
    <w:p w14:paraId="447DB3E4">
      <w:pPr>
        <w:spacing w:line="640" w:lineRule="exact"/>
        <w:ind w:firstLine="640"/>
        <w:jc w:val="both"/>
        <w:outlineLvl w:val="2"/>
      </w:pPr>
      <w:r>
        <w:rPr>
          <w:rFonts w:ascii="黑体" w:hAnsi="黑体" w:eastAsia="黑体"/>
          <w:sz w:val="32"/>
        </w:rPr>
        <w:t>三、支出决算情况说明</w:t>
      </w:r>
    </w:p>
    <w:p w14:paraId="5D7B7797">
      <w:pPr>
        <w:spacing w:line="580" w:lineRule="exact"/>
        <w:ind w:firstLine="640"/>
        <w:jc w:val="both"/>
      </w:pPr>
      <w:r>
        <w:rPr>
          <w:rFonts w:ascii="仿宋_GB2312" w:hAnsi="仿宋_GB2312" w:eastAsia="仿宋_GB2312"/>
          <w:b/>
          <w:sz w:val="32"/>
        </w:rPr>
        <w:t>本年支出761.90万元，</w:t>
      </w:r>
      <w:r>
        <w:rPr>
          <w:rFonts w:ascii="仿宋_GB2312" w:hAnsi="仿宋_GB2312" w:eastAsia="仿宋_GB2312"/>
          <w:b w:val="0"/>
          <w:sz w:val="32"/>
        </w:rPr>
        <w:t>其中：基本支出199.01万元，占26.12%；项目支出562.89万元，占73.88%；上缴上级支出0.00万元，占0.00%；经营支出0.00万元，占0.00%；对附属单位补助支出0.00万元，占0.00%。</w:t>
      </w:r>
    </w:p>
    <w:p w14:paraId="3EA1535F">
      <w:pPr>
        <w:spacing w:line="640" w:lineRule="exact"/>
        <w:ind w:firstLine="640"/>
        <w:jc w:val="both"/>
        <w:outlineLvl w:val="2"/>
      </w:pPr>
      <w:r>
        <w:rPr>
          <w:rFonts w:ascii="黑体" w:hAnsi="黑体" w:eastAsia="黑体"/>
          <w:sz w:val="32"/>
        </w:rPr>
        <w:t>四、财政拨款收入支出决算总体情况说明</w:t>
      </w:r>
    </w:p>
    <w:p w14:paraId="679B71F1">
      <w:pPr>
        <w:spacing w:line="580" w:lineRule="exact"/>
        <w:ind w:firstLine="640"/>
        <w:jc w:val="both"/>
      </w:pPr>
      <w:r>
        <w:rPr>
          <w:rFonts w:ascii="仿宋_GB2312" w:hAnsi="仿宋_GB2312" w:eastAsia="仿宋_GB2312"/>
          <w:b/>
          <w:sz w:val="32"/>
        </w:rPr>
        <w:t>2024年度财政拨款收入总计761.90万元，</w:t>
      </w:r>
      <w:r>
        <w:rPr>
          <w:rFonts w:ascii="仿宋_GB2312" w:hAnsi="仿宋_GB2312" w:eastAsia="仿宋_GB2312"/>
          <w:b w:val="0"/>
          <w:sz w:val="32"/>
        </w:rPr>
        <w:t>其中：年初财政拨款结转和结余0.00万元，本年财政拨款收入761.90万元。</w:t>
      </w:r>
      <w:r>
        <w:rPr>
          <w:rFonts w:ascii="仿宋_GB2312" w:hAnsi="仿宋_GB2312" w:eastAsia="仿宋_GB2312"/>
          <w:b/>
          <w:sz w:val="32"/>
        </w:rPr>
        <w:t>财政拨款支出总计761.90万元，</w:t>
      </w:r>
      <w:r>
        <w:rPr>
          <w:rFonts w:ascii="仿宋_GB2312" w:hAnsi="仿宋_GB2312" w:eastAsia="仿宋_GB2312"/>
          <w:b w:val="0"/>
          <w:sz w:val="32"/>
        </w:rPr>
        <w:t>其中：年末财政拨款结转和结余0.00万元，本年财政拨款支出761.90万元。</w:t>
      </w:r>
    </w:p>
    <w:p w14:paraId="4859EB9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增加195.51万元，增长34.52%，主要原因是：1.本年在职人员工资调增，社保、公积金基数调增，人员经费增加；2.本年度新增会展中心喀什会议厅党政加密视频会议会场建设项目。</w:t>
      </w:r>
      <w:r>
        <w:rPr>
          <w:rFonts w:ascii="仿宋_GB2312" w:hAnsi="仿宋_GB2312" w:eastAsia="仿宋_GB2312"/>
          <w:b/>
          <w:sz w:val="32"/>
        </w:rPr>
        <w:t>与年初预算相比，</w:t>
      </w:r>
      <w:r>
        <w:rPr>
          <w:rFonts w:ascii="仿宋_GB2312" w:hAnsi="仿宋_GB2312" w:eastAsia="仿宋_GB2312"/>
          <w:b w:val="0"/>
          <w:sz w:val="32"/>
        </w:rPr>
        <w:t>年初预算数827.02万元，决算数761.90万元，预决算差异率-7.87%，主要原因是：会展中心喀什会议厅党政加密视频会议会场建设项目未执行完，年中调减经费，导致预决算存在差异。</w:t>
      </w:r>
    </w:p>
    <w:p w14:paraId="6171DD0B">
      <w:pPr>
        <w:spacing w:line="640" w:lineRule="exact"/>
        <w:ind w:firstLine="640"/>
        <w:jc w:val="both"/>
        <w:outlineLvl w:val="2"/>
      </w:pPr>
      <w:r>
        <w:rPr>
          <w:rFonts w:ascii="黑体" w:hAnsi="黑体" w:eastAsia="黑体"/>
          <w:sz w:val="32"/>
        </w:rPr>
        <w:t>五、一般公共预算财政拨款支出决算情况说明</w:t>
      </w:r>
    </w:p>
    <w:p w14:paraId="4BBA1097">
      <w:pPr>
        <w:spacing w:line="640" w:lineRule="exact"/>
        <w:ind w:firstLine="640"/>
        <w:jc w:val="both"/>
        <w:outlineLvl w:val="3"/>
      </w:pPr>
      <w:r>
        <w:rPr>
          <w:rFonts w:ascii="楷体_GB2312" w:hAnsi="楷体_GB2312" w:eastAsia="楷体_GB2312"/>
          <w:b/>
          <w:sz w:val="32"/>
        </w:rPr>
        <w:t>（一）一般公共预算财政拨款支出决算总体情况</w:t>
      </w:r>
    </w:p>
    <w:p w14:paraId="39A8C3C8">
      <w:pPr>
        <w:spacing w:line="580" w:lineRule="exact"/>
        <w:ind w:firstLine="640"/>
        <w:jc w:val="both"/>
      </w:pPr>
      <w:r>
        <w:rPr>
          <w:rFonts w:ascii="仿宋_GB2312" w:hAnsi="仿宋_GB2312" w:eastAsia="仿宋_GB2312"/>
          <w:b/>
          <w:sz w:val="32"/>
        </w:rPr>
        <w:t>2024年度一般公共预算财政拨款支出761.90万元，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增加195.51万元，增长34.52%，主要原因是：1.本年在职人员工资调增，社保、公积金基数调增，人员经费增加；2.本年度新增会展中心喀什会议厅党政加密视频会议会场建设项目。</w:t>
      </w:r>
      <w:r>
        <w:rPr>
          <w:rFonts w:ascii="仿宋_GB2312" w:hAnsi="仿宋_GB2312" w:eastAsia="仿宋_GB2312"/>
          <w:b/>
          <w:sz w:val="32"/>
        </w:rPr>
        <w:t>与年初预算相比,</w:t>
      </w:r>
      <w:r>
        <w:rPr>
          <w:rFonts w:ascii="仿宋_GB2312" w:hAnsi="仿宋_GB2312" w:eastAsia="仿宋_GB2312"/>
          <w:b w:val="0"/>
          <w:sz w:val="32"/>
        </w:rPr>
        <w:t>年初预算数827.02万元，决算数761.90万元，预决算差异率-7.87%，主要原因是：会展中心喀什会议厅党政加密视频会议会场建设项目未执行完，年中调减经费，导致预决算存在差异。</w:t>
      </w:r>
    </w:p>
    <w:p w14:paraId="751483AB">
      <w:pPr>
        <w:spacing w:line="640" w:lineRule="exact"/>
        <w:ind w:firstLine="640"/>
        <w:jc w:val="both"/>
        <w:outlineLvl w:val="3"/>
      </w:pPr>
      <w:r>
        <w:rPr>
          <w:rFonts w:ascii="楷体_GB2312" w:hAnsi="楷体_GB2312" w:eastAsia="楷体_GB2312"/>
          <w:b/>
          <w:sz w:val="32"/>
        </w:rPr>
        <w:t>（二）一般公共预算财政拨款支出决算结构情况</w:t>
      </w:r>
    </w:p>
    <w:p w14:paraId="004FB77F">
      <w:pPr>
        <w:spacing w:line="580" w:lineRule="exact"/>
        <w:ind w:firstLine="640"/>
        <w:jc w:val="both"/>
      </w:pPr>
      <w:r>
        <w:rPr>
          <w:rFonts w:ascii="仿宋_GB2312" w:hAnsi="仿宋_GB2312" w:eastAsia="仿宋_GB2312"/>
          <w:b w:val="0"/>
          <w:sz w:val="32"/>
        </w:rPr>
        <w:t>1.一般公共服务支出(类)717.45万元,占94.17%。</w:t>
      </w:r>
    </w:p>
    <w:p w14:paraId="0EA86CD0">
      <w:pPr>
        <w:spacing w:line="580" w:lineRule="exact"/>
        <w:ind w:firstLine="640"/>
        <w:jc w:val="both"/>
      </w:pPr>
      <w:r>
        <w:rPr>
          <w:rFonts w:ascii="仿宋_GB2312" w:hAnsi="仿宋_GB2312" w:eastAsia="仿宋_GB2312"/>
          <w:b w:val="0"/>
          <w:sz w:val="32"/>
        </w:rPr>
        <w:t>2.社会保障和就业支出(类)18.90万元,占2.48%。</w:t>
      </w:r>
    </w:p>
    <w:p w14:paraId="0DFB02CF">
      <w:pPr>
        <w:spacing w:line="580" w:lineRule="exact"/>
        <w:ind w:firstLine="640"/>
        <w:jc w:val="both"/>
      </w:pPr>
      <w:r>
        <w:rPr>
          <w:rFonts w:ascii="仿宋_GB2312" w:hAnsi="仿宋_GB2312" w:eastAsia="仿宋_GB2312"/>
          <w:b w:val="0"/>
          <w:sz w:val="32"/>
        </w:rPr>
        <w:t>3.卫生健康支出(类)9.57万元,占1.26%。</w:t>
      </w:r>
    </w:p>
    <w:p w14:paraId="72DA24BB">
      <w:pPr>
        <w:spacing w:line="580" w:lineRule="exact"/>
        <w:ind w:firstLine="640"/>
        <w:jc w:val="both"/>
      </w:pPr>
      <w:r>
        <w:rPr>
          <w:rFonts w:ascii="仿宋_GB2312" w:hAnsi="仿宋_GB2312" w:eastAsia="仿宋_GB2312"/>
          <w:b w:val="0"/>
          <w:sz w:val="32"/>
        </w:rPr>
        <w:t>4.住房保障支出(类)15.98万元,占2.10%。</w:t>
      </w:r>
    </w:p>
    <w:p w14:paraId="2B066930">
      <w:pPr>
        <w:spacing w:line="640" w:lineRule="exact"/>
        <w:ind w:firstLine="640"/>
        <w:jc w:val="both"/>
        <w:outlineLvl w:val="3"/>
      </w:pPr>
      <w:r>
        <w:rPr>
          <w:rFonts w:ascii="楷体_GB2312" w:hAnsi="楷体_GB2312" w:eastAsia="楷体_GB2312"/>
          <w:b/>
          <w:sz w:val="32"/>
        </w:rPr>
        <w:t>（三）一般公共预算财政拨款支出决算具体情况</w:t>
      </w:r>
    </w:p>
    <w:p w14:paraId="3B9DFE55">
      <w:pPr>
        <w:spacing w:line="580" w:lineRule="exact"/>
        <w:ind w:firstLine="640"/>
        <w:jc w:val="both"/>
      </w:pPr>
      <w:r>
        <w:rPr>
          <w:rFonts w:ascii="仿宋_GB2312" w:hAnsi="仿宋_GB2312" w:eastAsia="仿宋_GB2312"/>
          <w:b w:val="0"/>
          <w:sz w:val="32"/>
        </w:rPr>
        <w:t>1.一般公共服务支出(类)党委办公厅（室）及相关机构事务(款)行政运行(项):支出决算数为154.55万元，比上年决算增加8.01万元，增长5.47%,主要原因是：本年度在职人员工资调增，导致相关人员经费较上年有所增加。</w:t>
      </w:r>
    </w:p>
    <w:p w14:paraId="539E040F">
      <w:pPr>
        <w:spacing w:line="580" w:lineRule="exact"/>
        <w:ind w:firstLine="640"/>
        <w:jc w:val="both"/>
      </w:pPr>
      <w:r>
        <w:rPr>
          <w:rFonts w:ascii="仿宋_GB2312" w:hAnsi="仿宋_GB2312" w:eastAsia="仿宋_GB2312"/>
          <w:b w:val="0"/>
          <w:sz w:val="32"/>
        </w:rPr>
        <w:t>2.一般公共服务支出(类)党委办公厅（室）及相关机构事务(款)一般行政管理事务(项):支出决算数为562.89万元，比上年决算增加189.96万元，增长50.94%,主要原因是：本年增加地委党校党政专用通信二级网</w:t>
      </w:r>
      <w:r>
        <w:rPr>
          <w:rFonts w:hint="eastAsia" w:ascii="仿宋_GB2312" w:hAnsi="仿宋_GB2312" w:eastAsia="仿宋_GB2312"/>
          <w:b w:val="0"/>
          <w:sz w:val="32"/>
          <w:lang w:eastAsia="zh-CN"/>
        </w:rPr>
        <w:t>延伸</w:t>
      </w:r>
      <w:r>
        <w:rPr>
          <w:rFonts w:ascii="仿宋_GB2312" w:hAnsi="仿宋_GB2312" w:eastAsia="仿宋_GB2312"/>
          <w:b w:val="0"/>
          <w:sz w:val="32"/>
        </w:rPr>
        <w:t>项目、会展中心喀什会议厅党政加密视频会议会场建设项目经费。</w:t>
      </w:r>
    </w:p>
    <w:p w14:paraId="0AB956CE">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18.90万元，比上年决算增加1.25万元，增长7.08%,主要原因是：本年在职人员工资基数调增，养老缴费基数上涨，相应支出增加。</w:t>
      </w:r>
    </w:p>
    <w:p w14:paraId="0E260591">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0.00万元，比上年决算减少5.79万元，下降100.00%,主要原因是：本年度未有在职人员调出其他地区，未产生职业年金支出。</w:t>
      </w:r>
    </w:p>
    <w:p w14:paraId="0CBFE5EC">
      <w:pPr>
        <w:spacing w:line="580" w:lineRule="exact"/>
        <w:ind w:firstLine="640"/>
        <w:jc w:val="both"/>
      </w:pPr>
      <w:r>
        <w:rPr>
          <w:rFonts w:ascii="仿宋_GB2312" w:hAnsi="仿宋_GB2312" w:eastAsia="仿宋_GB2312"/>
          <w:b w:val="0"/>
          <w:sz w:val="32"/>
        </w:rPr>
        <w:t>5.卫生健康支出(类)行政事业单位医疗(款)行政单位医疗(项):支出决算数为8.03万元，比上年决算增加0.53万元，增长7.07%,主要原因是：本年在职人员工资基数调增，医疗缴费基数上涨，相应支出增加。</w:t>
      </w:r>
    </w:p>
    <w:p w14:paraId="520E0BCD">
      <w:pPr>
        <w:spacing w:line="580" w:lineRule="exact"/>
        <w:ind w:firstLine="640"/>
        <w:jc w:val="both"/>
      </w:pPr>
      <w:r>
        <w:rPr>
          <w:rFonts w:ascii="仿宋_GB2312" w:hAnsi="仿宋_GB2312" w:eastAsia="仿宋_GB2312"/>
          <w:b w:val="0"/>
          <w:sz w:val="32"/>
        </w:rPr>
        <w:t>6.卫生健康支出(类)行政事业单位医疗(款)公务员医疗补助(项):支出决算数为1.54万元，比上年决算增加0.07万元，增长4.76%,主要原因是：本年在职人员工资基数调增，医疗缴费基数上涨，相应支出增加。</w:t>
      </w:r>
    </w:p>
    <w:p w14:paraId="3982A392">
      <w:pPr>
        <w:spacing w:line="580" w:lineRule="exact"/>
        <w:ind w:firstLine="640"/>
        <w:jc w:val="both"/>
      </w:pPr>
      <w:r>
        <w:rPr>
          <w:rFonts w:ascii="仿宋_GB2312" w:hAnsi="仿宋_GB2312" w:eastAsia="仿宋_GB2312"/>
          <w:b w:val="0"/>
          <w:sz w:val="32"/>
        </w:rPr>
        <w:t>7.住房保障支出(类)住房改革支出(款)住房公积金(项):支出决算数为15.98万元，比上年决算增加1.46万元，增长10.06%,主要原因是：本年在职人员工资基数调增，公积金缴费基数上涨，相应支出增加。</w:t>
      </w:r>
    </w:p>
    <w:p w14:paraId="4F19799C">
      <w:pPr>
        <w:spacing w:line="640" w:lineRule="exact"/>
        <w:ind w:firstLine="640"/>
        <w:jc w:val="both"/>
        <w:outlineLvl w:val="2"/>
      </w:pPr>
      <w:r>
        <w:rPr>
          <w:rFonts w:ascii="黑体" w:hAnsi="黑体" w:eastAsia="黑体"/>
          <w:sz w:val="32"/>
        </w:rPr>
        <w:t>六、一般公共预算财政拨款基本支出决算情况说明</w:t>
      </w:r>
    </w:p>
    <w:p w14:paraId="224B7A0B">
      <w:pPr>
        <w:spacing w:line="580" w:lineRule="exact"/>
        <w:ind w:firstLine="640"/>
        <w:jc w:val="both"/>
      </w:pPr>
      <w:r>
        <w:rPr>
          <w:rFonts w:ascii="仿宋_GB2312" w:hAnsi="仿宋_GB2312" w:eastAsia="仿宋_GB2312"/>
          <w:b w:val="0"/>
          <w:sz w:val="32"/>
        </w:rPr>
        <w:t>2024年度一般公共预算财政拨款基本支出199.01万元，其中：</w:t>
      </w:r>
      <w:r>
        <w:rPr>
          <w:rFonts w:ascii="仿宋_GB2312" w:hAnsi="仿宋_GB2312" w:eastAsia="仿宋_GB2312"/>
          <w:b/>
          <w:sz w:val="32"/>
        </w:rPr>
        <w:t>人员经费188.59万元，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w:t>
      </w:r>
    </w:p>
    <w:p w14:paraId="1B44D35B">
      <w:pPr>
        <w:spacing w:line="580" w:lineRule="exact"/>
        <w:ind w:firstLine="640"/>
        <w:jc w:val="both"/>
      </w:pPr>
      <w:r>
        <w:rPr>
          <w:rFonts w:ascii="仿宋_GB2312" w:hAnsi="仿宋_GB2312" w:eastAsia="仿宋_GB2312"/>
          <w:b/>
          <w:sz w:val="32"/>
        </w:rPr>
        <w:t>公用经费10.41万元，</w:t>
      </w:r>
      <w:r>
        <w:rPr>
          <w:rFonts w:ascii="仿宋_GB2312" w:hAnsi="仿宋_GB2312" w:eastAsia="仿宋_GB2312"/>
          <w:b w:val="0"/>
          <w:sz w:val="32"/>
        </w:rPr>
        <w:t>包括：办公费、水费、电费、邮电费、专用材料费、工会经费、公务用车运行维护费、其他商品和服务支出。</w:t>
      </w:r>
    </w:p>
    <w:p w14:paraId="100C7975">
      <w:pPr>
        <w:spacing w:line="640" w:lineRule="exact"/>
        <w:ind w:firstLine="640"/>
        <w:jc w:val="both"/>
        <w:outlineLvl w:val="2"/>
      </w:pPr>
      <w:r>
        <w:rPr>
          <w:rFonts w:ascii="黑体" w:hAnsi="黑体" w:eastAsia="黑体"/>
          <w:sz w:val="32"/>
        </w:rPr>
        <w:t>七、政府性基金预算财政拨款收入支出决算情况说明</w:t>
      </w:r>
    </w:p>
    <w:p w14:paraId="2D542B25">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EE4FC3C">
      <w:pPr>
        <w:spacing w:line="640" w:lineRule="exact"/>
        <w:ind w:firstLine="640"/>
        <w:jc w:val="both"/>
        <w:outlineLvl w:val="2"/>
      </w:pPr>
      <w:r>
        <w:rPr>
          <w:rFonts w:ascii="黑体" w:hAnsi="黑体" w:eastAsia="黑体"/>
          <w:sz w:val="32"/>
        </w:rPr>
        <w:t>八、国有资本经营预算财政拨款收入支出决算情况说明</w:t>
      </w:r>
    </w:p>
    <w:p w14:paraId="3E8D9C5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1C21937">
      <w:pPr>
        <w:spacing w:line="640" w:lineRule="exact"/>
        <w:ind w:firstLine="640"/>
        <w:jc w:val="both"/>
        <w:outlineLvl w:val="2"/>
      </w:pPr>
      <w:r>
        <w:rPr>
          <w:rFonts w:ascii="黑体" w:hAnsi="黑体" w:eastAsia="黑体"/>
          <w:sz w:val="32"/>
        </w:rPr>
        <w:t>九、财政拨款“三公”经费支出决算情况说明</w:t>
      </w:r>
    </w:p>
    <w:p w14:paraId="58E9BA9B">
      <w:pPr>
        <w:spacing w:line="580" w:lineRule="exact"/>
        <w:ind w:firstLine="640"/>
        <w:jc w:val="both"/>
      </w:pPr>
      <w:r>
        <w:rPr>
          <w:rFonts w:ascii="仿宋_GB2312" w:hAnsi="仿宋_GB2312" w:eastAsia="仿宋_GB2312"/>
          <w:b/>
          <w:sz w:val="32"/>
        </w:rPr>
        <w:t>2024年度财政拨款“三公”经费支出4.58万元，</w:t>
      </w:r>
      <w:r>
        <w:rPr>
          <w:rFonts w:ascii="仿宋_GB2312" w:hAnsi="仿宋_GB2312" w:eastAsia="仿宋_GB2312"/>
          <w:b w:val="0"/>
          <w:sz w:val="32"/>
        </w:rPr>
        <w:t>比上年增加0.98万元，增长27.22%，主要原因是：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4.58万元，占100.00%，比上年增加0.98万元，增长27.22%，主要原因是：因业务需求，用车次数增加，燃油费增加，导致公务用车运行维护费较上年增加。公务接待费支出0.00万元，占0.00%，比上年增加0.00万元，增长0.00%，主要原因是：2023年与2024年均未安排公务接待费支出。</w:t>
      </w:r>
    </w:p>
    <w:p w14:paraId="5116A347">
      <w:pPr>
        <w:spacing w:line="580" w:lineRule="exact"/>
        <w:ind w:firstLine="640"/>
        <w:jc w:val="both"/>
      </w:pPr>
      <w:r>
        <w:rPr>
          <w:rFonts w:ascii="仿宋_GB2312" w:hAnsi="仿宋_GB2312" w:eastAsia="仿宋_GB2312"/>
          <w:b/>
          <w:sz w:val="32"/>
        </w:rPr>
        <w:t>具体情况如下：</w:t>
      </w:r>
    </w:p>
    <w:p w14:paraId="697E14A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13F12F2">
      <w:pPr>
        <w:spacing w:line="580" w:lineRule="exact"/>
        <w:ind w:firstLine="640"/>
        <w:jc w:val="both"/>
      </w:pPr>
      <w:r>
        <w:rPr>
          <w:rFonts w:ascii="仿宋_GB2312" w:hAnsi="仿宋_GB2312" w:eastAsia="仿宋_GB2312"/>
          <w:b w:val="0"/>
          <w:sz w:val="32"/>
        </w:rPr>
        <w:t>公务用车购置及运行维护费4.58万元，其中：公务用车购置费0.00万元，公务用车运行维护费4.58万元。公务用车运行维护费开支内容包括车辆加油费、维修费、保险费、过路费。公务用车购置数0辆，公务用车保有量2辆。国有资产占用情况中固定资产车辆2辆，与公务用车保有量差异原因是：本单位固定资产车辆与公务用车保有量一致无差异。</w:t>
      </w:r>
    </w:p>
    <w:p w14:paraId="2A04959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637848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4.58万元，决算数4.58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4.58万元，决算数4.58万元，预决算差异率0.00%，主要原因是：严格按照预算执行，预决算无差异。公务接待费全年预算数0.00万元，决算数0.00万元，预决算差异率0.00%，主要原因是：本单位无公务接待费。</w:t>
      </w:r>
    </w:p>
    <w:p w14:paraId="23B28F8D">
      <w:pPr>
        <w:spacing w:line="640" w:lineRule="exact"/>
        <w:ind w:firstLine="640"/>
        <w:jc w:val="both"/>
        <w:outlineLvl w:val="2"/>
      </w:pPr>
      <w:r>
        <w:rPr>
          <w:rFonts w:ascii="黑体" w:hAnsi="黑体" w:eastAsia="黑体"/>
          <w:sz w:val="32"/>
        </w:rPr>
        <w:t>十、其他重要事项的情况说明</w:t>
      </w:r>
    </w:p>
    <w:p w14:paraId="0B9A5153">
      <w:pPr>
        <w:spacing w:line="640" w:lineRule="exact"/>
        <w:ind w:firstLine="640"/>
        <w:jc w:val="both"/>
        <w:outlineLvl w:val="3"/>
      </w:pPr>
      <w:r>
        <w:rPr>
          <w:rFonts w:ascii="楷体_GB2312" w:hAnsi="楷体_GB2312" w:eastAsia="楷体_GB2312"/>
          <w:b/>
          <w:sz w:val="32"/>
        </w:rPr>
        <w:t>（一）机关运行经费及公用经费支出情况</w:t>
      </w:r>
    </w:p>
    <w:p w14:paraId="2D596090">
      <w:pPr>
        <w:spacing w:line="580" w:lineRule="exact"/>
        <w:ind w:firstLine="640"/>
        <w:jc w:val="both"/>
      </w:pPr>
      <w:r>
        <w:rPr>
          <w:rFonts w:ascii="仿宋_GB2312" w:hAnsi="仿宋_GB2312" w:eastAsia="仿宋_GB2312"/>
          <w:b w:val="0"/>
          <w:sz w:val="32"/>
        </w:rPr>
        <w:t>2024年度中共喀什地区委员专用通信局（行政单位和参照公务员法管理事业单位）机关运行经费支出10.41万元，比上年增加2.31万元，增长28.52%，主要原因是：本年更新、维护补充办公用品，导致机关运行经费较上年增加。</w:t>
      </w:r>
    </w:p>
    <w:p w14:paraId="68363338">
      <w:pPr>
        <w:spacing w:line="640" w:lineRule="exact"/>
        <w:ind w:firstLine="640"/>
        <w:jc w:val="both"/>
        <w:outlineLvl w:val="3"/>
      </w:pPr>
      <w:r>
        <w:rPr>
          <w:rFonts w:ascii="楷体_GB2312" w:hAnsi="楷体_GB2312" w:eastAsia="楷体_GB2312"/>
          <w:b/>
          <w:sz w:val="32"/>
        </w:rPr>
        <w:t>（二）政府采购情况</w:t>
      </w:r>
    </w:p>
    <w:p w14:paraId="4A4AB5E4">
      <w:pPr>
        <w:spacing w:line="580" w:lineRule="exact"/>
        <w:ind w:firstLine="640"/>
        <w:jc w:val="both"/>
      </w:pPr>
      <w:r>
        <w:rPr>
          <w:rFonts w:ascii="仿宋_GB2312" w:hAnsi="仿宋_GB2312" w:eastAsia="仿宋_GB2312"/>
          <w:b w:val="0"/>
          <w:sz w:val="32"/>
        </w:rPr>
        <w:t>2024年度政府采购支出总额84.64万元，其中：政府采购货物支出0.76万元、政府采购工程支出0.00万元、政府采购服务支出83.88万元。</w:t>
      </w:r>
    </w:p>
    <w:p w14:paraId="3B5394C4">
      <w:pPr>
        <w:spacing w:line="580" w:lineRule="exact"/>
        <w:ind w:firstLine="640"/>
        <w:jc w:val="both"/>
      </w:pPr>
      <w:r>
        <w:rPr>
          <w:rFonts w:ascii="仿宋_GB2312" w:hAnsi="仿宋_GB2312" w:eastAsia="仿宋_GB2312"/>
          <w:b w:val="0"/>
          <w:sz w:val="32"/>
        </w:rPr>
        <w:t>授予中小企业合同金额84.64万元，占政府采购支出总额的100.00%，其中：授予小微企业合同金额17.47万元，占政府采购支出总额的20.64%。</w:t>
      </w:r>
    </w:p>
    <w:p w14:paraId="7FA75EEA">
      <w:pPr>
        <w:spacing w:line="640" w:lineRule="exact"/>
        <w:ind w:firstLine="640"/>
        <w:jc w:val="both"/>
        <w:outlineLvl w:val="3"/>
      </w:pPr>
      <w:r>
        <w:rPr>
          <w:rFonts w:ascii="楷体_GB2312" w:hAnsi="楷体_GB2312" w:eastAsia="楷体_GB2312"/>
          <w:b/>
          <w:sz w:val="32"/>
        </w:rPr>
        <w:t>（三）国有资产占用情况说明</w:t>
      </w:r>
    </w:p>
    <w:p w14:paraId="3901E060">
      <w:pPr>
        <w:spacing w:line="580" w:lineRule="exact"/>
        <w:ind w:firstLine="640"/>
        <w:jc w:val="both"/>
      </w:pPr>
      <w:r>
        <w:rPr>
          <w:rFonts w:ascii="仿宋_GB2312" w:hAnsi="仿宋_GB2312" w:eastAsia="仿宋_GB2312"/>
          <w:b w:val="0"/>
          <w:sz w:val="32"/>
        </w:rPr>
        <w:t>截至2024年12月31日，房屋0.00平方米，价值0.00万元。车辆2辆，价值154.06万元，其中：副部（省）级及以上领导用车0辆、主要负责人用车0辆、机要通信用车0辆、应急保障用车1辆、执法执勤用车0辆、特种专业技术用车0辆、离退休干部服务用车0辆、其他用车1辆，其他用车主要是：一般公务用车。单价100万元（含）以上设备（不含车辆）0台（套）。</w:t>
      </w:r>
    </w:p>
    <w:p w14:paraId="6A2D5FB8">
      <w:pPr>
        <w:spacing w:line="640" w:lineRule="exact"/>
        <w:ind w:firstLine="640"/>
        <w:jc w:val="both"/>
        <w:outlineLvl w:val="2"/>
      </w:pPr>
      <w:r>
        <w:rPr>
          <w:rFonts w:ascii="黑体" w:hAnsi="黑体" w:eastAsia="黑体"/>
          <w:sz w:val="32"/>
        </w:rPr>
        <w:t>十一、预算绩效的情况说明</w:t>
      </w:r>
    </w:p>
    <w:p w14:paraId="5D9248A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813.30万元，实际执行总额761.90万元；预算绩效评价项目0个，全年预算数0.00万元，全年执行数0.00万元。预算绩效管理取得的成效：喀什地委专用通信局坚持以习近平新时代中国特色社会主义思想为指导,深入贯彻落实党的二十届三中全会精神，完整准确全面贯彻落实新时代党的治疆方略和自治区党委十届十一次、十二次全会决策部署，聚焦专用通信建设、管理、服务等重点工作，持之以恒地推动喀什地区专用通信工作高质量发展。1.坚持学用结合，提升工作水平。全体干部职工反复深入学习习近平总书记对党政专用通信工作作出的重要指示批示精神，完整准确全面理解领会，通过召开局务会、业务培训会、技术交流会、专题座谈会、主题党日活动等形式，交流学习贯彻的感悟体会和实际成效，在学思践悟中增强政治意识和理论素养，做到学思用贯通、知信行统一，用理论指导实践，推动专用通信工作高质量发展。2.坚持全局观念，提升保障水平。一是围绕中心突出保障重点。始终以细致、精致、极致的工作作风完成党政专用通信各项工作任务，运用党政加密、卫星通信保障车等通信手段，全面做好各级</w:t>
      </w:r>
      <w:r>
        <w:rPr>
          <w:rFonts w:hint="eastAsia" w:ascii="仿宋_GB2312" w:hAnsi="仿宋_GB2312" w:eastAsia="仿宋_GB2312"/>
          <w:b w:val="0"/>
          <w:sz w:val="32"/>
          <w:lang w:eastAsia="zh-CN"/>
        </w:rPr>
        <w:t>党委、政府</w:t>
      </w:r>
      <w:r>
        <w:rPr>
          <w:rFonts w:ascii="仿宋_GB2312" w:hAnsi="仿宋_GB2312" w:eastAsia="仿宋_GB2312"/>
          <w:b w:val="0"/>
          <w:sz w:val="32"/>
        </w:rPr>
        <w:t>和机关单位的专用通信保障工作，为领导同志日常办公、考察调研、重大会议活动、应急处突等工作提供红机、视频会议、应急卫星通信等优质服务。二是着眼长远夯实发展基础。持续优化本地专用通信光纤城域网400公里等基础设施建设，地委党校红机二级网延伸工程顺利完成。积极规划超高清党政加密视频会议系统建设，高标准、严要求建设专用通信视频会议系统100余平方的机房，升级改造喀什地区党政加密视频会议播控中心，为党政专用通信提质增效打牢坚实基础。三是优化资源强化视频保障。紧紧围绕地委中心工作、服务大局，着力对地县党政专用视频会议系统进行整合优化完善，不断提升视频会议系统服务、运维、管理能力。3.坚持改革创新，提升服务意识。一是着力提升服务质量和管理水平，紧紧围绕领导同志和党政机关服务新需求，不断创新常态化服务、推进精细化服务、提升高效化服务，有效提升干部职工高质量服务意识。二是紧盯应急处突工作需要，持续完善应急通信网络和系统，健全应急处突联动响应机制，优化应急通信联动机制和应急通信资源统一调度机制，不断提升应急通信保障能力。三是不断加强对县市党政专用通信工作指导，建立地县定期联调联测机制，每季度安排两组赴各县市开展密码机在位情况、党政视频会议运行、电力系统运行等情况巡检工作，对县市专用通信队伍力量、保障能力、机房建设、健全制度等方面进行了全面了解，在巡检中发现的不符合专用通信规范、工作存在风险隐患的情况，现场指出并给予指导。发现的问题及原因：（1）预算编制不严谨、不精准，存在实际执行与预算年初资金总额偏差过大，导致部分项目资金未及时支出，滞留闲置在本单位，未发挥财政资金的社会效益。（2）采购预算编制不精准、不规范。存在无采购预算、超采购预算支出等情况。（3）部门预算编制程序不规范。部门预算编制以财务人员参与为主，业务人员参与度较低，信息沟通不畅，导致预算编制不合理；预算编制范围和项目不全面，各个项目预算编制之间缺乏整合。（4）预算绩效管理薄弱，财政资金使用效益发挥不明显。部门绩效评价流于形式，导致项目绩效评价质量不高，造成资金闲置浪费。（5）预算绩效观念不强，工作质量有待提高。各项目负责人对项目绩效工作不重视，思想认识不到位，仍存在重资金申请、轻过程管理，重支出、轻绩效的问题，导致绩效目标设定不够细化、不够精准</w:t>
      </w:r>
      <w:r>
        <w:rPr>
          <w:rFonts w:hint="eastAsia" w:ascii="仿宋_GB2312" w:hAnsi="仿宋_GB2312" w:eastAsia="仿宋_GB2312"/>
          <w:b w:val="0"/>
          <w:sz w:val="32"/>
          <w:lang w:eastAsia="zh-CN"/>
        </w:rPr>
        <w:t>。</w:t>
      </w:r>
      <w:r>
        <w:rPr>
          <w:rFonts w:ascii="仿宋_GB2312" w:hAnsi="仿宋_GB2312" w:eastAsia="仿宋_GB2312"/>
          <w:b w:val="0"/>
          <w:sz w:val="32"/>
        </w:rPr>
        <w:t>下一步改进措施：（1）在编制年度预算工作环节前，财务科将编制程序、要求、事前评估报告模板、目标设置方式、编制注意事项下发各科室及各科室项目负责人，督促各科室结合下一年度工作计划提前谋划下一年度项目预算，提前对项目可行性进行研究。年度执行中，因工作调整等原因需要进行科目调整时，由核算中心与地区财政局协商，真正做到先有预算，再有支出；无预算不支出；使资金使用与预算编制一致；绩效目标设置与执行结果一致；事前评估、事中跟踪、事后自评一致。（2）树立全员参与预算编制理念。预算编制不仅仅是财务人员的事情，预算需单位全员参与，及时沟通。（3）重视预算绩效管理工作，严把编报预算、设置绩效目标、撰写事前评估报告及项目实施方案一致性，精准施行预算绩效管理。（4）加强对项目负责人绩效管理工作的相关培训，项目负责人为项目绩效管理工作的第一责任人，每月财务人员定期向项目负责人及单位负责人反馈项目绩效结果，针对项目绩效管理中出现的问题及时提出整改意见，提高绩效管理水平。具体附整体支出绩效自评表。</w:t>
      </w:r>
    </w:p>
    <w:p w14:paraId="09A0DC3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D60341E">
        <w:tblPrEx>
          <w:tblCellMar>
            <w:top w:w="0" w:type="dxa"/>
            <w:left w:w="108" w:type="dxa"/>
            <w:bottom w:w="0" w:type="dxa"/>
            <w:right w:w="108" w:type="dxa"/>
          </w:tblCellMar>
        </w:tblPrEx>
        <w:tc>
          <w:tcPr>
            <w:tcW w:w="8847" w:type="dxa"/>
            <w:gridSpan w:val="9"/>
            <w:vAlign w:val="center"/>
          </w:tcPr>
          <w:p w14:paraId="2026570C">
            <w:pPr>
              <w:jc w:val="center"/>
            </w:pPr>
            <w:r>
              <w:rPr>
                <w:rFonts w:ascii="宋体" w:hAnsi="宋体" w:eastAsia="宋体"/>
                <w:sz w:val="24"/>
              </w:rPr>
              <w:t>单位整体支出绩效自评表</w:t>
            </w:r>
          </w:p>
        </w:tc>
      </w:tr>
      <w:tr w14:paraId="49446ADF">
        <w:tblPrEx>
          <w:tblCellMar>
            <w:top w:w="0" w:type="dxa"/>
            <w:left w:w="108" w:type="dxa"/>
            <w:bottom w:w="0" w:type="dxa"/>
            <w:right w:w="108" w:type="dxa"/>
          </w:tblCellMar>
        </w:tblPrEx>
        <w:tc>
          <w:tcPr>
            <w:tcW w:w="8847" w:type="dxa"/>
            <w:gridSpan w:val="9"/>
            <w:vAlign w:val="center"/>
          </w:tcPr>
          <w:p w14:paraId="5A1859E2">
            <w:pPr>
              <w:jc w:val="center"/>
            </w:pPr>
            <w:r>
              <w:rPr>
                <w:rFonts w:ascii="宋体" w:hAnsi="宋体" w:eastAsia="宋体"/>
                <w:sz w:val="24"/>
              </w:rPr>
              <w:t>（2024年度）</w:t>
            </w:r>
          </w:p>
        </w:tc>
      </w:tr>
      <w:tr w14:paraId="0BB7AB1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1E2155">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E58F22F">
            <w:pPr>
              <w:jc w:val="center"/>
            </w:pPr>
            <w:r>
              <w:rPr>
                <w:rFonts w:ascii="宋体" w:hAnsi="宋体" w:eastAsia="宋体"/>
                <w:sz w:val="16"/>
              </w:rPr>
              <w:t>中共喀什地区委员专用通信局</w:t>
            </w:r>
          </w:p>
        </w:tc>
      </w:tr>
      <w:tr w14:paraId="4F14430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90E472">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31B5E">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9C64B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B218E0">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98357">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7ED6E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8E9B9">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D1173">
            <w:pPr>
              <w:jc w:val="center"/>
            </w:pPr>
            <w:r>
              <w:rPr>
                <w:rFonts w:ascii="宋体" w:hAnsi="宋体" w:eastAsia="宋体"/>
                <w:sz w:val="16"/>
              </w:rPr>
              <w:t>得分</w:t>
            </w:r>
          </w:p>
        </w:tc>
      </w:tr>
      <w:tr w14:paraId="497B50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6BBD7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7B931">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EAB8B1">
            <w:pPr>
              <w:jc w:val="center"/>
            </w:pPr>
            <w:r>
              <w:rPr>
                <w:rFonts w:ascii="宋体" w:hAnsi="宋体" w:eastAsia="宋体"/>
                <w:sz w:val="16"/>
              </w:rPr>
              <w:t>827.02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35E90">
            <w:pPr>
              <w:jc w:val="center"/>
            </w:pPr>
            <w:r>
              <w:rPr>
                <w:rFonts w:ascii="宋体" w:hAnsi="宋体" w:eastAsia="宋体"/>
                <w:sz w:val="16"/>
              </w:rPr>
              <w:t>813.30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C3657">
            <w:pPr>
              <w:jc w:val="center"/>
            </w:pPr>
            <w:r>
              <w:rPr>
                <w:rFonts w:ascii="宋体" w:hAnsi="宋体" w:eastAsia="宋体"/>
                <w:sz w:val="16"/>
              </w:rPr>
              <w:t>761.90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6FB5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40043A">
            <w:pPr>
              <w:jc w:val="center"/>
            </w:pPr>
            <w:r>
              <w:rPr>
                <w:rFonts w:ascii="宋体" w:hAnsi="宋体" w:eastAsia="宋体"/>
                <w:sz w:val="16"/>
              </w:rPr>
              <w:t>93.68%</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77E30">
            <w:pPr>
              <w:jc w:val="center"/>
            </w:pPr>
            <w:r>
              <w:rPr>
                <w:rFonts w:ascii="宋体" w:hAnsi="宋体" w:eastAsia="宋体"/>
                <w:sz w:val="16"/>
              </w:rPr>
              <w:t>9.37</w:t>
            </w:r>
          </w:p>
        </w:tc>
      </w:tr>
      <w:tr w14:paraId="58F3A15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7B510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A505D">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60CB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E4B9B7">
            <w:pPr>
              <w:jc w:val="center"/>
            </w:pPr>
            <w:r>
              <w:rPr>
                <w:rFonts w:ascii="宋体" w:hAnsi="宋体" w:eastAsia="宋体"/>
                <w:sz w:val="16"/>
              </w:rPr>
              <w:t>2.96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9A9AE8">
            <w:pPr>
              <w:jc w:val="center"/>
            </w:pPr>
            <w:r>
              <w:rPr>
                <w:rFonts w:ascii="宋体" w:hAnsi="宋体" w:eastAsia="宋体"/>
                <w:sz w:val="16"/>
              </w:rPr>
              <w:t>2.96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0DF5E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8EE3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BD385">
            <w:pPr>
              <w:jc w:val="center"/>
            </w:pPr>
            <w:r>
              <w:rPr>
                <w:rFonts w:ascii="宋体" w:hAnsi="宋体" w:eastAsia="宋体"/>
                <w:sz w:val="16"/>
              </w:rPr>
              <w:t>—</w:t>
            </w:r>
          </w:p>
        </w:tc>
      </w:tr>
      <w:tr w14:paraId="5EE8D3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54738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4FC067">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E9B5E1">
            <w:pPr>
              <w:jc w:val="center"/>
            </w:pPr>
            <w:r>
              <w:rPr>
                <w:rFonts w:ascii="宋体" w:hAnsi="宋体" w:eastAsia="宋体"/>
                <w:sz w:val="16"/>
              </w:rPr>
              <w:t>827.02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D71D4">
            <w:pPr>
              <w:jc w:val="center"/>
            </w:pPr>
            <w:r>
              <w:rPr>
                <w:rFonts w:ascii="宋体" w:hAnsi="宋体" w:eastAsia="宋体"/>
                <w:sz w:val="16"/>
              </w:rPr>
              <w:t>810.34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5225E6">
            <w:pPr>
              <w:jc w:val="center"/>
            </w:pPr>
            <w:r>
              <w:rPr>
                <w:rFonts w:ascii="宋体" w:hAnsi="宋体" w:eastAsia="宋体"/>
                <w:sz w:val="16"/>
              </w:rPr>
              <w:t>758.94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64264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6A856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02455">
            <w:pPr>
              <w:jc w:val="center"/>
            </w:pPr>
            <w:r>
              <w:rPr>
                <w:rFonts w:ascii="宋体" w:hAnsi="宋体" w:eastAsia="宋体"/>
                <w:sz w:val="16"/>
              </w:rPr>
              <w:t>—</w:t>
            </w:r>
          </w:p>
        </w:tc>
      </w:tr>
      <w:tr w14:paraId="6BD20A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2F52E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DD6FB">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814B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84D07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FE87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7CF20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0F27B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CC064">
            <w:pPr>
              <w:jc w:val="center"/>
            </w:pPr>
            <w:r>
              <w:rPr>
                <w:rFonts w:ascii="宋体" w:hAnsi="宋体" w:eastAsia="宋体"/>
                <w:sz w:val="16"/>
              </w:rPr>
              <w:t>—</w:t>
            </w:r>
          </w:p>
        </w:tc>
      </w:tr>
      <w:tr w14:paraId="2781114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845F9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58092C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DF0F09">
            <w:pPr>
              <w:jc w:val="center"/>
            </w:pPr>
            <w:r>
              <w:rPr>
                <w:rFonts w:ascii="宋体" w:hAnsi="宋体" w:eastAsia="宋体"/>
                <w:sz w:val="16"/>
              </w:rPr>
              <w:t>实际完成情况</w:t>
            </w:r>
          </w:p>
        </w:tc>
      </w:tr>
      <w:tr w14:paraId="47DC3C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937B0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7BCA236">
            <w:pPr>
              <w:jc w:val="both"/>
            </w:pPr>
            <w:r>
              <w:rPr>
                <w:rFonts w:ascii="宋体" w:hAnsi="宋体" w:eastAsia="宋体"/>
                <w:sz w:val="16"/>
              </w:rPr>
              <w:t>按照专用通信安全、保密、便捷 畅通的要求 ，今年计划完成国家、自治区、地区党政专用视频会议保障任务200次；计划完成中央、自治区、地区电话保障任务50次；计划完成地区主要领导安全高效专用通信服务职责；计划完成专用通信的基础建设和运行维护工作、专用通信的运营服务、业务管理等工作；计划建设地委党校党政专用通信二级网延伸项目和会展中心喀什会议厅党政加密视频会议会场建设项目。通过今年项目建设通信保障能力得到有效提升并高质量完成地委、行署以及自治区专用通信局交办的其他事项。</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4B2BFD">
            <w:pPr>
              <w:jc w:val="both"/>
            </w:pPr>
            <w:r>
              <w:rPr>
                <w:rFonts w:ascii="宋体" w:hAnsi="宋体" w:eastAsia="宋体"/>
                <w:sz w:val="16"/>
              </w:rPr>
              <w:t>全年完成视频会议保障267场次，2024年度为党政主要领导提供优质、可靠的视频会议保障；电话保障次数43次</w:t>
            </w:r>
            <w:r>
              <w:rPr>
                <w:rFonts w:hint="eastAsia" w:ascii="宋体" w:hAnsi="宋体"/>
                <w:sz w:val="16"/>
                <w:lang w:eastAsia="zh-CN"/>
              </w:rPr>
              <w:t>，</w:t>
            </w:r>
            <w:r>
              <w:rPr>
                <w:rFonts w:ascii="宋体" w:hAnsi="宋体" w:eastAsia="宋体"/>
                <w:sz w:val="16"/>
              </w:rPr>
              <w:t>保障了国家、自治区国家领导来喀调研、活动期间的语音通信服务；</w:t>
            </w:r>
            <w:r>
              <w:rPr>
                <w:rFonts w:hint="eastAsia" w:ascii="宋体" w:hAnsi="宋体"/>
                <w:sz w:val="16"/>
                <w:lang w:eastAsia="zh-CN"/>
              </w:rPr>
              <w:t>设备</w:t>
            </w:r>
            <w:r>
              <w:rPr>
                <w:rFonts w:ascii="宋体" w:hAnsi="宋体" w:eastAsia="宋体"/>
                <w:sz w:val="16"/>
              </w:rPr>
              <w:t>维修维护次数4次，为2024年度为党政主要领导提供优质、可靠的视频会议保障；全年随行保障5次，为2024年度为国家、自治区党政主要领导来喀期间出行提供优质、可靠的语音通信服务；党政专用通信系统故障率小于1%，为2024</w:t>
            </w:r>
            <w:r>
              <w:rPr>
                <w:rFonts w:hint="eastAsia" w:ascii="宋体" w:hAnsi="宋体"/>
                <w:sz w:val="16"/>
                <w:lang w:eastAsia="zh-CN"/>
              </w:rPr>
              <w:t>年度</w:t>
            </w:r>
            <w:r>
              <w:rPr>
                <w:rFonts w:ascii="宋体" w:hAnsi="宋体" w:eastAsia="宋体"/>
                <w:sz w:val="16"/>
              </w:rPr>
              <w:t>党政主要领导提供优质、可靠</w:t>
            </w:r>
            <w:bookmarkStart w:id="0" w:name="_GoBack"/>
            <w:bookmarkEnd w:id="0"/>
            <w:r>
              <w:rPr>
                <w:rFonts w:ascii="宋体" w:hAnsi="宋体" w:eastAsia="宋体"/>
                <w:sz w:val="16"/>
              </w:rPr>
              <w:t>的党政专用通信服务。完成了地委党校二级网建设项目和会展中心喀什会议厅</w:t>
            </w:r>
            <w:r>
              <w:rPr>
                <w:rFonts w:hint="eastAsia" w:ascii="宋体" w:hAnsi="宋体"/>
                <w:sz w:val="16"/>
                <w:lang w:eastAsia="zh-CN"/>
              </w:rPr>
              <w:t>党政</w:t>
            </w:r>
            <w:r>
              <w:rPr>
                <w:rFonts w:ascii="宋体" w:hAnsi="宋体" w:eastAsia="宋体"/>
                <w:sz w:val="16"/>
              </w:rPr>
              <w:t>视频会议室建设项目，实现了地委党校和喀什会议厅召开</w:t>
            </w:r>
            <w:r>
              <w:rPr>
                <w:rFonts w:hint="eastAsia" w:ascii="宋体" w:hAnsi="宋体"/>
                <w:sz w:val="16"/>
                <w:lang w:eastAsia="zh-CN"/>
              </w:rPr>
              <w:t>党政</w:t>
            </w:r>
            <w:r>
              <w:rPr>
                <w:rFonts w:ascii="宋体" w:hAnsi="宋体" w:eastAsia="宋体"/>
                <w:sz w:val="16"/>
              </w:rPr>
              <w:t>视频会议的能力。</w:t>
            </w:r>
          </w:p>
        </w:tc>
      </w:tr>
      <w:tr w14:paraId="609526A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A6FC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292F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F4C4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9F8A3">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2E43B3">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3C97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602F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8934A4">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3463C7">
            <w:pPr>
              <w:jc w:val="center"/>
            </w:pPr>
            <w:r>
              <w:rPr>
                <w:rFonts w:ascii="宋体" w:hAnsi="宋体" w:eastAsia="宋体"/>
                <w:sz w:val="16"/>
              </w:rPr>
              <w:t>得分</w:t>
            </w:r>
          </w:p>
        </w:tc>
      </w:tr>
      <w:tr w14:paraId="1EAB392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AE0184">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8F004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2DE356">
            <w:pPr>
              <w:jc w:val="center"/>
            </w:pPr>
            <w:r>
              <w:rPr>
                <w:rFonts w:ascii="宋体" w:hAnsi="宋体" w:eastAsia="宋体"/>
                <w:sz w:val="16"/>
              </w:rPr>
              <w:t>全年视频会议保障场数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367011">
            <w:pPr>
              <w:jc w:val="center"/>
            </w:pPr>
            <w:r>
              <w:rPr>
                <w:rFonts w:ascii="宋体" w:hAnsi="宋体" w:eastAsia="宋体"/>
                <w:sz w:val="16"/>
              </w:rPr>
              <w:t>&gt;=200场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756D60">
            <w:pPr>
              <w:jc w:val="center"/>
            </w:pPr>
            <w:r>
              <w:rPr>
                <w:rFonts w:ascii="宋体" w:hAnsi="宋体" w:eastAsia="宋体"/>
                <w:sz w:val="16"/>
              </w:rPr>
              <w:t>《地委专用通信局2024年工作计划》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DF03FF">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FD4C1">
            <w:pPr>
              <w:jc w:val="center"/>
            </w:pPr>
            <w:r>
              <w:rPr>
                <w:rFonts w:ascii="宋体" w:hAnsi="宋体" w:eastAsia="宋体"/>
                <w:sz w:val="16"/>
              </w:rPr>
              <w:t>267场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6625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D24AC8">
            <w:pPr>
              <w:jc w:val="center"/>
            </w:pPr>
            <w:r>
              <w:rPr>
                <w:rFonts w:ascii="宋体" w:hAnsi="宋体" w:eastAsia="宋体"/>
                <w:sz w:val="16"/>
              </w:rPr>
              <w:t>25</w:t>
            </w:r>
          </w:p>
        </w:tc>
      </w:tr>
      <w:tr w14:paraId="39FF9AF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529A9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30D34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0C824">
            <w:pPr>
              <w:jc w:val="center"/>
            </w:pPr>
            <w:r>
              <w:rPr>
                <w:rFonts w:ascii="宋体" w:hAnsi="宋体" w:eastAsia="宋体"/>
                <w:sz w:val="16"/>
              </w:rPr>
              <w:t>全年电话保障次数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21DF6">
            <w:pPr>
              <w:jc w:val="center"/>
            </w:pPr>
            <w:r>
              <w:rPr>
                <w:rFonts w:ascii="宋体" w:hAnsi="宋体" w:eastAsia="宋体"/>
                <w:sz w:val="16"/>
              </w:rPr>
              <w:t>&gt;=50次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6355C">
            <w:pPr>
              <w:jc w:val="center"/>
            </w:pPr>
            <w:r>
              <w:rPr>
                <w:rFonts w:ascii="宋体" w:hAnsi="宋体" w:eastAsia="宋体"/>
                <w:sz w:val="16"/>
              </w:rPr>
              <w:t>《地委专用通信局2024年工作计划》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C914EF">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57EA4">
            <w:pPr>
              <w:jc w:val="center"/>
            </w:pPr>
            <w:r>
              <w:rPr>
                <w:rFonts w:ascii="宋体" w:hAnsi="宋体" w:eastAsia="宋体"/>
                <w:sz w:val="16"/>
              </w:rPr>
              <w:t>43次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F89E0">
            <w:pPr>
              <w:jc w:val="center"/>
            </w:pPr>
            <w:r>
              <w:rPr>
                <w:rFonts w:ascii="宋体" w:hAnsi="宋体" w:eastAsia="宋体"/>
                <w:sz w:val="16"/>
              </w:rPr>
              <w:t>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11DE4">
            <w:pPr>
              <w:jc w:val="center"/>
            </w:pPr>
            <w:r>
              <w:rPr>
                <w:rFonts w:ascii="宋体" w:hAnsi="宋体" w:eastAsia="宋体"/>
                <w:sz w:val="16"/>
              </w:rPr>
              <w:t>21.5</w:t>
            </w:r>
          </w:p>
        </w:tc>
      </w:tr>
      <w:tr w14:paraId="5B1C07C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88E85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16C72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48016">
            <w:pPr>
              <w:jc w:val="center"/>
            </w:pPr>
            <w:r>
              <w:rPr>
                <w:rFonts w:ascii="宋体" w:hAnsi="宋体" w:eastAsia="宋体"/>
                <w:sz w:val="16"/>
              </w:rPr>
              <w:t>全年完成设备维修维护次数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293F1">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3A0AE">
            <w:pPr>
              <w:jc w:val="center"/>
            </w:pPr>
            <w:r>
              <w:rPr>
                <w:rFonts w:ascii="宋体" w:hAnsi="宋体" w:eastAsia="宋体"/>
                <w:sz w:val="16"/>
              </w:rPr>
              <w:t>《地委专用通信局2024年工作计划》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5D40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31F062">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09BB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477AA">
            <w:pPr>
              <w:jc w:val="center"/>
            </w:pPr>
            <w:r>
              <w:rPr>
                <w:rFonts w:ascii="宋体" w:hAnsi="宋体" w:eastAsia="宋体"/>
                <w:sz w:val="16"/>
              </w:rPr>
              <w:t>20</w:t>
            </w:r>
          </w:p>
        </w:tc>
      </w:tr>
      <w:tr w14:paraId="6C8BF2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0045F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DD3C3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200A3">
            <w:pPr>
              <w:jc w:val="center"/>
            </w:pPr>
            <w:r>
              <w:rPr>
                <w:rFonts w:ascii="宋体" w:hAnsi="宋体" w:eastAsia="宋体"/>
                <w:sz w:val="16"/>
              </w:rPr>
              <w:t>全年随行保障次数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57FE46">
            <w:pPr>
              <w:jc w:val="center"/>
            </w:pPr>
            <w:r>
              <w:rPr>
                <w:rFonts w:ascii="宋体" w:hAnsi="宋体" w:eastAsia="宋体"/>
                <w:sz w:val="16"/>
              </w:rPr>
              <w:t>&gt;=6次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0E62B2">
            <w:pPr>
              <w:jc w:val="center"/>
            </w:pPr>
            <w:r>
              <w:rPr>
                <w:rFonts w:ascii="宋体" w:hAnsi="宋体" w:eastAsia="宋体"/>
                <w:sz w:val="16"/>
              </w:rPr>
              <w:t>《地委专用通信局2024年工作计划》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2082E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4B57D">
            <w:pPr>
              <w:jc w:val="center"/>
            </w:pPr>
            <w:r>
              <w:rPr>
                <w:rFonts w:ascii="宋体" w:hAnsi="宋体" w:eastAsia="宋体"/>
                <w:sz w:val="16"/>
              </w:rPr>
              <w:t>5次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95C26B">
            <w:pPr>
              <w:jc w:val="center"/>
            </w:pPr>
            <w:r>
              <w:rPr>
                <w:rFonts w:ascii="宋体" w:hAnsi="宋体" w:eastAsia="宋体"/>
                <w:sz w:val="16"/>
              </w:rPr>
              <w:t>83.33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139A5">
            <w:pPr>
              <w:jc w:val="center"/>
            </w:pPr>
            <w:r>
              <w:rPr>
                <w:rFonts w:ascii="宋体" w:hAnsi="宋体" w:eastAsia="宋体"/>
                <w:sz w:val="16"/>
              </w:rPr>
              <w:t>8.33</w:t>
            </w:r>
          </w:p>
        </w:tc>
      </w:tr>
      <w:tr w14:paraId="7FF14A8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76128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4143F">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674CE">
            <w:pPr>
              <w:jc w:val="center"/>
            </w:pPr>
            <w:r>
              <w:rPr>
                <w:rFonts w:ascii="宋体" w:hAnsi="宋体" w:eastAsia="宋体"/>
                <w:sz w:val="16"/>
              </w:rPr>
              <w:t>党政专用通信系统故障率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D27B36">
            <w:pPr>
              <w:jc w:val="center"/>
            </w:pPr>
            <w:r>
              <w:rPr>
                <w:rFonts w:ascii="宋体" w:hAnsi="宋体" w:eastAsia="宋体"/>
                <w:sz w:val="16"/>
              </w:rPr>
              <w:t>&lt;=1%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AB9DC">
            <w:pPr>
              <w:jc w:val="center"/>
            </w:pPr>
            <w:r>
              <w:rPr>
                <w:rFonts w:ascii="宋体" w:hAnsi="宋体" w:eastAsia="宋体"/>
                <w:sz w:val="16"/>
              </w:rPr>
              <w:t>《地委专用通</w:t>
            </w:r>
            <w:r>
              <w:rPr>
                <w:rFonts w:hint="eastAsia" w:ascii="宋体" w:hAnsi="宋体"/>
                <w:sz w:val="16"/>
                <w:lang w:eastAsia="zh-CN"/>
              </w:rPr>
              <w:t>工作</w:t>
            </w:r>
            <w:r>
              <w:rPr>
                <w:rFonts w:ascii="宋体" w:hAnsi="宋体" w:eastAsia="宋体"/>
                <w:sz w:val="16"/>
              </w:rPr>
              <w:t>局</w:t>
            </w:r>
            <w:r>
              <w:rPr>
                <w:rFonts w:hint="eastAsia" w:ascii="宋体" w:hAnsi="宋体"/>
                <w:sz w:val="16"/>
                <w:lang w:eastAsia="zh-CN"/>
              </w:rPr>
              <w:t>“十四五”规划</w:t>
            </w:r>
            <w:r>
              <w:rPr>
                <w:rFonts w:ascii="宋体" w:hAnsi="宋体" w:eastAsia="宋体"/>
                <w:sz w:val="16"/>
              </w:rPr>
              <w:t>和2024年工作计划》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EB1B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8B6DC">
            <w:pPr>
              <w:jc w:val="center"/>
            </w:pPr>
            <w:r>
              <w:rPr>
                <w:rFonts w:ascii="宋体" w:hAnsi="宋体" w:eastAsia="宋体"/>
                <w:sz w:val="16"/>
              </w:rPr>
              <w:t>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CCDD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DC7EB">
            <w:pPr>
              <w:jc w:val="center"/>
            </w:pPr>
            <w:r>
              <w:rPr>
                <w:rFonts w:ascii="宋体" w:hAnsi="宋体" w:eastAsia="宋体"/>
                <w:sz w:val="16"/>
              </w:rPr>
              <w:t>10</w:t>
            </w:r>
          </w:p>
        </w:tc>
      </w:tr>
    </w:tbl>
    <w:p w14:paraId="65678170">
      <w:r>
        <w:br w:type="page"/>
      </w:r>
    </w:p>
    <w:p w14:paraId="60B63145">
      <w:pPr>
        <w:spacing w:line="640" w:lineRule="exact"/>
        <w:ind w:firstLine="640"/>
        <w:jc w:val="both"/>
        <w:outlineLvl w:val="2"/>
      </w:pPr>
      <w:r>
        <w:rPr>
          <w:rFonts w:ascii="黑体" w:hAnsi="黑体" w:eastAsia="黑体"/>
          <w:sz w:val="32"/>
        </w:rPr>
        <w:t>十二、其他需说明的事项</w:t>
      </w:r>
    </w:p>
    <w:p w14:paraId="68BC19EF">
      <w:pPr>
        <w:spacing w:line="580" w:lineRule="exact"/>
        <w:ind w:firstLine="640"/>
        <w:jc w:val="both"/>
      </w:pPr>
      <w:r>
        <w:rPr>
          <w:rFonts w:ascii="仿宋_GB2312" w:hAnsi="仿宋_GB2312" w:eastAsia="仿宋_GB2312"/>
          <w:b w:val="0"/>
          <w:sz w:val="32"/>
        </w:rPr>
        <w:t>本单位无其他需说明的事项。</w:t>
      </w:r>
    </w:p>
    <w:p w14:paraId="38E7DED6">
      <w:r>
        <w:br w:type="page"/>
      </w:r>
    </w:p>
    <w:p w14:paraId="0E1613AA">
      <w:pPr>
        <w:spacing w:line="240" w:lineRule="auto"/>
        <w:jc w:val="center"/>
        <w:outlineLvl w:val="1"/>
      </w:pPr>
      <w:r>
        <w:rPr>
          <w:rFonts w:ascii="黑体" w:hAnsi="黑体" w:eastAsia="黑体"/>
          <w:sz w:val="32"/>
        </w:rPr>
        <w:t>第三部分 专业名词解释</w:t>
      </w:r>
    </w:p>
    <w:p w14:paraId="2FF3E49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678759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403908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816FF7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D22983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721419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4E5333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9C83ED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9E42B7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908E79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A796D0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BD1AB1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4FDEA3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AFDE9F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3D8AA05">
      <w:r>
        <w:br w:type="page"/>
      </w:r>
    </w:p>
    <w:p w14:paraId="6C6A1C28">
      <w:pPr>
        <w:spacing w:line="240" w:lineRule="auto"/>
        <w:jc w:val="center"/>
        <w:outlineLvl w:val="1"/>
      </w:pPr>
      <w:r>
        <w:rPr>
          <w:rFonts w:ascii="黑体" w:hAnsi="黑体" w:eastAsia="黑体"/>
          <w:sz w:val="32"/>
        </w:rPr>
        <w:t>第四部分 部门决算报表（见附表）</w:t>
      </w:r>
    </w:p>
    <w:p w14:paraId="720B0BFC">
      <w:pPr>
        <w:spacing w:line="240" w:lineRule="auto"/>
        <w:ind w:firstLine="640"/>
        <w:jc w:val="both"/>
      </w:pPr>
      <w:r>
        <w:rPr>
          <w:rFonts w:ascii="仿宋_GB2312" w:hAnsi="仿宋_GB2312" w:eastAsia="仿宋_GB2312"/>
          <w:b w:val="0"/>
          <w:sz w:val="32"/>
        </w:rPr>
        <w:t>一、《收入支出决算总表》</w:t>
      </w:r>
    </w:p>
    <w:p w14:paraId="52FA7642">
      <w:pPr>
        <w:spacing w:line="240" w:lineRule="auto"/>
        <w:ind w:firstLine="640"/>
        <w:jc w:val="both"/>
      </w:pPr>
      <w:r>
        <w:rPr>
          <w:rFonts w:ascii="仿宋_GB2312" w:hAnsi="仿宋_GB2312" w:eastAsia="仿宋_GB2312"/>
          <w:b w:val="0"/>
          <w:sz w:val="32"/>
        </w:rPr>
        <w:t>二、《收入决算表》</w:t>
      </w:r>
    </w:p>
    <w:p w14:paraId="67A0B259">
      <w:pPr>
        <w:spacing w:line="240" w:lineRule="auto"/>
        <w:ind w:firstLine="640"/>
        <w:jc w:val="both"/>
      </w:pPr>
      <w:r>
        <w:rPr>
          <w:rFonts w:ascii="仿宋_GB2312" w:hAnsi="仿宋_GB2312" w:eastAsia="仿宋_GB2312"/>
          <w:b w:val="0"/>
          <w:sz w:val="32"/>
        </w:rPr>
        <w:t>三、《支出决算表》</w:t>
      </w:r>
    </w:p>
    <w:p w14:paraId="1E49E0E9">
      <w:pPr>
        <w:spacing w:line="240" w:lineRule="auto"/>
        <w:ind w:firstLine="640"/>
        <w:jc w:val="both"/>
      </w:pPr>
      <w:r>
        <w:rPr>
          <w:rFonts w:ascii="仿宋_GB2312" w:hAnsi="仿宋_GB2312" w:eastAsia="仿宋_GB2312"/>
          <w:b w:val="0"/>
          <w:sz w:val="32"/>
        </w:rPr>
        <w:t>四、《财政拨款收入支出决算总表》</w:t>
      </w:r>
    </w:p>
    <w:p w14:paraId="0265DF68">
      <w:pPr>
        <w:spacing w:line="240" w:lineRule="auto"/>
        <w:ind w:firstLine="640"/>
        <w:jc w:val="both"/>
      </w:pPr>
      <w:r>
        <w:rPr>
          <w:rFonts w:ascii="仿宋_GB2312" w:hAnsi="仿宋_GB2312" w:eastAsia="仿宋_GB2312"/>
          <w:b w:val="0"/>
          <w:sz w:val="32"/>
        </w:rPr>
        <w:t>五、《一般公共预算财政拨款支出决算表》</w:t>
      </w:r>
    </w:p>
    <w:p w14:paraId="669153C0">
      <w:pPr>
        <w:spacing w:line="240" w:lineRule="auto"/>
        <w:ind w:firstLine="640"/>
        <w:jc w:val="both"/>
      </w:pPr>
      <w:r>
        <w:rPr>
          <w:rFonts w:ascii="仿宋_GB2312" w:hAnsi="仿宋_GB2312" w:eastAsia="仿宋_GB2312"/>
          <w:b w:val="0"/>
          <w:sz w:val="32"/>
        </w:rPr>
        <w:t>六、《一般公共预算财政拨款基本支出决算表》</w:t>
      </w:r>
    </w:p>
    <w:p w14:paraId="46B1B804">
      <w:pPr>
        <w:spacing w:line="240" w:lineRule="auto"/>
        <w:ind w:firstLine="640"/>
        <w:jc w:val="both"/>
      </w:pPr>
      <w:r>
        <w:rPr>
          <w:rFonts w:ascii="仿宋_GB2312" w:hAnsi="仿宋_GB2312" w:eastAsia="仿宋_GB2312"/>
          <w:b w:val="0"/>
          <w:sz w:val="32"/>
        </w:rPr>
        <w:t>七、《政府性基金预算财政拨款收入支出决算表》</w:t>
      </w:r>
    </w:p>
    <w:p w14:paraId="371DED08">
      <w:pPr>
        <w:spacing w:line="240" w:lineRule="auto"/>
        <w:ind w:firstLine="640"/>
        <w:jc w:val="both"/>
      </w:pPr>
      <w:r>
        <w:rPr>
          <w:rFonts w:ascii="仿宋_GB2312" w:hAnsi="仿宋_GB2312" w:eastAsia="仿宋_GB2312"/>
          <w:b w:val="0"/>
          <w:sz w:val="32"/>
        </w:rPr>
        <w:t>八、《国有资本经营预算财政拨款收入支出决算表》</w:t>
      </w:r>
    </w:p>
    <w:p w14:paraId="164B5F07">
      <w:pPr>
        <w:spacing w:line="240" w:lineRule="auto"/>
        <w:ind w:firstLine="640"/>
        <w:jc w:val="both"/>
      </w:pPr>
      <w:r>
        <w:rPr>
          <w:rFonts w:ascii="仿宋_GB2312" w:hAnsi="仿宋_GB2312" w:eastAsia="仿宋_GB2312"/>
          <w:b w:val="0"/>
          <w:sz w:val="32"/>
        </w:rPr>
        <w:t>九、《财政拨款“三公”经费支出决算表》</w:t>
      </w:r>
    </w:p>
    <w:p w14:paraId="55426C95">
      <w:pPr>
        <w:spacing w:line="240" w:lineRule="auto"/>
        <w:ind w:firstLine="640"/>
        <w:jc w:val="both"/>
      </w:pPr>
    </w:p>
    <w:p w14:paraId="5381448A">
      <w:pPr>
        <w:spacing w:line="240" w:lineRule="auto"/>
        <w:ind w:firstLine="640"/>
        <w:jc w:val="both"/>
      </w:pPr>
    </w:p>
    <w:p w14:paraId="155194DA">
      <w:pPr>
        <w:spacing w:line="240" w:lineRule="auto"/>
        <w:ind w:firstLine="640"/>
        <w:jc w:val="both"/>
      </w:pPr>
    </w:p>
    <w:p w14:paraId="310C682F">
      <w:pPr>
        <w:spacing w:line="240" w:lineRule="auto"/>
        <w:ind w:firstLine="640"/>
        <w:jc w:val="both"/>
      </w:pPr>
    </w:p>
    <w:p w14:paraId="0DA7FD9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B7EC566-A4BD-41D5-9EA3-1A2875FBD02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83AD492F-8E50-4A71-A9B7-8FA48D12D9CF}"/>
  </w:font>
  <w:font w:name="仿宋_GB2312">
    <w:panose1 w:val="02010609030101010101"/>
    <w:charset w:val="86"/>
    <w:family w:val="modern"/>
    <w:pitch w:val="default"/>
    <w:sig w:usb0="00000001" w:usb1="080E0000" w:usb2="00000000" w:usb3="00000000" w:csb0="00040000" w:csb1="00000000"/>
    <w:embedRegular r:id="rId3" w:fontKey="{641D3630-3396-4738-B59F-D528BD36DC9A}"/>
  </w:font>
  <w:font w:name="楷体_GB2312">
    <w:panose1 w:val="02010609030101010101"/>
    <w:charset w:val="86"/>
    <w:family w:val="auto"/>
    <w:pitch w:val="default"/>
    <w:sig w:usb0="00000001" w:usb1="080E0000" w:usb2="00000000" w:usb3="00000000" w:csb0="00040000" w:csb1="00000000"/>
    <w:embedRegular r:id="rId4" w:fontKey="{7F1806A5-6628-46F4-95A5-39EEEC357411}"/>
  </w:font>
  <w:font w:name="WPSEMBED1">
    <w:panose1 w:val="02010609030101010101"/>
    <w:charset w:val="86"/>
    <w:family w:val="auto"/>
    <w:pitch w:val="default"/>
    <w:sig w:usb0="00000001" w:usb1="080E0000" w:usb2="00000000" w:usb3="00000000" w:csb0="00040000" w:csb1="00000000"/>
  </w:font>
  <w:font w:name="WPSEMBED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58B1655"/>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1B87841"/>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5964</Words>
  <Characters>6609</Characters>
  <Lines>0</Lines>
  <Paragraphs>0</Paragraphs>
  <TotalTime>10</TotalTime>
  <ScaleCrop>false</ScaleCrop>
  <LinksUpToDate>false</LinksUpToDate>
  <CharactersWithSpaces>6617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别忘记小婷_</cp:lastModifiedBy>
  <cp:lastPrinted>2024-07-22T11:58:00Z</cp:lastPrinted>
  <dcterms:modified xsi:type="dcterms:W3CDTF">2025-09-03T10:54:11Z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eyJoZGlkIjoiODcwM2IwZTUyMTZkNzUwMjBkODQ1YzM3NzM1MTVlMjIiLCJ1c2VySWQiOiIxMDY0NzI0MTYxIn0=</vt:lpwstr>
  </property>
</Properties>
</file>