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27DA89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中共喀什地区委员会社会工作部2024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458F21">
      <w:r>
        <w:br w:type="page"/>
      </w:r>
    </w:p>
    <w:p w14:paraId="2F6D0DCD">
      <w:pPr>
        <w:spacing w:line="640" w:lineRule="exact"/>
        <w:jc w:val="center"/>
        <w:outlineLvl w:val="1"/>
      </w:pPr>
      <w:r>
        <w:rPr>
          <w:rFonts w:ascii="黑体" w:hAnsi="黑体" w:eastAsia="黑体"/>
          <w:sz w:val="32"/>
        </w:rPr>
        <w:t>第一部分 单位概况</w:t>
      </w:r>
    </w:p>
    <w:p w14:paraId="0056A946">
      <w:pPr>
        <w:spacing w:line="640" w:lineRule="exact"/>
        <w:ind w:firstLine="640"/>
        <w:jc w:val="both"/>
        <w:outlineLvl w:val="2"/>
      </w:pPr>
      <w:r>
        <w:rPr>
          <w:rFonts w:ascii="黑体" w:hAnsi="黑体" w:eastAsia="黑体"/>
          <w:sz w:val="32"/>
        </w:rPr>
        <w:t>一、主要职能</w:t>
      </w:r>
    </w:p>
    <w:p w14:paraId="1998A813">
      <w:pPr>
        <w:spacing w:line="580" w:lineRule="exact"/>
        <w:ind w:firstLine="640"/>
        <w:jc w:val="both"/>
      </w:pPr>
      <w:r>
        <w:rPr>
          <w:rFonts w:ascii="仿宋_GB2312" w:hAnsi="仿宋_GB2312" w:eastAsia="仿宋_GB2312"/>
          <w:sz w:val="32"/>
        </w:rPr>
        <w:t>（一）研究相关理论、政策和规划，拟订相关规范性文件并组织实施。深入调查研究，及时向地委报告工作情况并提出建议。指导县市委社会工作部门开展工作。</w:t>
      </w:r>
    </w:p>
    <w:p w14:paraId="40B54669">
      <w:pPr>
        <w:spacing w:line="580" w:lineRule="exact"/>
        <w:ind w:firstLine="640"/>
        <w:jc w:val="both"/>
      </w:pPr>
      <w:r>
        <w:rPr>
          <w:rFonts w:ascii="仿宋_GB2312" w:hAnsi="仿宋_GB2312" w:eastAsia="仿宋_GB2312"/>
          <w:sz w:val="32"/>
        </w:rPr>
        <w:t>（二）统筹指导群众利益协调、诉求表达、矛盾调处、权益保障等人民信访工作，协调解决人民群众急难愁盼的重大问题。指导人民建议征集工作，负责征集、办理公民、法人和其他组织提出的意见建议，向地委、行署及时反映公民、法人和其他组织对党和国家、自治区、地区各项事业发展提出的重要意见建议。</w:t>
      </w:r>
    </w:p>
    <w:p w14:paraId="03297283">
      <w:pPr>
        <w:spacing w:line="580" w:lineRule="exact"/>
        <w:ind w:firstLine="640"/>
        <w:jc w:val="both"/>
      </w:pPr>
      <w:r>
        <w:rPr>
          <w:rFonts w:ascii="仿宋_GB2312" w:hAnsi="仿宋_GB2312" w:eastAsia="仿宋_GB2312"/>
          <w:sz w:val="32"/>
        </w:rPr>
        <w:t>（三）统筹推进党建引领基层治理和基层政权建设，协调推进城乡社区治理体系和治理能力建设，推进基层民主政治建设，指导监督基层群众自治制度的有效实施，健全基层群众自治机制。</w:t>
      </w:r>
    </w:p>
    <w:p w14:paraId="443237AA">
      <w:pPr>
        <w:spacing w:line="580" w:lineRule="exact"/>
        <w:ind w:firstLine="640"/>
        <w:jc w:val="both"/>
      </w:pPr>
      <w:r>
        <w:rPr>
          <w:rFonts w:ascii="仿宋_GB2312" w:hAnsi="仿宋_GB2312" w:eastAsia="仿宋_GB2312"/>
          <w:sz w:val="32"/>
        </w:rPr>
        <w:t>（四）指导全地区社会组织党建工作，统一领导地区性行业协会商会党的工作，协调推进行业协会商会深化改革和转型发展。</w:t>
      </w:r>
    </w:p>
    <w:p w14:paraId="1654E289">
      <w:pPr>
        <w:spacing w:line="580" w:lineRule="exact"/>
        <w:ind w:firstLine="640"/>
        <w:jc w:val="both"/>
      </w:pPr>
      <w:r>
        <w:rPr>
          <w:rFonts w:ascii="仿宋_GB2312" w:hAnsi="仿宋_GB2312" w:eastAsia="仿宋_GB2312"/>
          <w:sz w:val="32"/>
        </w:rPr>
        <w:t>（五）指导全地区混合所有制企业、非公有制企业和新经济组织、新社会组织、新就业群体党建工作，指导协调相关企业单位、社会组织、就业群体中党员的教育、管理、监督和服务工作，研究完善相关领域群众利益协调机制。</w:t>
      </w:r>
    </w:p>
    <w:p w14:paraId="32CD9F86">
      <w:pPr>
        <w:spacing w:line="580" w:lineRule="exact"/>
        <w:ind w:firstLine="640"/>
        <w:jc w:val="both"/>
      </w:pPr>
      <w:r>
        <w:rPr>
          <w:rFonts w:ascii="仿宋_GB2312" w:hAnsi="仿宋_GB2312" w:eastAsia="仿宋_GB2312"/>
          <w:sz w:val="32"/>
        </w:rPr>
        <w:t>（六）负责全地区志愿服务工作的统筹规划、协调指导、督促检查。指导社会工作人才队伍建设。</w:t>
      </w:r>
    </w:p>
    <w:p w14:paraId="5C74057B">
      <w:pPr>
        <w:spacing w:line="580" w:lineRule="exact"/>
        <w:ind w:firstLine="640"/>
        <w:jc w:val="both"/>
      </w:pPr>
      <w:r>
        <w:rPr>
          <w:rFonts w:ascii="仿宋_GB2312" w:hAnsi="仿宋_GB2312" w:eastAsia="仿宋_GB2312"/>
          <w:sz w:val="32"/>
        </w:rPr>
        <w:t>（七）完成地委交办的其他任务。</w:t>
      </w:r>
    </w:p>
    <w:p w14:paraId="30A5616D">
      <w:pPr>
        <w:spacing w:line="640" w:lineRule="exact"/>
        <w:ind w:firstLine="640"/>
        <w:jc w:val="both"/>
        <w:outlineLvl w:val="2"/>
      </w:pPr>
      <w:r>
        <w:rPr>
          <w:rFonts w:ascii="黑体" w:hAnsi="黑体" w:eastAsia="黑体"/>
          <w:sz w:val="32"/>
        </w:rPr>
        <w:t>二、机构设置及人员情况</w:t>
      </w:r>
    </w:p>
    <w:p w14:paraId="5B84C64F">
      <w:pPr>
        <w:spacing w:line="580" w:lineRule="exact"/>
        <w:ind w:firstLine="640"/>
        <w:jc w:val="both"/>
      </w:pPr>
      <w:r>
        <w:rPr>
          <w:rFonts w:ascii="仿宋_GB2312" w:hAnsi="仿宋_GB2312" w:eastAsia="仿宋_GB2312"/>
          <w:sz w:val="32"/>
        </w:rPr>
        <w:t>中共喀什地区委员会社会工作部2024年度，实有人数7人，其中：在职人员7人，增加7人；离休人员0人，增加0人；退休人员0人,增加0人。</w:t>
      </w:r>
    </w:p>
    <w:p w14:paraId="4083470D">
      <w:pPr>
        <w:spacing w:line="580" w:lineRule="exact"/>
        <w:ind w:firstLine="640"/>
        <w:jc w:val="both"/>
      </w:pPr>
      <w:r>
        <w:rPr>
          <w:rFonts w:ascii="仿宋_GB2312" w:hAnsi="仿宋_GB2312" w:eastAsia="仿宋_GB2312"/>
          <w:sz w:val="32"/>
        </w:rPr>
        <w:t>中共喀什地区委员会社会工作部无下属预算单位，下设5个科室，分别是：办公室、基层治理科、基层政权建设科、“两企三新”党建工作科、社会工作和志愿服务科。</w:t>
      </w:r>
    </w:p>
    <w:p w14:paraId="5BF36A68">
      <w:r>
        <w:br w:type="page"/>
      </w:r>
    </w:p>
    <w:p w14:paraId="2FFA9865">
      <w:pPr>
        <w:spacing w:line="240" w:lineRule="auto"/>
        <w:jc w:val="center"/>
        <w:outlineLvl w:val="1"/>
      </w:pPr>
      <w:r>
        <w:rPr>
          <w:rFonts w:ascii="黑体" w:hAnsi="黑体" w:eastAsia="黑体"/>
          <w:sz w:val="32"/>
        </w:rPr>
        <w:t>第二部分 部门决算情况说明</w:t>
      </w:r>
    </w:p>
    <w:p w14:paraId="454B85B9">
      <w:pPr>
        <w:spacing w:line="640" w:lineRule="exact"/>
        <w:ind w:firstLine="640"/>
        <w:jc w:val="both"/>
        <w:outlineLvl w:val="2"/>
      </w:pPr>
      <w:r>
        <w:rPr>
          <w:rFonts w:ascii="黑体" w:hAnsi="黑体" w:eastAsia="黑体"/>
          <w:sz w:val="32"/>
        </w:rPr>
        <w:t>一、收入支出决算总体情况说明</w:t>
      </w:r>
    </w:p>
    <w:p w14:paraId="6C413112">
      <w:pPr>
        <w:spacing w:line="580" w:lineRule="exact"/>
        <w:ind w:firstLine="640"/>
        <w:jc w:val="both"/>
      </w:pPr>
      <w:r>
        <w:rPr>
          <w:rFonts w:ascii="仿宋_GB2312" w:hAnsi="仿宋_GB2312" w:eastAsia="仿宋_GB2312"/>
          <w:b/>
          <w:sz w:val="32"/>
        </w:rPr>
        <w:t>2024年度收入总计61.51万元，</w:t>
      </w:r>
      <w:r>
        <w:rPr>
          <w:rFonts w:ascii="仿宋_GB2312" w:hAnsi="仿宋_GB2312" w:eastAsia="仿宋_GB2312"/>
          <w:b w:val="0"/>
          <w:sz w:val="32"/>
        </w:rPr>
        <w:t>其中：本年收入合计61.51万元，使用非财政拨款结余（含专用结余）0.00万元，年初结转和结余0.00万元。</w:t>
      </w:r>
    </w:p>
    <w:p w14:paraId="06D8C9CE">
      <w:pPr>
        <w:spacing w:line="580" w:lineRule="exact"/>
        <w:ind w:firstLine="640"/>
        <w:jc w:val="both"/>
      </w:pPr>
      <w:r>
        <w:rPr>
          <w:rFonts w:ascii="仿宋_GB2312" w:hAnsi="仿宋_GB2312" w:eastAsia="仿宋_GB2312"/>
          <w:b/>
          <w:sz w:val="32"/>
        </w:rPr>
        <w:t>2024年度支出总计61.51万元，</w:t>
      </w:r>
      <w:r>
        <w:rPr>
          <w:rFonts w:ascii="仿宋_GB2312" w:hAnsi="仿宋_GB2312" w:eastAsia="仿宋_GB2312"/>
          <w:b w:val="0"/>
          <w:sz w:val="32"/>
        </w:rPr>
        <w:t>其中：本年支出合计61.51万元，结余分配0.00万元，年末结转和结余0.00万元。</w:t>
      </w:r>
    </w:p>
    <w:p w14:paraId="2544F821">
      <w:pPr>
        <w:spacing w:line="580" w:lineRule="exact"/>
        <w:ind w:firstLine="640"/>
        <w:jc w:val="both"/>
      </w:pPr>
      <w:r>
        <w:rPr>
          <w:rFonts w:ascii="仿宋_GB2312" w:hAnsi="仿宋_GB2312" w:eastAsia="仿宋_GB2312"/>
          <w:b w:val="0"/>
          <w:sz w:val="32"/>
        </w:rPr>
        <w:t>收入支出总体与上年相比，增加61.51万元，增长100.00%，主要原因是：本年为新增单位，无上年对比数据。</w:t>
      </w:r>
    </w:p>
    <w:p w14:paraId="1925EBBD">
      <w:pPr>
        <w:spacing w:line="640" w:lineRule="exact"/>
        <w:ind w:firstLine="640"/>
        <w:jc w:val="both"/>
        <w:outlineLvl w:val="2"/>
      </w:pPr>
      <w:r>
        <w:rPr>
          <w:rFonts w:ascii="黑体" w:hAnsi="黑体" w:eastAsia="黑体"/>
          <w:sz w:val="32"/>
        </w:rPr>
        <w:t>二、收入决算情况说明</w:t>
      </w:r>
    </w:p>
    <w:p w14:paraId="06FC4871">
      <w:pPr>
        <w:spacing w:line="580" w:lineRule="exact"/>
        <w:ind w:firstLine="640"/>
        <w:jc w:val="both"/>
      </w:pPr>
      <w:r>
        <w:rPr>
          <w:rFonts w:ascii="仿宋_GB2312" w:hAnsi="仿宋_GB2312" w:eastAsia="仿宋_GB2312"/>
          <w:b/>
          <w:sz w:val="32"/>
        </w:rPr>
        <w:t>本年收入61.51万元，</w:t>
      </w:r>
      <w:r>
        <w:rPr>
          <w:rFonts w:ascii="仿宋_GB2312" w:hAnsi="仿宋_GB2312" w:eastAsia="仿宋_GB2312"/>
          <w:b w:val="0"/>
          <w:sz w:val="32"/>
        </w:rPr>
        <w:t>其中：财政拨款收入61.51万元，占100.00%；上级补助收入0.00万元，占0.00%；事业收入0.00万元，占0.00%；经营收入0.00万元，占0.00%；附属单位上缴收入0.00万元，占0.00%；其他收入0.00万元，占0.00%。</w:t>
      </w:r>
    </w:p>
    <w:p w14:paraId="38C7DFB3">
      <w:pPr>
        <w:spacing w:line="640" w:lineRule="exact"/>
        <w:ind w:firstLine="640"/>
        <w:jc w:val="both"/>
        <w:outlineLvl w:val="2"/>
      </w:pPr>
      <w:r>
        <w:rPr>
          <w:rFonts w:ascii="黑体" w:hAnsi="黑体" w:eastAsia="黑体"/>
          <w:sz w:val="32"/>
        </w:rPr>
        <w:t>三、支出决算情况说明</w:t>
      </w:r>
    </w:p>
    <w:p w14:paraId="12F92F7D">
      <w:pPr>
        <w:spacing w:line="580" w:lineRule="exact"/>
        <w:ind w:firstLine="640"/>
        <w:jc w:val="both"/>
      </w:pPr>
      <w:r>
        <w:rPr>
          <w:rFonts w:ascii="仿宋_GB2312" w:hAnsi="仿宋_GB2312" w:eastAsia="仿宋_GB2312"/>
          <w:b/>
          <w:sz w:val="32"/>
        </w:rPr>
        <w:t>本年支出61.51万元，</w:t>
      </w:r>
      <w:r>
        <w:rPr>
          <w:rFonts w:ascii="仿宋_GB2312" w:hAnsi="仿宋_GB2312" w:eastAsia="仿宋_GB2312"/>
          <w:b w:val="0"/>
          <w:sz w:val="32"/>
        </w:rPr>
        <w:t>其中：基本支出33.85万元，占55.03%；项目支出27.65万元，占44.95%；上缴上级支出0.00万元，占0.00%；经营支出0.00万元，占0.00%；对附属单位补助支出0.00万元，占0.00%。</w:t>
      </w:r>
    </w:p>
    <w:p w14:paraId="523C875D">
      <w:pPr>
        <w:spacing w:line="640" w:lineRule="exact"/>
        <w:ind w:firstLine="640"/>
        <w:jc w:val="both"/>
        <w:outlineLvl w:val="2"/>
      </w:pPr>
      <w:r>
        <w:rPr>
          <w:rFonts w:ascii="黑体" w:hAnsi="黑体" w:eastAsia="黑体"/>
          <w:sz w:val="32"/>
        </w:rPr>
        <w:t>四、财政拨款收入支出决算总体情况说明</w:t>
      </w:r>
    </w:p>
    <w:p w14:paraId="42CF6C12">
      <w:pPr>
        <w:spacing w:line="580" w:lineRule="exact"/>
        <w:ind w:firstLine="640"/>
        <w:jc w:val="both"/>
      </w:pPr>
      <w:r>
        <w:rPr>
          <w:rFonts w:ascii="仿宋_GB2312" w:hAnsi="仿宋_GB2312" w:eastAsia="仿宋_GB2312"/>
          <w:b/>
          <w:sz w:val="32"/>
        </w:rPr>
        <w:t>2024年度财政拨款收入总计61.51万元，</w:t>
      </w:r>
      <w:r>
        <w:rPr>
          <w:rFonts w:ascii="仿宋_GB2312" w:hAnsi="仿宋_GB2312" w:eastAsia="仿宋_GB2312"/>
          <w:b w:val="0"/>
          <w:sz w:val="32"/>
        </w:rPr>
        <w:t>其中：年初财政拨款结转和结余0.00万元，本年财政拨款收入61.51万元。</w:t>
      </w:r>
      <w:r>
        <w:rPr>
          <w:rFonts w:ascii="仿宋_GB2312" w:hAnsi="仿宋_GB2312" w:eastAsia="仿宋_GB2312"/>
          <w:b/>
          <w:sz w:val="32"/>
        </w:rPr>
        <w:t>财政拨款支出总计61.51万元，</w:t>
      </w:r>
      <w:r>
        <w:rPr>
          <w:rFonts w:ascii="仿宋_GB2312" w:hAnsi="仿宋_GB2312" w:eastAsia="仿宋_GB2312"/>
          <w:b w:val="0"/>
          <w:sz w:val="32"/>
        </w:rPr>
        <w:t>其中：年末财政拨款结转和结余0.00万元，本年财政拨款支出61.51万元。</w:t>
      </w:r>
    </w:p>
    <w:p w14:paraId="3222078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增加61.51万元，增长100.00%，主要原因是：本年为新增单位，无上年对比数据。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年初预算数0.00万元，决算数61.51万元，预决算差异率100.00%，主要原因是：本年在职人员增加，年中追加人员经费，导致预决算存在差异。</w:t>
      </w:r>
    </w:p>
    <w:p w14:paraId="15752433">
      <w:pPr>
        <w:spacing w:line="640" w:lineRule="exact"/>
        <w:ind w:firstLine="640"/>
        <w:jc w:val="both"/>
        <w:outlineLvl w:val="2"/>
      </w:pPr>
      <w:r>
        <w:rPr>
          <w:rFonts w:ascii="黑体" w:hAnsi="黑体" w:eastAsia="黑体"/>
          <w:sz w:val="32"/>
        </w:rPr>
        <w:t>五、一般公共预算财政拨款支出决算情况说明</w:t>
      </w:r>
    </w:p>
    <w:p w14:paraId="5585641D">
      <w:pPr>
        <w:spacing w:line="640" w:lineRule="exact"/>
        <w:ind w:firstLine="640"/>
        <w:jc w:val="both"/>
        <w:outlineLvl w:val="3"/>
      </w:pPr>
      <w:r>
        <w:rPr>
          <w:rFonts w:ascii="楷体_GB2312" w:hAnsi="楷体_GB2312" w:eastAsia="楷体_GB2312"/>
          <w:b/>
          <w:sz w:val="32"/>
        </w:rPr>
        <w:t>（一）一般公共预算财政拨款支出决算总体情况</w:t>
      </w:r>
    </w:p>
    <w:p w14:paraId="01D6A033">
      <w:pPr>
        <w:spacing w:line="580" w:lineRule="exact"/>
        <w:ind w:firstLine="640"/>
        <w:jc w:val="both"/>
      </w:pPr>
      <w:r>
        <w:rPr>
          <w:rFonts w:ascii="仿宋_GB2312" w:hAnsi="仿宋_GB2312" w:eastAsia="仿宋_GB2312"/>
          <w:b/>
          <w:sz w:val="32"/>
        </w:rPr>
        <w:t>2024年度一般公共预算财政拨款支出61.51万元，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增加61.51万元，增长100.00%，主要原因是：本年为新增单位，无上年对比数据。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年初预算数0.00万元，决算数61.51万元，预决算差异率100.00%，主要原因是：本年在职人员增加，年中追加人员经费，导致预决算存在差异。</w:t>
      </w:r>
    </w:p>
    <w:p w14:paraId="5EBD81D5">
      <w:pPr>
        <w:spacing w:line="640" w:lineRule="exact"/>
        <w:ind w:firstLine="640"/>
        <w:jc w:val="both"/>
        <w:outlineLvl w:val="3"/>
      </w:pPr>
      <w:r>
        <w:rPr>
          <w:rFonts w:ascii="楷体_GB2312" w:hAnsi="楷体_GB2312" w:eastAsia="楷体_GB2312"/>
          <w:b/>
          <w:sz w:val="32"/>
        </w:rPr>
        <w:t>（二）一般公共预算财政拨款支出决算结构情况</w:t>
      </w:r>
    </w:p>
    <w:p w14:paraId="066903F2">
      <w:pPr>
        <w:spacing w:line="580" w:lineRule="exact"/>
        <w:ind w:firstLine="640"/>
        <w:jc w:val="both"/>
      </w:pPr>
      <w:r>
        <w:rPr>
          <w:rFonts w:ascii="仿宋_GB2312" w:hAnsi="仿宋_GB2312" w:eastAsia="仿宋_GB2312"/>
          <w:b w:val="0"/>
          <w:sz w:val="32"/>
        </w:rPr>
        <w:t>1.一般公共服务支出(类)53.44万元,占86.88%。</w:t>
      </w:r>
    </w:p>
    <w:p w14:paraId="185D94F6">
      <w:pPr>
        <w:spacing w:line="580" w:lineRule="exact"/>
        <w:ind w:firstLine="640"/>
        <w:jc w:val="both"/>
      </w:pPr>
      <w:r>
        <w:rPr>
          <w:rFonts w:ascii="仿宋_GB2312" w:hAnsi="仿宋_GB2312" w:eastAsia="仿宋_GB2312"/>
          <w:b w:val="0"/>
          <w:sz w:val="32"/>
        </w:rPr>
        <w:t>2.社会保障和就业支出(类)3.22万元,占5.23%。</w:t>
      </w:r>
    </w:p>
    <w:p w14:paraId="1D5457B5">
      <w:pPr>
        <w:spacing w:line="580" w:lineRule="exact"/>
        <w:ind w:firstLine="640"/>
        <w:jc w:val="both"/>
      </w:pPr>
      <w:r>
        <w:rPr>
          <w:rFonts w:ascii="仿宋_GB2312" w:hAnsi="仿宋_GB2312" w:eastAsia="仿宋_GB2312"/>
          <w:b w:val="0"/>
          <w:sz w:val="32"/>
        </w:rPr>
        <w:t>3.卫生健康支出(类)1.77万元,占2.88%。</w:t>
      </w:r>
    </w:p>
    <w:p w14:paraId="7B9D9010">
      <w:pPr>
        <w:spacing w:line="580" w:lineRule="exact"/>
        <w:ind w:firstLine="640"/>
        <w:jc w:val="both"/>
      </w:pPr>
      <w:r>
        <w:rPr>
          <w:rFonts w:ascii="仿宋_GB2312" w:hAnsi="仿宋_GB2312" w:eastAsia="仿宋_GB2312"/>
          <w:b w:val="0"/>
          <w:sz w:val="32"/>
        </w:rPr>
        <w:t>4.住房保障支出(类)3.08万元,占5.01%。</w:t>
      </w:r>
    </w:p>
    <w:p w14:paraId="14AE6018">
      <w:pPr>
        <w:spacing w:line="640" w:lineRule="exact"/>
        <w:ind w:firstLine="640"/>
        <w:jc w:val="both"/>
        <w:outlineLvl w:val="3"/>
      </w:pPr>
      <w:r>
        <w:rPr>
          <w:rFonts w:ascii="楷体_GB2312" w:hAnsi="楷体_GB2312" w:eastAsia="楷体_GB2312"/>
          <w:b/>
          <w:sz w:val="32"/>
        </w:rPr>
        <w:t>（三）一般公共预算财政拨款支出决算具体情况</w:t>
      </w:r>
    </w:p>
    <w:p w14:paraId="5C95C417">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1.一般公共服务支出(类)党委办公厅（室）及相关机构事务(款)行政运行(项):支出决算数为25.79万元，比上年决算增加25.79万元，增长100.00%,主要原因是：本年为新增单位，无上年对比数据。</w:t>
      </w:r>
    </w:p>
    <w:p w14:paraId="1032279F">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2.一般公共服务支出(类)党委办公厅（室）及相关机构事务(款)一般行政管理事务(项):支出决算数为27.65万元，比上年决算增加27.65万元，增长100.00%,主要原因是：本年为新增单位，无上年对比数据。</w:t>
      </w:r>
    </w:p>
    <w:p w14:paraId="5182CE2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3.社会保障和就业支出(类)行政事业单位养老支出(款)机关事业单位基本养老保险缴费支出(项):支出决算数为3.22万元，比上年决算增加3.22万元，增长100.00%,主要原因是：本年为新增单位，无上年对比数据。</w:t>
      </w:r>
    </w:p>
    <w:p w14:paraId="2CA9885E">
      <w:pPr>
        <w:spacing w:line="580" w:lineRule="exact"/>
        <w:ind w:firstLine="640"/>
        <w:jc w:val="both"/>
      </w:pPr>
      <w:r>
        <w:rPr>
          <w:rFonts w:ascii="仿宋_GB2312" w:hAnsi="仿宋_GB2312" w:eastAsia="仿宋_GB2312"/>
          <w:b w:val="0"/>
          <w:sz w:val="32"/>
        </w:rPr>
        <w:t>4.卫生健康支出(类)行政事业单位医疗(款)行政单位医疗(项):支出决算数为1.37万元，比上年决算增加1.37万元，增长100.00%,主要原因是：本年为新增单位，无上年对比数据。</w:t>
      </w:r>
    </w:p>
    <w:p w14:paraId="1D1F9EC1">
      <w:pPr>
        <w:spacing w:line="580" w:lineRule="exact"/>
        <w:ind w:firstLine="640"/>
        <w:jc w:val="both"/>
      </w:pPr>
      <w:r>
        <w:rPr>
          <w:rFonts w:ascii="仿宋_GB2312" w:hAnsi="仿宋_GB2312" w:eastAsia="仿宋_GB2312"/>
          <w:b w:val="0"/>
          <w:sz w:val="32"/>
        </w:rPr>
        <w:t>5.卫生健康支出(类)行政事业单位医疗(款)公务员医疗补助(项):支出决算数为0.40万元，比上年决算增加0.40万元，增长100.00%,主要原因是：本年为新增单位，无上年对比数据。</w:t>
      </w:r>
    </w:p>
    <w:p w14:paraId="30C2F5E9">
      <w:pPr>
        <w:spacing w:line="580" w:lineRule="exact"/>
        <w:ind w:firstLine="640"/>
        <w:jc w:val="both"/>
      </w:pPr>
      <w:r>
        <w:rPr>
          <w:rFonts w:ascii="仿宋_GB2312" w:hAnsi="仿宋_GB2312" w:eastAsia="仿宋_GB2312"/>
          <w:b w:val="0"/>
          <w:sz w:val="32"/>
        </w:rPr>
        <w:t>6.住房保障支出(类)住房改革支出(款)住房公积金(项):支出决算数为3.08万元，比上年决算增加3.08万元，增长100.00%,主要原因是：本年为新增单位，无上年对比数据。</w:t>
      </w:r>
    </w:p>
    <w:p w14:paraId="1D21505A">
      <w:pPr>
        <w:spacing w:line="640" w:lineRule="exact"/>
        <w:ind w:firstLine="640"/>
        <w:jc w:val="both"/>
        <w:outlineLvl w:val="2"/>
      </w:pPr>
      <w:r>
        <w:rPr>
          <w:rFonts w:ascii="黑体" w:hAnsi="黑体" w:eastAsia="黑体"/>
          <w:sz w:val="32"/>
        </w:rPr>
        <w:t>六、一般公共预算财政拨款基本支出决算情况说明</w:t>
      </w:r>
    </w:p>
    <w:p w14:paraId="7F56A8AB">
      <w:pPr>
        <w:spacing w:line="580" w:lineRule="exact"/>
        <w:ind w:firstLine="640"/>
        <w:jc w:val="both"/>
      </w:pPr>
      <w:r>
        <w:rPr>
          <w:rFonts w:ascii="仿宋_GB2312" w:hAnsi="仿宋_GB2312" w:eastAsia="仿宋_GB2312"/>
          <w:b w:val="0"/>
          <w:sz w:val="32"/>
        </w:rPr>
        <w:t>2024年度一般公共预算财政拨款基本支出33.85万元，其中：</w:t>
      </w:r>
      <w:r>
        <w:rPr>
          <w:rFonts w:ascii="仿宋_GB2312" w:hAnsi="仿宋_GB2312" w:eastAsia="仿宋_GB2312"/>
          <w:b/>
          <w:sz w:val="32"/>
        </w:rPr>
        <w:t>人员经费31.76万元，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14:paraId="522AFDFE">
      <w:pPr>
        <w:spacing w:line="580" w:lineRule="exact"/>
        <w:ind w:firstLine="640"/>
        <w:jc w:val="both"/>
      </w:pPr>
      <w:r>
        <w:rPr>
          <w:rFonts w:ascii="仿宋_GB2312" w:hAnsi="仿宋_GB2312" w:eastAsia="仿宋_GB2312"/>
          <w:b/>
          <w:sz w:val="32"/>
        </w:rPr>
        <w:t>公用经费2.09万元，</w:t>
      </w:r>
      <w:r>
        <w:rPr>
          <w:rFonts w:ascii="仿宋_GB2312" w:hAnsi="仿宋_GB2312" w:eastAsia="仿宋_GB2312"/>
          <w:b w:val="0"/>
          <w:sz w:val="32"/>
        </w:rPr>
        <w:t>包括：办公费、印刷费、邮电费、差旅费、专用材料费、委托业务费、工会经费、其他交通费用、其他商品和服务支出。</w:t>
      </w:r>
    </w:p>
    <w:p w14:paraId="2B779F3B">
      <w:pPr>
        <w:spacing w:line="640" w:lineRule="exact"/>
        <w:ind w:firstLine="640"/>
        <w:jc w:val="both"/>
        <w:outlineLvl w:val="2"/>
      </w:pPr>
      <w:r>
        <w:rPr>
          <w:rFonts w:ascii="黑体" w:hAnsi="黑体" w:eastAsia="黑体"/>
          <w:sz w:val="32"/>
        </w:rPr>
        <w:t>七、政府性基金预算财政拨款收入支出决算情况说明</w:t>
      </w:r>
    </w:p>
    <w:p w14:paraId="1B50E04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AC5B18">
      <w:pPr>
        <w:spacing w:line="640" w:lineRule="exact"/>
        <w:ind w:firstLine="640"/>
        <w:jc w:val="both"/>
        <w:outlineLvl w:val="2"/>
      </w:pPr>
      <w:r>
        <w:rPr>
          <w:rFonts w:ascii="黑体" w:hAnsi="黑体" w:eastAsia="黑体"/>
          <w:sz w:val="32"/>
        </w:rPr>
        <w:t>八、国有资本经营预算财政拨款收入支出决算情况说明</w:t>
      </w:r>
    </w:p>
    <w:p w14:paraId="23FDCDE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D31147">
      <w:pPr>
        <w:spacing w:line="640" w:lineRule="exact"/>
        <w:ind w:firstLine="640"/>
        <w:jc w:val="both"/>
        <w:outlineLvl w:val="2"/>
      </w:pPr>
      <w:r>
        <w:rPr>
          <w:rFonts w:ascii="黑体" w:hAnsi="黑体" w:eastAsia="黑体"/>
          <w:sz w:val="32"/>
        </w:rPr>
        <w:t>九、财政拨款“三公”经费支出决算情况说明</w:t>
      </w:r>
    </w:p>
    <w:p w14:paraId="6E1AF26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DEF81CF">
      <w:pPr>
        <w:spacing w:line="580" w:lineRule="exact"/>
        <w:ind w:firstLine="640"/>
        <w:jc w:val="both"/>
      </w:pPr>
      <w:r>
        <w:rPr>
          <w:rFonts w:ascii="仿宋_GB2312" w:hAnsi="仿宋_GB2312" w:eastAsia="仿宋_GB2312"/>
          <w:b/>
          <w:sz w:val="32"/>
        </w:rPr>
        <w:t>具体情况如下：</w:t>
      </w:r>
    </w:p>
    <w:p w14:paraId="47F5717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DABEC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CCE92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D78ED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13804C">
      <w:pPr>
        <w:spacing w:line="640" w:lineRule="exact"/>
        <w:ind w:firstLine="640"/>
        <w:jc w:val="both"/>
        <w:outlineLvl w:val="2"/>
      </w:pPr>
      <w:r>
        <w:rPr>
          <w:rFonts w:ascii="黑体" w:hAnsi="黑体" w:eastAsia="黑体"/>
          <w:sz w:val="32"/>
        </w:rPr>
        <w:t>十、其他重要事项的情况说明</w:t>
      </w:r>
    </w:p>
    <w:p w14:paraId="154FCDD1">
      <w:pPr>
        <w:spacing w:line="640" w:lineRule="exact"/>
        <w:ind w:firstLine="640"/>
        <w:jc w:val="both"/>
        <w:outlineLvl w:val="3"/>
      </w:pPr>
      <w:r>
        <w:rPr>
          <w:rFonts w:ascii="楷体_GB2312" w:hAnsi="楷体_GB2312" w:eastAsia="楷体_GB2312"/>
          <w:b/>
          <w:sz w:val="32"/>
        </w:rPr>
        <w:t>（一）机关运行经费及公用经费支出情况</w:t>
      </w:r>
    </w:p>
    <w:p w14:paraId="09F56F20">
      <w:pPr>
        <w:spacing w:line="580" w:lineRule="exact"/>
        <w:ind w:firstLine="640"/>
        <w:jc w:val="both"/>
      </w:pPr>
      <w:r>
        <w:rPr>
          <w:rFonts w:ascii="仿宋_GB2312" w:hAnsi="仿宋_GB2312" w:eastAsia="仿宋_GB2312"/>
          <w:b w:val="0"/>
          <w:sz w:val="32"/>
        </w:rPr>
        <w:t>2024年度中共喀什地区委员会社会工作部（行政单位和参照公务员法管理事业单位）机关运行经费支出2.09万元，比上年增加2.09万元，增长100.00%，主要原因是：本年为新增单位，无上年对比数据。</w:t>
      </w:r>
    </w:p>
    <w:p w14:paraId="3918EB61">
      <w:pPr>
        <w:spacing w:line="640" w:lineRule="exact"/>
        <w:ind w:firstLine="640"/>
        <w:jc w:val="both"/>
        <w:outlineLvl w:val="3"/>
      </w:pPr>
      <w:r>
        <w:rPr>
          <w:rFonts w:ascii="楷体_GB2312" w:hAnsi="楷体_GB2312" w:eastAsia="楷体_GB2312"/>
          <w:b/>
          <w:sz w:val="32"/>
        </w:rPr>
        <w:t>（二）政府采购情况</w:t>
      </w:r>
    </w:p>
    <w:p w14:paraId="626D7C73">
      <w:pPr>
        <w:spacing w:line="580" w:lineRule="exact"/>
        <w:ind w:firstLine="640"/>
        <w:jc w:val="both"/>
      </w:pPr>
      <w:r>
        <w:rPr>
          <w:rFonts w:ascii="仿宋_GB2312" w:hAnsi="仿宋_GB2312" w:eastAsia="仿宋_GB2312"/>
          <w:b w:val="0"/>
          <w:sz w:val="32"/>
        </w:rPr>
        <w:t>2024年度政府采购支出总额17.71万元，其中：政府采购货物支出3.07万元、政府采购工程支出0.00万元、政府采购服务支出14.64万元。</w:t>
      </w:r>
    </w:p>
    <w:p w14:paraId="40CD2248">
      <w:pPr>
        <w:spacing w:line="580" w:lineRule="exact"/>
        <w:ind w:firstLine="640"/>
        <w:jc w:val="both"/>
      </w:pPr>
      <w:r>
        <w:rPr>
          <w:rFonts w:ascii="仿宋_GB2312" w:hAnsi="仿宋_GB2312" w:eastAsia="仿宋_GB2312"/>
          <w:b w:val="0"/>
          <w:sz w:val="32"/>
        </w:rPr>
        <w:t>授予中小企业合同金额17.71万元，占政府采购支出总额的100.00%，其中：授予小微企业合同金额17.71万元，占政府采购支出总额的100.00%。</w:t>
      </w:r>
    </w:p>
    <w:p w14:paraId="7A9C1FCF">
      <w:pPr>
        <w:spacing w:line="640" w:lineRule="exact"/>
        <w:ind w:firstLine="640"/>
        <w:jc w:val="both"/>
        <w:outlineLvl w:val="3"/>
      </w:pPr>
      <w:r>
        <w:rPr>
          <w:rFonts w:ascii="楷体_GB2312" w:hAnsi="楷体_GB2312" w:eastAsia="楷体_GB2312"/>
          <w:b/>
          <w:sz w:val="32"/>
        </w:rPr>
        <w:t>（三）国有资产占用情况说明</w:t>
      </w:r>
    </w:p>
    <w:p w14:paraId="6DCCD40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2061984">
      <w:pPr>
        <w:spacing w:line="640" w:lineRule="exact"/>
        <w:ind w:firstLine="640"/>
        <w:jc w:val="both"/>
        <w:outlineLvl w:val="2"/>
      </w:pPr>
      <w:r>
        <w:rPr>
          <w:rFonts w:ascii="黑体" w:hAnsi="黑体" w:eastAsia="黑体"/>
          <w:sz w:val="32"/>
        </w:rPr>
        <w:t>十一、预算绩效的情况说明</w:t>
      </w:r>
    </w:p>
    <w:p w14:paraId="145EA5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61.56万元，实际执行总额61.50万元；预算绩效评价项目1个，全年预算数27.71万元，全年执行数27.65万元。预算绩效管理取得的成效：一是项目能够严格按照《项目实施方案》执行，项目执行情况较好。二是加强组织领导，项目绩效评价工作有主要领导亲自挂帅，分管领导具体负责，从项目到资金，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及时向领导汇报项目建设进度，加强与实施方的沟通，确保项目按期完工。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按照地委和自治区党委社会工作部相关要求，认真做好社会工作，</w:t>
      </w:r>
      <w:r>
        <w:rPr>
          <w:rFonts w:hint="eastAsia" w:ascii="仿宋_GB2312" w:hAnsi="仿宋_GB2312" w:eastAsia="仿宋_GB2312"/>
          <w:b w:val="0"/>
          <w:sz w:val="32"/>
          <w:lang w:eastAsia="zh-CN"/>
        </w:rPr>
        <w:t>广泛</w:t>
      </w:r>
      <w:r>
        <w:rPr>
          <w:rFonts w:ascii="仿宋_GB2312" w:hAnsi="仿宋_GB2312" w:eastAsia="仿宋_GB2312"/>
          <w:b w:val="0"/>
          <w:sz w:val="32"/>
        </w:rPr>
        <w:t>吸取各方有益意见和建议，认真落实文件要求，加大对全地区社会工作指导和项目实施力度，充分发挥项目的经济和社会效益，促进喀什社会工作高质量发展。具体附整体支出绩效自评表，项目支出绩效自评表和评价报告。</w:t>
      </w:r>
    </w:p>
    <w:p w14:paraId="0D7333C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833BA4F">
        <w:tblPrEx>
          <w:tblCellMar>
            <w:top w:w="0" w:type="dxa"/>
            <w:left w:w="108" w:type="dxa"/>
            <w:bottom w:w="0" w:type="dxa"/>
            <w:right w:w="108" w:type="dxa"/>
          </w:tblCellMar>
        </w:tblPrEx>
        <w:tc>
          <w:tcPr>
            <w:tcW w:w="8847" w:type="dxa"/>
            <w:gridSpan w:val="9"/>
            <w:vAlign w:val="center"/>
          </w:tcPr>
          <w:p w14:paraId="14FA681F">
            <w:pPr>
              <w:jc w:val="center"/>
            </w:pPr>
            <w:r>
              <w:rPr>
                <w:rFonts w:ascii="宋体" w:hAnsi="宋体" w:eastAsia="宋体"/>
                <w:sz w:val="24"/>
              </w:rPr>
              <w:t>单位整体支出绩效自评表</w:t>
            </w:r>
          </w:p>
        </w:tc>
      </w:tr>
      <w:tr w14:paraId="56F72A4B">
        <w:tblPrEx>
          <w:tblCellMar>
            <w:top w:w="0" w:type="dxa"/>
            <w:left w:w="108" w:type="dxa"/>
            <w:bottom w:w="0" w:type="dxa"/>
            <w:right w:w="108" w:type="dxa"/>
          </w:tblCellMar>
        </w:tblPrEx>
        <w:tc>
          <w:tcPr>
            <w:tcW w:w="8847" w:type="dxa"/>
            <w:gridSpan w:val="9"/>
            <w:vAlign w:val="center"/>
          </w:tcPr>
          <w:p w14:paraId="79C3DC23">
            <w:pPr>
              <w:jc w:val="center"/>
            </w:pPr>
            <w:r>
              <w:rPr>
                <w:rFonts w:ascii="宋体" w:hAnsi="宋体" w:eastAsia="宋体"/>
                <w:sz w:val="24"/>
              </w:rPr>
              <w:t>（2024年度）</w:t>
            </w:r>
          </w:p>
        </w:tc>
      </w:tr>
      <w:tr w14:paraId="500B14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93E1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CD44BC">
            <w:pPr>
              <w:jc w:val="center"/>
            </w:pPr>
            <w:r>
              <w:rPr>
                <w:rFonts w:ascii="宋体" w:hAnsi="宋体" w:eastAsia="宋体"/>
                <w:sz w:val="16"/>
              </w:rPr>
              <w:t>中共喀什地区委员会社会工作部</w:t>
            </w:r>
          </w:p>
        </w:tc>
      </w:tr>
      <w:tr w14:paraId="2C16D0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8402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664E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0276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F5AA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823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4B95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B9B1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4CD21">
            <w:pPr>
              <w:jc w:val="center"/>
            </w:pPr>
            <w:r>
              <w:rPr>
                <w:rFonts w:ascii="宋体" w:hAnsi="宋体" w:eastAsia="宋体"/>
                <w:sz w:val="16"/>
              </w:rPr>
              <w:t>得分</w:t>
            </w:r>
          </w:p>
        </w:tc>
      </w:tr>
      <w:tr w14:paraId="70ACC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DA7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2EC8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AE8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AE4D6">
            <w:pPr>
              <w:jc w:val="center"/>
            </w:pPr>
            <w:r>
              <w:rPr>
                <w:rFonts w:ascii="宋体" w:hAnsi="宋体" w:eastAsia="宋体"/>
                <w:sz w:val="16"/>
              </w:rPr>
              <w:t>61.56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F89FB">
            <w:pPr>
              <w:jc w:val="center"/>
            </w:pPr>
            <w:r>
              <w:rPr>
                <w:rFonts w:ascii="宋体" w:hAnsi="宋体" w:eastAsia="宋体"/>
                <w:sz w:val="16"/>
              </w:rPr>
              <w:t>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06C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ED7A">
            <w:pPr>
              <w:jc w:val="center"/>
            </w:pPr>
            <w:r>
              <w:rPr>
                <w:rFonts w:ascii="宋体" w:hAnsi="宋体" w:eastAsia="宋体"/>
                <w:sz w:val="16"/>
              </w:rPr>
              <w:t>99.90%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DE22">
            <w:pPr>
              <w:jc w:val="center"/>
            </w:pPr>
            <w:r>
              <w:rPr>
                <w:rFonts w:ascii="宋体" w:hAnsi="宋体" w:eastAsia="宋体"/>
                <w:sz w:val="16"/>
              </w:rPr>
              <w:t>10</w:t>
            </w:r>
          </w:p>
        </w:tc>
      </w:tr>
      <w:tr w14:paraId="50C6DE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F0F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093F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4C4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E90CE">
            <w:pPr>
              <w:jc w:val="center"/>
            </w:pPr>
            <w:r>
              <w:rPr>
                <w:rFonts w:ascii="宋体" w:hAnsi="宋体" w:eastAsia="宋体"/>
                <w:sz w:val="16"/>
              </w:rPr>
              <w:t>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A0B9B">
            <w:pPr>
              <w:jc w:val="center"/>
            </w:pPr>
            <w:r>
              <w:rPr>
                <w:rFonts w:ascii="宋体" w:hAnsi="宋体" w:eastAsia="宋体"/>
                <w:sz w:val="16"/>
              </w:rPr>
              <w:t>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E0C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F68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694D">
            <w:pPr>
              <w:jc w:val="center"/>
            </w:pPr>
            <w:r>
              <w:rPr>
                <w:rFonts w:ascii="宋体" w:hAnsi="宋体" w:eastAsia="宋体"/>
                <w:sz w:val="16"/>
              </w:rPr>
              <w:t>—</w:t>
            </w:r>
          </w:p>
        </w:tc>
      </w:tr>
      <w:tr w14:paraId="16EFAA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C5C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FA2B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617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FFEE7">
            <w:pPr>
              <w:jc w:val="center"/>
            </w:pPr>
            <w:r>
              <w:rPr>
                <w:rFonts w:ascii="宋体" w:hAnsi="宋体" w:eastAsia="宋体"/>
                <w:sz w:val="16"/>
              </w:rPr>
              <w:t>59.37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456A9">
            <w:pPr>
              <w:jc w:val="center"/>
            </w:pPr>
            <w:r>
              <w:rPr>
                <w:rFonts w:ascii="宋体" w:hAnsi="宋体" w:eastAsia="宋体"/>
                <w:sz w:val="16"/>
              </w:rPr>
              <w:t>59.31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CB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71CB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E96F2">
            <w:pPr>
              <w:jc w:val="center"/>
            </w:pPr>
            <w:r>
              <w:rPr>
                <w:rFonts w:ascii="宋体" w:hAnsi="宋体" w:eastAsia="宋体"/>
                <w:sz w:val="16"/>
              </w:rPr>
              <w:t>—</w:t>
            </w:r>
          </w:p>
        </w:tc>
      </w:tr>
      <w:tr w14:paraId="1E96DC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6D2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C526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BB4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9AC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CF4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B04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FE9A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8798A">
            <w:pPr>
              <w:jc w:val="center"/>
            </w:pPr>
            <w:r>
              <w:rPr>
                <w:rFonts w:ascii="宋体" w:hAnsi="宋体" w:eastAsia="宋体"/>
                <w:sz w:val="16"/>
              </w:rPr>
              <w:t>—</w:t>
            </w:r>
          </w:p>
        </w:tc>
      </w:tr>
      <w:tr w14:paraId="499DEE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9268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DBCE4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D20959">
            <w:pPr>
              <w:jc w:val="center"/>
            </w:pPr>
            <w:r>
              <w:rPr>
                <w:rFonts w:ascii="宋体" w:hAnsi="宋体" w:eastAsia="宋体"/>
                <w:sz w:val="16"/>
              </w:rPr>
              <w:t>实际完成情况</w:t>
            </w:r>
          </w:p>
        </w:tc>
      </w:tr>
      <w:tr w14:paraId="022B93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B90F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B30354">
            <w:pPr>
              <w:jc w:val="both"/>
            </w:pPr>
            <w:r>
              <w:rPr>
                <w:rFonts w:ascii="宋体" w:hAnsi="宋体" w:eastAsia="宋体"/>
                <w:sz w:val="16"/>
              </w:rPr>
              <w:t>完成地委社会工作部的组建、挂牌以及工作人员的选拔、考察、调任等工作；对各县市组建社会工作进行调研，指导各县市加快组建工作进程；组织开展理论大学习、业务大培训，提升工作人员专业能力，切实为推进工作充电蓄能；围绕党建引领基层治理和基层政权建设、“两企三新”运行、信访工作开展专题调研，切实摸清实情，做到精准把脉问诊、靶向对症治疗，切实解决基层承接责任不够明晰问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09D47">
            <w:pPr>
              <w:jc w:val="both"/>
            </w:pPr>
            <w:r>
              <w:rPr>
                <w:rFonts w:ascii="宋体" w:hAnsi="宋体" w:eastAsia="宋体"/>
                <w:sz w:val="16"/>
              </w:rPr>
              <w:t>2024年，喀什地委社会工作部组建后，</w:t>
            </w:r>
            <w:r>
              <w:rPr>
                <w:rFonts w:hint="eastAsia" w:ascii="宋体" w:hAnsi="宋体"/>
                <w:sz w:val="16"/>
                <w:lang w:eastAsia="zh-CN"/>
              </w:rPr>
              <w:t>围绕中心、服务大局</w:t>
            </w:r>
            <w:r>
              <w:rPr>
                <w:rFonts w:ascii="宋体" w:hAnsi="宋体" w:eastAsia="宋体"/>
                <w:sz w:val="16"/>
              </w:rPr>
              <w:t>，忠诚履职担当尽责，坚持边组建、边调研、边工作、边建制，从夯基础、重创新、善统筹三方面靶向发力，压实责任，有序推进机构编制和自身建设各项工作，召开专题会议1次、专项调研3，组织参加人员培训1次，全地区社会工作能力大幅提升。</w:t>
            </w:r>
          </w:p>
        </w:tc>
      </w:tr>
      <w:tr w14:paraId="0E9006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31A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FD58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29C5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011B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578A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B2F2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4189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848F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183B1">
            <w:pPr>
              <w:jc w:val="center"/>
            </w:pPr>
            <w:r>
              <w:rPr>
                <w:rFonts w:ascii="宋体" w:hAnsi="宋体" w:eastAsia="宋体"/>
                <w:sz w:val="16"/>
              </w:rPr>
              <w:t>得分</w:t>
            </w:r>
          </w:p>
        </w:tc>
      </w:tr>
      <w:tr w14:paraId="7A1392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6533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E63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04DA3">
            <w:pPr>
              <w:jc w:val="center"/>
            </w:pPr>
            <w:r>
              <w:rPr>
                <w:rFonts w:ascii="宋体" w:hAnsi="宋体" w:eastAsia="宋体"/>
                <w:sz w:val="16"/>
              </w:rPr>
              <w:t>赴12县市指导社会工作部组建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4F66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7E5F1">
            <w:pPr>
              <w:jc w:val="center"/>
            </w:pPr>
            <w:r>
              <w:rPr>
                <w:rFonts w:ascii="宋体" w:hAnsi="宋体" w:eastAsia="宋体"/>
                <w:sz w:val="16"/>
              </w:rPr>
              <w:t>喀什地委社会工作部职能、内设机构和人员编制规定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4469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01EE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20B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1A9D4">
            <w:pPr>
              <w:jc w:val="center"/>
            </w:pPr>
            <w:r>
              <w:rPr>
                <w:rFonts w:ascii="宋体" w:hAnsi="宋体" w:eastAsia="宋体"/>
                <w:sz w:val="16"/>
              </w:rPr>
              <w:t>18</w:t>
            </w:r>
          </w:p>
        </w:tc>
      </w:tr>
      <w:tr w14:paraId="55C0CC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F59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235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20D1A">
            <w:pPr>
              <w:jc w:val="center"/>
            </w:pPr>
            <w:r>
              <w:rPr>
                <w:rFonts w:ascii="宋体" w:hAnsi="宋体" w:eastAsia="宋体"/>
                <w:sz w:val="16"/>
              </w:rPr>
              <w:t>组织社会工作机构专业人才参加培训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0FB6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8C1F2">
            <w:pPr>
              <w:jc w:val="center"/>
            </w:pPr>
            <w:r>
              <w:rPr>
                <w:rFonts w:ascii="宋体" w:hAnsi="宋体" w:eastAsia="宋体"/>
                <w:sz w:val="16"/>
              </w:rPr>
              <w:t>喀什地委社会工作部职能配置、内设机构和人员编制规定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06E7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3EF8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6A7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458C0">
            <w:pPr>
              <w:jc w:val="center"/>
            </w:pPr>
            <w:r>
              <w:rPr>
                <w:rFonts w:ascii="宋体" w:hAnsi="宋体" w:eastAsia="宋体"/>
                <w:sz w:val="16"/>
              </w:rPr>
              <w:t>18</w:t>
            </w:r>
          </w:p>
        </w:tc>
      </w:tr>
      <w:tr w14:paraId="2E1207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C05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7CC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D5960">
            <w:pPr>
              <w:jc w:val="center"/>
            </w:pPr>
            <w:r>
              <w:rPr>
                <w:rFonts w:ascii="宋体" w:hAnsi="宋体" w:eastAsia="宋体"/>
                <w:sz w:val="16"/>
              </w:rPr>
              <w:t>围绕新兴领域党建开展调研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DE85A">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20A54">
            <w:pPr>
              <w:jc w:val="center"/>
            </w:pPr>
            <w:r>
              <w:rPr>
                <w:rFonts w:ascii="宋体" w:hAnsi="宋体" w:eastAsia="宋体"/>
                <w:sz w:val="16"/>
              </w:rPr>
              <w:t>喀什地委社会工作部职能配置、内设机构和人员编制规定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B2AC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B949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C51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F4610">
            <w:pPr>
              <w:jc w:val="center"/>
            </w:pPr>
            <w:r>
              <w:rPr>
                <w:rFonts w:ascii="宋体" w:hAnsi="宋体" w:eastAsia="宋体"/>
                <w:sz w:val="16"/>
              </w:rPr>
              <w:t>18</w:t>
            </w:r>
          </w:p>
        </w:tc>
      </w:tr>
      <w:tr w14:paraId="6583FE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AAEE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516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EBB03">
            <w:pPr>
              <w:jc w:val="center"/>
            </w:pPr>
            <w:r>
              <w:rPr>
                <w:rFonts w:ascii="宋体" w:hAnsi="宋体" w:eastAsia="宋体"/>
                <w:sz w:val="16"/>
              </w:rPr>
              <w:t>围绕党建引领基层治理和基层政权建设开展调研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AD72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BE9CF">
            <w:pPr>
              <w:jc w:val="center"/>
            </w:pPr>
            <w:r>
              <w:rPr>
                <w:rFonts w:ascii="宋体" w:hAnsi="宋体" w:eastAsia="宋体"/>
                <w:sz w:val="16"/>
              </w:rPr>
              <w:t>基层治理和基层政权建设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6850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034D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ECE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C846">
            <w:pPr>
              <w:jc w:val="center"/>
            </w:pPr>
            <w:r>
              <w:rPr>
                <w:rFonts w:ascii="宋体" w:hAnsi="宋体" w:eastAsia="宋体"/>
                <w:sz w:val="16"/>
              </w:rPr>
              <w:t>18</w:t>
            </w:r>
          </w:p>
        </w:tc>
      </w:tr>
      <w:tr w14:paraId="2AF732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715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DAE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F3CD7">
            <w:pPr>
              <w:jc w:val="center"/>
            </w:pPr>
            <w:r>
              <w:rPr>
                <w:rFonts w:ascii="宋体" w:hAnsi="宋体" w:eastAsia="宋体"/>
                <w:sz w:val="16"/>
              </w:rPr>
              <w:t>召开喀什地区各县（市）委社会工作部部长暨两新工委委员单位座谈会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4154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4316E">
            <w:pPr>
              <w:jc w:val="center"/>
            </w:pPr>
            <w:r>
              <w:rPr>
                <w:rFonts w:ascii="宋体" w:hAnsi="宋体" w:eastAsia="宋体"/>
                <w:sz w:val="16"/>
              </w:rPr>
              <w:t>召开喀什地区各县（市）委社会工作部部长暨两新工委委员单位座谈会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A182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41B5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AF3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C1B14">
            <w:pPr>
              <w:jc w:val="center"/>
            </w:pPr>
            <w:r>
              <w:rPr>
                <w:rFonts w:ascii="宋体" w:hAnsi="宋体" w:eastAsia="宋体"/>
                <w:sz w:val="16"/>
              </w:rPr>
              <w:t>18</w:t>
            </w:r>
          </w:p>
        </w:tc>
      </w:tr>
    </w:tbl>
    <w:p w14:paraId="37AE3BEF">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602"/>
        <w:gridCol w:w="936"/>
        <w:gridCol w:w="603"/>
        <w:gridCol w:w="603"/>
        <w:gridCol w:w="603"/>
        <w:gridCol w:w="603"/>
        <w:gridCol w:w="603"/>
        <w:gridCol w:w="856"/>
        <w:gridCol w:w="628"/>
        <w:gridCol w:w="567"/>
        <w:gridCol w:w="632"/>
      </w:tblGrid>
      <w:tr w14:paraId="504BA3CD">
        <w:tblPrEx>
          <w:tblCellMar>
            <w:top w:w="0" w:type="dxa"/>
            <w:left w:w="108" w:type="dxa"/>
            <w:bottom w:w="0" w:type="dxa"/>
            <w:right w:w="108" w:type="dxa"/>
          </w:tblCellMar>
        </w:tblPrEx>
        <w:tc>
          <w:tcPr>
            <w:tcW w:w="8848" w:type="dxa"/>
            <w:gridSpan w:val="14"/>
            <w:vAlign w:val="center"/>
          </w:tcPr>
          <w:p w14:paraId="30F943C2">
            <w:pPr>
              <w:jc w:val="center"/>
            </w:pPr>
            <w:r>
              <w:rPr>
                <w:rFonts w:ascii="宋体" w:hAnsi="宋体" w:eastAsia="宋体"/>
                <w:sz w:val="24"/>
              </w:rPr>
              <w:t>项目支出绩效自评表</w:t>
            </w:r>
          </w:p>
        </w:tc>
      </w:tr>
      <w:tr w14:paraId="7D37C433">
        <w:tblPrEx>
          <w:tblCellMar>
            <w:top w:w="0" w:type="dxa"/>
            <w:left w:w="108" w:type="dxa"/>
            <w:bottom w:w="0" w:type="dxa"/>
            <w:right w:w="108" w:type="dxa"/>
          </w:tblCellMar>
        </w:tblPrEx>
        <w:tc>
          <w:tcPr>
            <w:tcW w:w="8848" w:type="dxa"/>
            <w:gridSpan w:val="14"/>
            <w:vAlign w:val="center"/>
          </w:tcPr>
          <w:p w14:paraId="730AC269">
            <w:pPr>
              <w:jc w:val="center"/>
            </w:pPr>
            <w:r>
              <w:rPr>
                <w:rFonts w:ascii="宋体" w:hAnsi="宋体" w:eastAsia="宋体"/>
                <w:sz w:val="24"/>
              </w:rPr>
              <w:t>(2024年度)</w:t>
            </w:r>
          </w:p>
        </w:tc>
      </w:tr>
      <w:tr w14:paraId="3A800C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4A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2A3BFF">
            <w:pPr>
              <w:jc w:val="center"/>
            </w:pPr>
            <w:r>
              <w:rPr>
                <w:rFonts w:ascii="宋体" w:hAnsi="宋体" w:eastAsia="宋体"/>
                <w:sz w:val="16"/>
              </w:rPr>
              <w:t>2024年度社工部运行保障项目</w:t>
            </w:r>
          </w:p>
        </w:tc>
      </w:tr>
      <w:tr w14:paraId="736B67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14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233ED">
            <w:pPr>
              <w:jc w:val="center"/>
            </w:pPr>
            <w:r>
              <w:rPr>
                <w:rFonts w:ascii="宋体" w:hAnsi="宋体" w:eastAsia="宋体"/>
                <w:sz w:val="16"/>
              </w:rPr>
              <w:t>中共喀什地区委员会社会工作部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9E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C310B9">
            <w:pPr>
              <w:jc w:val="center"/>
            </w:pPr>
            <w:r>
              <w:rPr>
                <w:rFonts w:ascii="宋体" w:hAnsi="宋体" w:eastAsia="宋体"/>
                <w:sz w:val="16"/>
              </w:rPr>
              <w:t>中共喀什地区委员会社会工作部</w:t>
            </w:r>
          </w:p>
        </w:tc>
      </w:tr>
      <w:tr w14:paraId="7BB8AD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32C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73E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78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D29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241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5E9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CD6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0316">
            <w:pPr>
              <w:jc w:val="center"/>
            </w:pPr>
            <w:r>
              <w:rPr>
                <w:rFonts w:ascii="宋体" w:hAnsi="宋体" w:eastAsia="宋体"/>
                <w:sz w:val="16"/>
              </w:rPr>
              <w:t>得分</w:t>
            </w:r>
          </w:p>
        </w:tc>
      </w:tr>
      <w:tr w14:paraId="4D71D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4D7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2C8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5904">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DE78E">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05AAD">
            <w:pPr>
              <w:jc w:val="center"/>
            </w:pPr>
            <w:r>
              <w:rPr>
                <w:rFonts w:ascii="宋体" w:hAnsi="宋体" w:eastAsia="宋体"/>
                <w:sz w:val="16"/>
              </w:rPr>
              <w:t>27.65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9C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AE756">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7DB0">
            <w:pPr>
              <w:jc w:val="center"/>
            </w:pPr>
            <w:r>
              <w:rPr>
                <w:rFonts w:ascii="宋体" w:hAnsi="宋体" w:eastAsia="宋体"/>
                <w:sz w:val="16"/>
              </w:rPr>
              <w:t>10.00分</w:t>
            </w:r>
          </w:p>
        </w:tc>
      </w:tr>
      <w:tr w14:paraId="1994F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BF7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91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2EFF">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F3CC6">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E688B">
            <w:pPr>
              <w:jc w:val="center"/>
            </w:pPr>
            <w:r>
              <w:rPr>
                <w:rFonts w:ascii="宋体" w:hAnsi="宋体" w:eastAsia="宋体"/>
                <w:sz w:val="16"/>
              </w:rPr>
              <w:t>27.65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62A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44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5D8E">
            <w:pPr>
              <w:jc w:val="center"/>
            </w:pPr>
            <w:r>
              <w:rPr>
                <w:rFonts w:ascii="宋体" w:hAnsi="宋体" w:eastAsia="宋体"/>
                <w:sz w:val="16"/>
              </w:rPr>
              <w:t>—</w:t>
            </w:r>
          </w:p>
        </w:tc>
      </w:tr>
      <w:tr w14:paraId="7B4B6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42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1C9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00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1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E96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5CB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64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A7AC">
            <w:pPr>
              <w:jc w:val="center"/>
            </w:pPr>
            <w:r>
              <w:rPr>
                <w:rFonts w:ascii="宋体" w:hAnsi="宋体" w:eastAsia="宋体"/>
                <w:sz w:val="16"/>
              </w:rPr>
              <w:t>—</w:t>
            </w:r>
          </w:p>
        </w:tc>
      </w:tr>
      <w:tr w14:paraId="3FA8A7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60D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D281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F71A85">
            <w:pPr>
              <w:jc w:val="center"/>
            </w:pPr>
            <w:r>
              <w:rPr>
                <w:rFonts w:ascii="宋体" w:hAnsi="宋体" w:eastAsia="宋体"/>
                <w:sz w:val="16"/>
              </w:rPr>
              <w:t>实际完成情况</w:t>
            </w:r>
          </w:p>
        </w:tc>
      </w:tr>
      <w:tr w14:paraId="68A90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9A9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B3A16">
            <w:pPr>
              <w:jc w:val="both"/>
            </w:pPr>
            <w:r>
              <w:rPr>
                <w:rFonts w:ascii="宋体" w:hAnsi="宋体" w:eastAsia="宋体"/>
                <w:sz w:val="16"/>
              </w:rPr>
              <w:t>该项目主要为社会工作部开办经费及下半年基本运行经费，准确把握社会工作的新使命新要求，围绕地委关心、群众关心、社会关注的重点问题，统筹调试好各方面资源，解决社会问题，加强社会工作，扎实</w:t>
            </w:r>
            <w:r>
              <w:rPr>
                <w:rFonts w:hint="eastAsia" w:ascii="宋体" w:hAnsi="宋体"/>
                <w:sz w:val="16"/>
                <w:lang w:eastAsia="zh-CN"/>
              </w:rPr>
              <w:t>运行</w:t>
            </w:r>
            <w:r>
              <w:rPr>
                <w:rFonts w:ascii="宋体" w:hAnsi="宋体" w:eastAsia="宋体"/>
                <w:sz w:val="16"/>
              </w:rPr>
              <w:t>好人民信访和人民建议征集；持续优化党建引领基层治理。提升“两企三新”党建工作，加强志愿服务和社会工作服务事业高质量发展。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030716">
            <w:pPr>
              <w:jc w:val="both"/>
            </w:pPr>
            <w:r>
              <w:rPr>
                <w:rFonts w:ascii="宋体" w:hAnsi="宋体" w:eastAsia="宋体"/>
                <w:sz w:val="16"/>
              </w:rPr>
              <w:t>2024年7月13日地委社会工作部正式挂牌实体化运行，聚焦抓好党建引领基层治理开展调研，聚焦抓好新型领域党建工作开展摸排，聚焦抓好凝聚服务群众开展调研摸排。2024年</w:t>
            </w:r>
            <w:r>
              <w:rPr>
                <w:rFonts w:hint="eastAsia" w:ascii="宋体" w:hAnsi="宋体"/>
                <w:sz w:val="16"/>
                <w:lang w:eastAsia="zh-CN"/>
              </w:rPr>
              <w:t>实际完成情况</w:t>
            </w:r>
            <w:r>
              <w:rPr>
                <w:rFonts w:ascii="宋体" w:hAnsi="宋体" w:eastAsia="宋体"/>
                <w:sz w:val="16"/>
              </w:rPr>
              <w:t>为：人员运转经费保障人数12人，人均运转经费保障率为100%，经费保障时长5个月，人员运转经费5.1845万元，日常运转成本22.47万元，参加培训人员满意度100%，基层政权治理能力进一步提高。</w:t>
            </w:r>
          </w:p>
        </w:tc>
      </w:tr>
      <w:tr w14:paraId="55E914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49B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0B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77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62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28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66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92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9C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C7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45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5D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5A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DF7D6">
            <w:pPr>
              <w:jc w:val="center"/>
            </w:pPr>
            <w:r>
              <w:rPr>
                <w:rFonts w:ascii="宋体" w:hAnsi="宋体" w:eastAsia="宋体"/>
                <w:sz w:val="16"/>
              </w:rPr>
              <w:t>偏差原因分析及改进措施</w:t>
            </w:r>
          </w:p>
        </w:tc>
      </w:tr>
      <w:tr w14:paraId="2D5685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0B2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C17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B2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ED02">
            <w:pPr>
              <w:jc w:val="center"/>
            </w:pPr>
            <w:r>
              <w:rPr>
                <w:rFonts w:ascii="宋体" w:hAnsi="宋体" w:eastAsia="宋体"/>
                <w:sz w:val="16"/>
              </w:rPr>
              <w:t>经费保障在岗人员数量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D7D3">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7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F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32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7A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88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3E30">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4B98">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8209">
            <w:pPr>
              <w:jc w:val="center"/>
            </w:pPr>
            <w:r>
              <w:rPr>
                <w:rFonts w:ascii="宋体" w:hAnsi="宋体" w:eastAsia="宋体"/>
                <w:sz w:val="16"/>
              </w:rPr>
              <w:t>新调入工作人员1人，导致经费保障人数增加1人。</w:t>
            </w:r>
          </w:p>
        </w:tc>
      </w:tr>
      <w:tr w14:paraId="1A59A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B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5B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76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25FC">
            <w:pPr>
              <w:jc w:val="center"/>
            </w:pPr>
            <w:r>
              <w:rPr>
                <w:rFonts w:ascii="宋体" w:hAnsi="宋体" w:eastAsia="宋体"/>
                <w:sz w:val="16"/>
              </w:rPr>
              <w:t>人均运转经费保障率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E5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E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BB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381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12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C8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A4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B62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627C7">
            <w:pPr>
              <w:jc w:val="center"/>
            </w:pPr>
          </w:p>
        </w:tc>
      </w:tr>
      <w:tr w14:paraId="0258B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00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68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0A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EDE1">
            <w:pPr>
              <w:jc w:val="center"/>
            </w:pPr>
            <w:r>
              <w:rPr>
                <w:rFonts w:ascii="宋体" w:hAnsi="宋体" w:eastAsia="宋体"/>
                <w:sz w:val="16"/>
              </w:rPr>
              <w:t>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3AAD">
            <w:pPr>
              <w:jc w:val="center"/>
            </w:pPr>
            <w:r>
              <w:rPr>
                <w:rFonts w:ascii="宋体" w:hAnsi="宋体" w:eastAsia="宋体"/>
                <w:sz w:val="16"/>
              </w:rPr>
              <w:t>&lt;=5个月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B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3E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FE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5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6E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A227">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BAC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BB66F">
            <w:pPr>
              <w:jc w:val="center"/>
            </w:pPr>
          </w:p>
        </w:tc>
      </w:tr>
      <w:tr w14:paraId="204D4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678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76B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5AF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64ED">
            <w:pPr>
              <w:jc w:val="center"/>
            </w:pPr>
            <w:r>
              <w:rPr>
                <w:rFonts w:ascii="宋体" w:hAnsi="宋体" w:eastAsia="宋体"/>
                <w:sz w:val="16"/>
              </w:rPr>
              <w:t>人员运转经费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B598">
            <w:pPr>
              <w:jc w:val="center"/>
            </w:pPr>
            <w:r>
              <w:rPr>
                <w:rFonts w:ascii="宋体" w:hAnsi="宋体" w:eastAsia="宋体"/>
                <w:sz w:val="16"/>
              </w:rPr>
              <w:t>&lt;=5.1845万元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5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C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D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A9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0F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53D9">
            <w:pPr>
              <w:jc w:val="center"/>
            </w:pPr>
            <w:r>
              <w:rPr>
                <w:rFonts w:ascii="宋体" w:hAnsi="宋体" w:eastAsia="宋体"/>
                <w:sz w:val="16"/>
              </w:rPr>
              <w:t>=5.1845万元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0F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8225F">
            <w:pPr>
              <w:jc w:val="center"/>
            </w:pPr>
          </w:p>
        </w:tc>
      </w:tr>
      <w:tr w14:paraId="58CBFD8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26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BD1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5A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0F4E">
            <w:pPr>
              <w:jc w:val="center"/>
            </w:pPr>
            <w:r>
              <w:rPr>
                <w:rFonts w:ascii="宋体" w:hAnsi="宋体" w:eastAsia="宋体"/>
                <w:sz w:val="16"/>
              </w:rPr>
              <w:t>保障单位其他日常运转成本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B80B">
            <w:pPr>
              <w:jc w:val="center"/>
            </w:pPr>
            <w:r>
              <w:rPr>
                <w:rFonts w:ascii="宋体" w:hAnsi="宋体" w:eastAsia="宋体"/>
                <w:sz w:val="16"/>
              </w:rPr>
              <w:t>&lt;=22.5255万元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B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A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D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27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DF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6E99">
            <w:pPr>
              <w:jc w:val="center"/>
            </w:pPr>
            <w:r>
              <w:rPr>
                <w:rFonts w:ascii="宋体" w:hAnsi="宋体" w:eastAsia="宋体"/>
                <w:sz w:val="16"/>
              </w:rPr>
              <w:t>=22.4676万元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2179">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9CD63">
            <w:pPr>
              <w:jc w:val="center"/>
            </w:pPr>
            <w:r>
              <w:rPr>
                <w:rFonts w:ascii="宋体" w:hAnsi="宋体" w:eastAsia="宋体"/>
                <w:sz w:val="16"/>
              </w:rPr>
              <w:t>受市场价格变动影响，支出成本降低，导致成本节约579.21元。改进措施：年初精准预算，合理设置指标</w:t>
            </w:r>
          </w:p>
        </w:tc>
      </w:tr>
      <w:tr w14:paraId="7AB37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DC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29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05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98BD">
            <w:pPr>
              <w:jc w:val="center"/>
            </w:pPr>
            <w:r>
              <w:rPr>
                <w:rFonts w:ascii="宋体" w:hAnsi="宋体" w:eastAsia="宋体"/>
                <w:sz w:val="16"/>
              </w:rPr>
              <w:t>提高基层政权治理能力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BBB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1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5B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71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DA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04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3C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C7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0D15B">
            <w:pPr>
              <w:jc w:val="center"/>
            </w:pPr>
          </w:p>
        </w:tc>
      </w:tr>
      <w:tr w14:paraId="421CB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D6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9C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E9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3094">
            <w:pPr>
              <w:jc w:val="center"/>
            </w:pPr>
            <w:r>
              <w:rPr>
                <w:rFonts w:ascii="宋体" w:hAnsi="宋体" w:eastAsia="宋体"/>
                <w:sz w:val="16"/>
              </w:rPr>
              <w:t>参加社会工作者人才培训满意度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16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C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25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D2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5A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3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6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98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3DE7">
            <w:pPr>
              <w:jc w:val="center"/>
            </w:pPr>
            <w:r>
              <w:rPr>
                <w:rFonts w:ascii="宋体" w:hAnsi="宋体" w:eastAsia="宋体"/>
                <w:sz w:val="16"/>
              </w:rPr>
              <w:t>项目完成情况较好，导致满意度大于预期值，出现正偏差</w:t>
            </w:r>
          </w:p>
        </w:tc>
      </w:tr>
      <w:tr w14:paraId="007D24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E4F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31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65C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83C5E9">
            <w:pPr>
              <w:jc w:val="center"/>
            </w:pPr>
            <w:r>
              <w:rPr>
                <w:rFonts w:ascii="宋体" w:hAnsi="宋体" w:eastAsia="宋体"/>
                <w:sz w:val="16"/>
              </w:rPr>
              <w:t>99.02分</w:t>
            </w:r>
          </w:p>
        </w:tc>
      </w:tr>
    </w:tbl>
    <w:p w14:paraId="43ABBF0B">
      <w:r>
        <w:br w:type="page"/>
      </w:r>
    </w:p>
    <w:p w14:paraId="0B402A65">
      <w:pPr>
        <w:spacing w:line="640" w:lineRule="exact"/>
        <w:ind w:firstLine="640"/>
        <w:jc w:val="both"/>
        <w:outlineLvl w:val="2"/>
      </w:pPr>
      <w:r>
        <w:rPr>
          <w:rFonts w:ascii="黑体" w:hAnsi="黑体" w:eastAsia="黑体"/>
          <w:sz w:val="32"/>
        </w:rPr>
        <w:t>十二、其他需说明的事项</w:t>
      </w:r>
    </w:p>
    <w:p w14:paraId="3EB6A080">
      <w:pPr>
        <w:spacing w:line="580" w:lineRule="exact"/>
        <w:ind w:firstLine="640"/>
        <w:jc w:val="both"/>
      </w:pPr>
      <w:r>
        <w:rPr>
          <w:rFonts w:ascii="仿宋_GB2312" w:hAnsi="仿宋_GB2312" w:eastAsia="仿宋_GB2312"/>
          <w:b w:val="0"/>
          <w:sz w:val="32"/>
        </w:rPr>
        <w:t>本单位无其他需说明的事项。</w:t>
      </w:r>
    </w:p>
    <w:p w14:paraId="7DBF098A">
      <w:r>
        <w:br w:type="page"/>
      </w:r>
    </w:p>
    <w:p w14:paraId="000405A7">
      <w:pPr>
        <w:spacing w:line="240" w:lineRule="auto"/>
        <w:jc w:val="center"/>
        <w:outlineLvl w:val="1"/>
      </w:pPr>
      <w:r>
        <w:rPr>
          <w:rFonts w:ascii="黑体" w:hAnsi="黑体" w:eastAsia="黑体"/>
          <w:sz w:val="32"/>
        </w:rPr>
        <w:t>第三部分 专业名词解释</w:t>
      </w:r>
    </w:p>
    <w:p w14:paraId="5865F1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23C24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7AA4F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8C77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4BE2BC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498BA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3B06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4891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D770F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442F8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42BA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39356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FEE78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DAA9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C8D831A">
      <w:r>
        <w:br w:type="page"/>
      </w:r>
    </w:p>
    <w:p w14:paraId="2EC346F5">
      <w:pPr>
        <w:spacing w:line="240" w:lineRule="auto"/>
        <w:jc w:val="center"/>
        <w:outlineLvl w:val="1"/>
      </w:pPr>
      <w:r>
        <w:rPr>
          <w:rFonts w:ascii="黑体" w:hAnsi="黑体" w:eastAsia="黑体"/>
          <w:sz w:val="32"/>
        </w:rPr>
        <w:t>第四部分 部门决算报表（见附表）</w:t>
      </w:r>
    </w:p>
    <w:p w14:paraId="5473A64B">
      <w:pPr>
        <w:spacing w:line="240" w:lineRule="auto"/>
        <w:ind w:firstLine="640"/>
        <w:jc w:val="both"/>
      </w:pPr>
      <w:r>
        <w:rPr>
          <w:rFonts w:ascii="仿宋_GB2312" w:hAnsi="仿宋_GB2312" w:eastAsia="仿宋_GB2312"/>
          <w:b w:val="0"/>
          <w:sz w:val="32"/>
        </w:rPr>
        <w:t>一、《收入支出决算总表》</w:t>
      </w:r>
    </w:p>
    <w:p w14:paraId="26DC6D71">
      <w:pPr>
        <w:spacing w:line="240" w:lineRule="auto"/>
        <w:ind w:firstLine="640"/>
        <w:jc w:val="both"/>
      </w:pPr>
      <w:r>
        <w:rPr>
          <w:rFonts w:ascii="仿宋_GB2312" w:hAnsi="仿宋_GB2312" w:eastAsia="仿宋_GB2312"/>
          <w:b w:val="0"/>
          <w:sz w:val="32"/>
        </w:rPr>
        <w:t>二、《收入决算表》</w:t>
      </w:r>
    </w:p>
    <w:p w14:paraId="14B07E12">
      <w:pPr>
        <w:spacing w:line="240" w:lineRule="auto"/>
        <w:ind w:firstLine="640"/>
        <w:jc w:val="both"/>
      </w:pPr>
      <w:r>
        <w:rPr>
          <w:rFonts w:ascii="仿宋_GB2312" w:hAnsi="仿宋_GB2312" w:eastAsia="仿宋_GB2312"/>
          <w:b w:val="0"/>
          <w:sz w:val="32"/>
        </w:rPr>
        <w:t>三、《支出决算表》</w:t>
      </w:r>
    </w:p>
    <w:p w14:paraId="2FC8D04F">
      <w:pPr>
        <w:spacing w:line="240" w:lineRule="auto"/>
        <w:ind w:firstLine="640"/>
        <w:jc w:val="both"/>
      </w:pPr>
      <w:r>
        <w:rPr>
          <w:rFonts w:ascii="仿宋_GB2312" w:hAnsi="仿宋_GB2312" w:eastAsia="仿宋_GB2312"/>
          <w:b w:val="0"/>
          <w:sz w:val="32"/>
        </w:rPr>
        <w:t>四、《财政拨款收入支出决算总表》</w:t>
      </w:r>
    </w:p>
    <w:p w14:paraId="4FE17071">
      <w:pPr>
        <w:spacing w:line="240" w:lineRule="auto"/>
        <w:ind w:firstLine="640"/>
        <w:jc w:val="both"/>
      </w:pPr>
      <w:r>
        <w:rPr>
          <w:rFonts w:ascii="仿宋_GB2312" w:hAnsi="仿宋_GB2312" w:eastAsia="仿宋_GB2312"/>
          <w:b w:val="0"/>
          <w:sz w:val="32"/>
        </w:rPr>
        <w:t>五、《一般公共预算财政拨款支出决算表》</w:t>
      </w:r>
    </w:p>
    <w:p w14:paraId="2B266982">
      <w:pPr>
        <w:spacing w:line="240" w:lineRule="auto"/>
        <w:ind w:firstLine="640"/>
        <w:jc w:val="both"/>
      </w:pPr>
      <w:r>
        <w:rPr>
          <w:rFonts w:ascii="仿宋_GB2312" w:hAnsi="仿宋_GB2312" w:eastAsia="仿宋_GB2312"/>
          <w:b w:val="0"/>
          <w:sz w:val="32"/>
        </w:rPr>
        <w:t>六、《一般公共预算财政拨款基本支出决算表》</w:t>
      </w:r>
    </w:p>
    <w:p w14:paraId="269B3703">
      <w:pPr>
        <w:spacing w:line="240" w:lineRule="auto"/>
        <w:ind w:firstLine="640"/>
        <w:jc w:val="both"/>
      </w:pPr>
      <w:r>
        <w:rPr>
          <w:rFonts w:ascii="仿宋_GB2312" w:hAnsi="仿宋_GB2312" w:eastAsia="仿宋_GB2312"/>
          <w:b w:val="0"/>
          <w:sz w:val="32"/>
        </w:rPr>
        <w:t>七、《政府性基金预算财政拨款收入支出决算表》</w:t>
      </w:r>
    </w:p>
    <w:p w14:paraId="6BC799EB">
      <w:pPr>
        <w:spacing w:line="240" w:lineRule="auto"/>
        <w:ind w:firstLine="640"/>
        <w:jc w:val="both"/>
      </w:pPr>
      <w:r>
        <w:rPr>
          <w:rFonts w:ascii="仿宋_GB2312" w:hAnsi="仿宋_GB2312" w:eastAsia="仿宋_GB2312"/>
          <w:b w:val="0"/>
          <w:sz w:val="32"/>
        </w:rPr>
        <w:t>八、《国有资本经营预算财政拨款收入支出决算表》</w:t>
      </w:r>
    </w:p>
    <w:p w14:paraId="5F876CA1">
      <w:pPr>
        <w:spacing w:line="240" w:lineRule="auto"/>
        <w:ind w:firstLine="640"/>
        <w:jc w:val="both"/>
      </w:pPr>
      <w:r>
        <w:rPr>
          <w:rFonts w:ascii="仿宋_GB2312" w:hAnsi="仿宋_GB2312" w:eastAsia="仿宋_GB2312"/>
          <w:b w:val="0"/>
          <w:sz w:val="32"/>
        </w:rPr>
        <w:t>九、《财政拨款“三公”经费支出决算表》</w:t>
      </w:r>
    </w:p>
    <w:p w14:paraId="6E9B3CCD">
      <w:pPr>
        <w:spacing w:line="240" w:lineRule="auto"/>
        <w:ind w:firstLine="640"/>
        <w:jc w:val="both"/>
      </w:pPr>
    </w:p>
    <w:p w14:paraId="24BA0875">
      <w:pPr>
        <w:spacing w:line="240" w:lineRule="auto"/>
        <w:ind w:firstLine="640"/>
        <w:jc w:val="both"/>
      </w:pPr>
    </w:p>
    <w:p w14:paraId="3AA31595">
      <w:pPr>
        <w:spacing w:line="240" w:lineRule="auto"/>
        <w:ind w:firstLine="640"/>
        <w:jc w:val="both"/>
      </w:pPr>
    </w:p>
    <w:p w14:paraId="5697CA0B">
      <w:pPr>
        <w:spacing w:line="240" w:lineRule="auto"/>
        <w:ind w:firstLine="640"/>
        <w:jc w:val="both"/>
      </w:pPr>
    </w:p>
    <w:p w14:paraId="78CB766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EE734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B77175"/>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4580</Words>
  <Characters>5186</Characters>
  <Lines>0</Lines>
  <Paragraphs>0</Paragraphs>
  <TotalTime>1</TotalTime>
  <ScaleCrop>false</ScaleCrop>
  <LinksUpToDate>false</LinksUpToDate>
  <CharactersWithSpaces>5194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2025-09-05T08:40:45Z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