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CC268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中共喀什地区委员会组织部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774EF4">
      <w:r>
        <w:br w:type="page"/>
      </w:r>
    </w:p>
    <w:p w14:paraId="31525CAC">
      <w:pPr>
        <w:spacing w:line="640" w:lineRule="exact"/>
        <w:jc w:val="center"/>
        <w:outlineLvl w:val="1"/>
      </w:pPr>
      <w:r>
        <w:rPr>
          <w:rFonts w:ascii="黑体" w:hAnsi="黑体" w:eastAsia="黑体"/>
          <w:sz w:val="32"/>
        </w:rPr>
        <w:t>第一部分 单位概况</w:t>
      </w:r>
    </w:p>
    <w:p w14:paraId="0638036A">
      <w:pPr>
        <w:spacing w:line="640" w:lineRule="exact"/>
        <w:ind w:firstLine="640"/>
        <w:jc w:val="both"/>
        <w:outlineLvl w:val="2"/>
      </w:pPr>
      <w:r>
        <w:rPr>
          <w:rFonts w:ascii="黑体" w:hAnsi="黑体" w:eastAsia="黑体"/>
          <w:sz w:val="32"/>
        </w:rPr>
        <w:t>一、主要职能</w:t>
      </w:r>
    </w:p>
    <w:p w14:paraId="79FA7379">
      <w:pPr>
        <w:spacing w:line="580" w:lineRule="exact"/>
        <w:ind w:firstLine="640"/>
        <w:jc w:val="both"/>
      </w:pPr>
      <w:r>
        <w:rPr>
          <w:rFonts w:ascii="仿宋_GB2312" w:hAnsi="仿宋_GB2312" w:eastAsia="仿宋_GB2312"/>
          <w:sz w:val="32"/>
        </w:rPr>
        <w:t>地委组织部在地委领导下，负责贯彻新时代党的组织路线和以习近平同志为核心的党中央治疆方略、聚焦服务社会和长治久安总目标，落实党中央关于组织体系、领导班子建设、领导干部队伍、公务员队伍、人才队伍建设的方针政策和地委决策部署。</w:t>
      </w:r>
    </w:p>
    <w:p w14:paraId="3399F42C">
      <w:pPr>
        <w:spacing w:line="640" w:lineRule="exact"/>
        <w:ind w:firstLine="640"/>
        <w:jc w:val="both"/>
        <w:outlineLvl w:val="2"/>
      </w:pPr>
      <w:r>
        <w:rPr>
          <w:rFonts w:ascii="黑体" w:hAnsi="黑体" w:eastAsia="黑体"/>
          <w:sz w:val="32"/>
        </w:rPr>
        <w:t>二、机构设置及人员情况</w:t>
      </w:r>
    </w:p>
    <w:p w14:paraId="65E90879">
      <w:pPr>
        <w:spacing w:line="580" w:lineRule="exact"/>
        <w:ind w:firstLine="640"/>
        <w:jc w:val="both"/>
      </w:pPr>
      <w:r>
        <w:rPr>
          <w:rFonts w:ascii="仿宋_GB2312" w:hAnsi="仿宋_GB2312" w:eastAsia="仿宋_GB2312"/>
          <w:sz w:val="32"/>
        </w:rPr>
        <w:t>中共喀什地区委员会组织部2024年度，实有人数75人，其中：在职人员66人，减少4人；离休人员0人，增加0人；退休人员9人,增加0人。</w:t>
      </w:r>
    </w:p>
    <w:p w14:paraId="5672C9C9">
      <w:pPr>
        <w:spacing w:line="580" w:lineRule="exact"/>
        <w:ind w:firstLine="640"/>
        <w:jc w:val="both"/>
      </w:pPr>
      <w:r>
        <w:rPr>
          <w:rFonts w:ascii="仿宋_GB2312" w:hAnsi="仿宋_GB2312" w:eastAsia="仿宋_GB2312"/>
          <w:sz w:val="32"/>
        </w:rPr>
        <w:t>中共喀什地区委员会组织部无下属预算单位，下设5个科室，分别是：办公室、干部科、组织科、人才科、援疆科。</w:t>
      </w:r>
    </w:p>
    <w:p w14:paraId="74955B09">
      <w:r>
        <w:br w:type="page"/>
      </w:r>
    </w:p>
    <w:p w14:paraId="69D8717C">
      <w:pPr>
        <w:spacing w:line="240" w:lineRule="auto"/>
        <w:jc w:val="center"/>
        <w:outlineLvl w:val="1"/>
      </w:pPr>
      <w:r>
        <w:rPr>
          <w:rFonts w:ascii="黑体" w:hAnsi="黑体" w:eastAsia="黑体"/>
          <w:sz w:val="32"/>
        </w:rPr>
        <w:t>第二部分 部门决算情况说明</w:t>
      </w:r>
    </w:p>
    <w:p w14:paraId="427846BF">
      <w:pPr>
        <w:spacing w:line="640" w:lineRule="exact"/>
        <w:ind w:firstLine="640"/>
        <w:jc w:val="both"/>
        <w:outlineLvl w:val="2"/>
      </w:pPr>
      <w:r>
        <w:rPr>
          <w:rFonts w:ascii="黑体" w:hAnsi="黑体" w:eastAsia="黑体"/>
          <w:sz w:val="32"/>
        </w:rPr>
        <w:t>一、收入支出决算总体情况说明</w:t>
      </w:r>
    </w:p>
    <w:p w14:paraId="7F944D71">
      <w:pPr>
        <w:spacing w:line="580" w:lineRule="exact"/>
        <w:ind w:firstLine="640"/>
        <w:jc w:val="both"/>
      </w:pPr>
      <w:r>
        <w:rPr>
          <w:rFonts w:ascii="仿宋_GB2312" w:hAnsi="仿宋_GB2312" w:eastAsia="仿宋_GB2312"/>
          <w:b/>
          <w:sz w:val="32"/>
        </w:rPr>
        <w:t>2024年度收入总计3,632.35万元，</w:t>
      </w:r>
      <w:r>
        <w:rPr>
          <w:rFonts w:ascii="仿宋_GB2312" w:hAnsi="仿宋_GB2312" w:eastAsia="仿宋_GB2312"/>
          <w:b w:val="0"/>
          <w:sz w:val="32"/>
        </w:rPr>
        <w:t>其中：本年收入合计2,301.02万元，使用非财政拨款结余（含专用结余）0.00万元，年初结转和结余1,331.33万元。</w:t>
      </w:r>
    </w:p>
    <w:p w14:paraId="374DC76D">
      <w:pPr>
        <w:spacing w:line="580" w:lineRule="exact"/>
        <w:ind w:firstLine="640"/>
        <w:jc w:val="both"/>
      </w:pPr>
      <w:r>
        <w:rPr>
          <w:rFonts w:ascii="仿宋_GB2312" w:hAnsi="仿宋_GB2312" w:eastAsia="仿宋_GB2312"/>
          <w:b/>
          <w:sz w:val="32"/>
        </w:rPr>
        <w:t>2024年度支出总计3,632.35万元，</w:t>
      </w:r>
      <w:r>
        <w:rPr>
          <w:rFonts w:ascii="仿宋_GB2312" w:hAnsi="仿宋_GB2312" w:eastAsia="仿宋_GB2312"/>
          <w:b w:val="0"/>
          <w:sz w:val="32"/>
        </w:rPr>
        <w:t>其中：本年支出合计2,636.75万元，结余分配0.00万元，年末结转和结余995.60万元。</w:t>
      </w:r>
    </w:p>
    <w:p w14:paraId="2C6C45BF">
      <w:pPr>
        <w:spacing w:line="580" w:lineRule="exact"/>
        <w:ind w:firstLine="640"/>
        <w:jc w:val="both"/>
      </w:pPr>
      <w:r>
        <w:rPr>
          <w:rFonts w:ascii="仿宋_GB2312" w:hAnsi="仿宋_GB2312" w:eastAsia="仿宋_GB2312"/>
          <w:b w:val="0"/>
          <w:sz w:val="32"/>
        </w:rPr>
        <w:t>收入支出总体与上年相比，减少694.28万元，下降16.05%，主要原因是：本年减少服务人才和优化人才环境、清华大学学生社会实践基地支持等项目经费，导致相关经费减少。</w:t>
      </w:r>
    </w:p>
    <w:p w14:paraId="17B41CDB">
      <w:pPr>
        <w:spacing w:line="640" w:lineRule="exact"/>
        <w:ind w:firstLine="640"/>
        <w:jc w:val="both"/>
        <w:outlineLvl w:val="2"/>
      </w:pPr>
      <w:r>
        <w:rPr>
          <w:rFonts w:ascii="黑体" w:hAnsi="黑体" w:eastAsia="黑体"/>
          <w:sz w:val="32"/>
        </w:rPr>
        <w:t>二、收入决算情况说明</w:t>
      </w:r>
    </w:p>
    <w:p w14:paraId="626C7367">
      <w:pPr>
        <w:spacing w:line="580" w:lineRule="exact"/>
        <w:ind w:firstLine="640"/>
        <w:jc w:val="both"/>
      </w:pPr>
      <w:r>
        <w:rPr>
          <w:rFonts w:ascii="仿宋_GB2312" w:hAnsi="仿宋_GB2312" w:eastAsia="仿宋_GB2312"/>
          <w:b/>
          <w:sz w:val="32"/>
        </w:rPr>
        <w:t>本年收入2,301.02万元，</w:t>
      </w:r>
      <w:r>
        <w:rPr>
          <w:rFonts w:ascii="仿宋_GB2312" w:hAnsi="仿宋_GB2312" w:eastAsia="仿宋_GB2312"/>
          <w:b w:val="0"/>
          <w:sz w:val="32"/>
        </w:rPr>
        <w:t>其中：财政拨款收入2,041.45万元，占88.72%；上级补助收入0.00万元，占0.00%；事业收入0.00万元，占0.00%；经营收入0.00万元，占0.00%；附属单位上缴收入0.00万元，占0.00%；其他收入259.56万元，占11.28%。</w:t>
      </w:r>
    </w:p>
    <w:p w14:paraId="4FA54EAF">
      <w:pPr>
        <w:spacing w:line="640" w:lineRule="exact"/>
        <w:ind w:firstLine="640"/>
        <w:jc w:val="both"/>
        <w:outlineLvl w:val="2"/>
      </w:pPr>
      <w:r>
        <w:rPr>
          <w:rFonts w:ascii="黑体" w:hAnsi="黑体" w:eastAsia="黑体"/>
          <w:sz w:val="32"/>
        </w:rPr>
        <w:t>三、支出决算情况说明</w:t>
      </w:r>
    </w:p>
    <w:p w14:paraId="7129A3A9">
      <w:pPr>
        <w:spacing w:line="580" w:lineRule="exact"/>
        <w:ind w:firstLine="640"/>
        <w:jc w:val="both"/>
      </w:pPr>
      <w:r>
        <w:rPr>
          <w:rFonts w:ascii="仿宋_GB2312" w:hAnsi="仿宋_GB2312" w:eastAsia="仿宋_GB2312"/>
          <w:b/>
          <w:sz w:val="32"/>
        </w:rPr>
        <w:t>本年支出2,636.75万元，</w:t>
      </w:r>
      <w:r>
        <w:rPr>
          <w:rFonts w:ascii="仿宋_GB2312" w:hAnsi="仿宋_GB2312" w:eastAsia="仿宋_GB2312"/>
          <w:b w:val="0"/>
          <w:sz w:val="32"/>
        </w:rPr>
        <w:t>其中：基本支出1,381.20万元，占52.38%；项目支出1,255.56万元，占47.62%；上缴上级支出0.00万元，占0.00%；经营支出0.00万元，占0.00%；对附属单位补助支出0.00万元，占0.00%。</w:t>
      </w:r>
    </w:p>
    <w:p w14:paraId="1EF29080">
      <w:pPr>
        <w:spacing w:line="640" w:lineRule="exact"/>
        <w:ind w:firstLine="640"/>
        <w:jc w:val="both"/>
        <w:outlineLvl w:val="2"/>
      </w:pPr>
      <w:r>
        <w:rPr>
          <w:rFonts w:ascii="黑体" w:hAnsi="黑体" w:eastAsia="黑体"/>
          <w:sz w:val="32"/>
        </w:rPr>
        <w:t>四、财政拨款收入支出决算总体情况说明</w:t>
      </w:r>
    </w:p>
    <w:p w14:paraId="5B3154B4">
      <w:pPr>
        <w:spacing w:line="580" w:lineRule="exact"/>
        <w:ind w:firstLine="640"/>
        <w:jc w:val="both"/>
      </w:pPr>
      <w:r>
        <w:rPr>
          <w:rFonts w:ascii="仿宋_GB2312" w:hAnsi="仿宋_GB2312" w:eastAsia="仿宋_GB2312"/>
          <w:b/>
          <w:sz w:val="32"/>
        </w:rPr>
        <w:t>2024年度财政拨款收入总计2,041.45万元，</w:t>
      </w:r>
      <w:r>
        <w:rPr>
          <w:rFonts w:ascii="仿宋_GB2312" w:hAnsi="仿宋_GB2312" w:eastAsia="仿宋_GB2312"/>
          <w:b w:val="0"/>
          <w:sz w:val="32"/>
        </w:rPr>
        <w:t>其中：年初财政拨款结转和结余0.00万元，本年财政拨款收入2,041.45万元。</w:t>
      </w:r>
      <w:r>
        <w:rPr>
          <w:rFonts w:ascii="仿宋_GB2312" w:hAnsi="仿宋_GB2312" w:eastAsia="仿宋_GB2312"/>
          <w:b/>
          <w:sz w:val="32"/>
        </w:rPr>
        <w:t>财政拨款支出总计2,041.45万元，</w:t>
      </w:r>
      <w:r>
        <w:rPr>
          <w:rFonts w:ascii="仿宋_GB2312" w:hAnsi="仿宋_GB2312" w:eastAsia="仿宋_GB2312"/>
          <w:b w:val="0"/>
          <w:sz w:val="32"/>
        </w:rPr>
        <w:t>其中：年末财政拨款结转和结余0.00万元，本年财政拨款支出2,041.45万元。</w:t>
      </w:r>
    </w:p>
    <w:p w14:paraId="7C23E9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减少44.27万元，下降2.12%，主要原因是：本年在职人员减少，相关人员经费较上年减少。本年新增退休人员较上年减少，职业年金缴费较上年减少。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年初预算数2,870.08万元，决算数2,041.45万元，预决算差异率-28.87%，主要原因是：年中调减ZL经费、工作领导小组办公室经费等项目经费，导致预决算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6E97E96E">
      <w:pPr>
        <w:spacing w:line="640" w:lineRule="exact"/>
        <w:ind w:firstLine="640"/>
        <w:jc w:val="both"/>
        <w:outlineLvl w:val="2"/>
      </w:pPr>
      <w:r>
        <w:rPr>
          <w:rFonts w:ascii="黑体" w:hAnsi="黑体" w:eastAsia="黑体"/>
          <w:sz w:val="32"/>
        </w:rPr>
        <w:t>五、一般公共预算财政拨款支出决算情况说明</w:t>
      </w:r>
    </w:p>
    <w:p w14:paraId="323386C2">
      <w:pPr>
        <w:spacing w:line="640" w:lineRule="exact"/>
        <w:ind w:firstLine="640"/>
        <w:jc w:val="both"/>
        <w:outlineLvl w:val="3"/>
      </w:pPr>
      <w:r>
        <w:rPr>
          <w:rFonts w:ascii="楷体_GB2312" w:hAnsi="楷体_GB2312" w:eastAsia="楷体_GB2312"/>
          <w:b/>
          <w:sz w:val="32"/>
        </w:rPr>
        <w:t>（一）一般公共预算财政拨款支出决算总体情况</w:t>
      </w:r>
    </w:p>
    <w:p w14:paraId="03457356">
      <w:pPr>
        <w:spacing w:line="580" w:lineRule="exact"/>
        <w:ind w:firstLine="640"/>
        <w:jc w:val="both"/>
      </w:pPr>
      <w:r>
        <w:rPr>
          <w:rFonts w:ascii="仿宋_GB2312" w:hAnsi="仿宋_GB2312" w:eastAsia="仿宋_GB2312"/>
          <w:b/>
          <w:sz w:val="32"/>
        </w:rPr>
        <w:t>2024年度一般公共预算财政拨款支出2,041.45万元，</w:t>
      </w:r>
      <w:r>
        <w:rPr>
          <w:rFonts w:ascii="仿宋_GB2312" w:hAnsi="仿宋_GB2312" w:eastAsia="仿宋_GB2312"/>
          <w:b w:val="0"/>
          <w:sz w:val="32"/>
        </w:rPr>
        <w:t>占本年支出合计的77.42%。</w:t>
      </w:r>
      <w:r>
        <w:rPr>
          <w:rFonts w:ascii="仿宋_GB2312" w:hAnsi="仿宋_GB2312" w:eastAsia="仿宋_GB2312"/>
          <w:b/>
          <w:sz w:val="32"/>
        </w:rPr>
        <w:t>与上年相比，</w:t>
      </w:r>
      <w:r>
        <w:rPr>
          <w:rFonts w:ascii="仿宋_GB2312" w:hAnsi="仿宋_GB2312" w:eastAsia="仿宋_GB2312"/>
          <w:b w:val="0"/>
          <w:sz w:val="32"/>
        </w:rPr>
        <w:t>减少44.27万元，下降2.12%，主要原因是：本年在职人员减少，相关人员经费较上年减少。本年新增退休人员较上年减少，职业年金缴费较上年减少。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年初预算数2,870.08万元，决算数2,041.45万元，预决算差异率-28.87%，主要原因是：年中调减ZL经费、工作领导小组办公室经费等项目经费，导致预决算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2D167B52">
      <w:pPr>
        <w:spacing w:line="640" w:lineRule="exact"/>
        <w:ind w:firstLine="640"/>
        <w:jc w:val="both"/>
        <w:outlineLvl w:val="3"/>
      </w:pPr>
      <w:r>
        <w:rPr>
          <w:rFonts w:ascii="楷体_GB2312" w:hAnsi="楷体_GB2312" w:eastAsia="楷体_GB2312"/>
          <w:b/>
          <w:sz w:val="32"/>
        </w:rPr>
        <w:t>（二）一般公共预算财政拨款支出决算结构情况</w:t>
      </w:r>
    </w:p>
    <w:p w14:paraId="7B9FD052">
      <w:pPr>
        <w:spacing w:line="580" w:lineRule="exact"/>
        <w:ind w:firstLine="640"/>
        <w:jc w:val="both"/>
      </w:pPr>
      <w:r>
        <w:rPr>
          <w:rFonts w:ascii="仿宋_GB2312" w:hAnsi="仿宋_GB2312" w:eastAsia="仿宋_GB2312"/>
          <w:b w:val="0"/>
          <w:sz w:val="32"/>
        </w:rPr>
        <w:t>1.一般公共服务支出(类)1,737.14万元,占85.09%。</w:t>
      </w:r>
    </w:p>
    <w:p w14:paraId="5D8C3273">
      <w:pPr>
        <w:spacing w:line="580" w:lineRule="exact"/>
        <w:ind w:firstLine="640"/>
        <w:jc w:val="both"/>
      </w:pPr>
      <w:r>
        <w:rPr>
          <w:rFonts w:ascii="仿宋_GB2312" w:hAnsi="仿宋_GB2312" w:eastAsia="仿宋_GB2312"/>
          <w:b w:val="0"/>
          <w:sz w:val="32"/>
        </w:rPr>
        <w:t>2.社会保障和就业支出(类)137.26万元,占6.72%。</w:t>
      </w:r>
    </w:p>
    <w:p w14:paraId="750EF723">
      <w:pPr>
        <w:spacing w:line="580" w:lineRule="exact"/>
        <w:ind w:firstLine="640"/>
        <w:jc w:val="both"/>
      </w:pPr>
      <w:r>
        <w:rPr>
          <w:rFonts w:ascii="仿宋_GB2312" w:hAnsi="仿宋_GB2312" w:eastAsia="仿宋_GB2312"/>
          <w:b w:val="0"/>
          <w:sz w:val="32"/>
        </w:rPr>
        <w:t>3.卫生健康支出(类)62.43万元,占3.06%。</w:t>
      </w:r>
    </w:p>
    <w:p w14:paraId="25CD56A8">
      <w:pPr>
        <w:spacing w:line="580" w:lineRule="exact"/>
        <w:ind w:firstLine="640"/>
        <w:jc w:val="both"/>
      </w:pPr>
      <w:r>
        <w:rPr>
          <w:rFonts w:ascii="仿宋_GB2312" w:hAnsi="仿宋_GB2312" w:eastAsia="仿宋_GB2312"/>
          <w:b w:val="0"/>
          <w:sz w:val="32"/>
        </w:rPr>
        <w:t>4.住房保障支出(类)104.63万元,占5.13%。</w:t>
      </w:r>
    </w:p>
    <w:p w14:paraId="58D449DA">
      <w:pPr>
        <w:spacing w:line="640" w:lineRule="exact"/>
        <w:ind w:firstLine="640"/>
        <w:jc w:val="both"/>
        <w:outlineLvl w:val="3"/>
      </w:pPr>
      <w:r>
        <w:rPr>
          <w:rFonts w:ascii="楷体_GB2312" w:hAnsi="楷体_GB2312" w:eastAsia="楷体_GB2312"/>
          <w:b/>
          <w:sz w:val="32"/>
        </w:rPr>
        <w:t>（三）一般公共预算财政拨款支出决算具体情况</w:t>
      </w:r>
    </w:p>
    <w:p w14:paraId="57F8E1EF">
      <w:pPr>
        <w:spacing w:line="580" w:lineRule="exact"/>
        <w:ind w:firstLine="640"/>
        <w:jc w:val="both"/>
      </w:pPr>
      <w:r>
        <w:rPr>
          <w:rFonts w:ascii="仿宋_GB2312" w:hAnsi="仿宋_GB2312" w:eastAsia="仿宋_GB2312"/>
          <w:b w:val="0"/>
          <w:sz w:val="32"/>
        </w:rPr>
        <w:t>1.一般公共服务支出(类)组织事务(款)行政运行(项):支出决算数为1,074.68万元，比上年决算减少64.32万元，下降5.65%,主要原因是：本年在职人员减少，相关人员经费较上年减少。</w:t>
      </w:r>
    </w:p>
    <w:p w14:paraId="332B74FF">
      <w:pPr>
        <w:spacing w:line="580" w:lineRule="exact"/>
        <w:ind w:firstLine="640"/>
        <w:jc w:val="both"/>
      </w:pPr>
      <w:r>
        <w:rPr>
          <w:rFonts w:ascii="仿宋_GB2312" w:hAnsi="仿宋_GB2312" w:eastAsia="仿宋_GB2312"/>
          <w:b w:val="0"/>
          <w:sz w:val="32"/>
        </w:rPr>
        <w:t>2.一般公共服务支出(类)组织事务(款)一般行政管理事务(项):支出决算数为451.86万元，比上年决算增加137.98万元，增长43.96%,主要原因是：本年增加了干部人才培养培训项目、智力援疆创新拓展人才计划项目等。</w:t>
      </w:r>
    </w:p>
    <w:p w14:paraId="27FCE4CE">
      <w:pPr>
        <w:spacing w:line="580" w:lineRule="exact"/>
        <w:ind w:firstLine="640"/>
        <w:jc w:val="both"/>
      </w:pPr>
      <w:r>
        <w:rPr>
          <w:rFonts w:ascii="仿宋_GB2312" w:hAnsi="仿宋_GB2312" w:eastAsia="仿宋_GB2312"/>
          <w:b w:val="0"/>
          <w:sz w:val="32"/>
        </w:rPr>
        <w:t>3.一般公共服务支出(类)组织事务(款)公务员事务(项):支出决算数为40.86万元，比上年决算减少144.58万元，下降77.97%,主要原因是：本年功能科目调整，部分ZL其他省市高校毕业生、留疆战士项目经费上年度在公务员事务科目列支，本年调整至其他组织事务科目列支，导致经费较上年减少。</w:t>
      </w:r>
    </w:p>
    <w:p w14:paraId="1B145098">
      <w:pPr>
        <w:spacing w:line="580" w:lineRule="exact"/>
        <w:ind w:firstLine="640"/>
        <w:jc w:val="both"/>
      </w:pPr>
      <w:r>
        <w:rPr>
          <w:rFonts w:ascii="仿宋_GB2312" w:hAnsi="仿宋_GB2312" w:eastAsia="仿宋_GB2312"/>
          <w:b w:val="0"/>
          <w:sz w:val="32"/>
        </w:rPr>
        <w:t>4.一般公共服务支出(类)组织事务(款)其他组织事务支出(项):支出决算数为167.53万元，比上年决算增加49.88万元，增长42.40%,主要原因是：本年功能科目调整，部分ZL其他省市高校毕业生、留疆战士项目经费上年度在公务员事务科目列支，本年调整至其他组织事务科目列支，导致经费较上年增加。</w:t>
      </w:r>
    </w:p>
    <w:p w14:paraId="0B8CD8E3">
      <w:pPr>
        <w:spacing w:line="580" w:lineRule="exact"/>
        <w:ind w:firstLine="640"/>
        <w:jc w:val="both"/>
      </w:pPr>
      <w:r>
        <w:rPr>
          <w:rFonts w:ascii="仿宋_GB2312" w:hAnsi="仿宋_GB2312" w:eastAsia="仿宋_GB2312"/>
          <w:b w:val="0"/>
          <w:sz w:val="32"/>
        </w:rPr>
        <w:t>5.一般公共服务支出(类)统战事务(款)宗教事务(项):支出决算数为2.20万元，比上年决算增加2.20万元，增长100.00%,主要原因是：本年增加了下乡人员生活补贴，导致相关经费增加。</w:t>
      </w:r>
    </w:p>
    <w:p w14:paraId="60B26857">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6.社会保障和就业支出(类)行政事业单位养老支出(款)行政单位离退休(项):支出决算数为15.96万元，比上年决算增加3.93万元，增长32.67%,主要原因是：本年增加退休人员基础绩效奖，退休费支出增加。</w:t>
      </w:r>
    </w:p>
    <w:p w14:paraId="63ECCD6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121.30万元，比上年决算减少2.93万元，下降2.36%,主要原因是：本年在职人员减少，单位基本养老保险缴费较上年减少。</w:t>
      </w:r>
    </w:p>
    <w:p w14:paraId="60FD316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8.社会保障和就业支出(类)行政事业单位养老支出(款)机关事业单位职业年金缴费支出(项):支出决算数为0.00万元，比上年决算减少23.53万元，下降100.00%,主要原因是：本年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新增退休人员，职业年金缴费较上年减少。</w:t>
      </w:r>
    </w:p>
    <w:p w14:paraId="6C6CC72C">
      <w:pPr>
        <w:spacing w:line="580" w:lineRule="exact"/>
        <w:ind w:firstLine="640"/>
        <w:jc w:val="both"/>
      </w:pPr>
      <w:r>
        <w:rPr>
          <w:rFonts w:ascii="仿宋_GB2312" w:hAnsi="仿宋_GB2312" w:eastAsia="仿宋_GB2312"/>
          <w:b w:val="0"/>
          <w:sz w:val="32"/>
        </w:rPr>
        <w:t>9.卫生健康支出(类)行政事业单位医疗(款)行政单位医疗(项):支出决算数为51.55万元，比上年决算减少1.77万元，下降3.32%,主要原因是：本年在职人员减少，行政单位医疗支出较上年减少。</w:t>
      </w:r>
    </w:p>
    <w:p w14:paraId="264EF745">
      <w:pPr>
        <w:spacing w:line="580" w:lineRule="exact"/>
        <w:ind w:firstLine="640"/>
        <w:jc w:val="both"/>
      </w:pPr>
      <w:r>
        <w:rPr>
          <w:rFonts w:ascii="仿宋_GB2312" w:hAnsi="仿宋_GB2312" w:eastAsia="仿宋_GB2312"/>
          <w:b w:val="0"/>
          <w:sz w:val="32"/>
        </w:rPr>
        <w:t>10.卫生健康支出(类)行政事业单位医疗(款)公务员医疗补助(项):支出决算数为10.88万元，比上年决算减少0.54万元，下降4.73%,主要原因是：本年在职人员减少，公务员医疗补助较上年减少。</w:t>
      </w:r>
    </w:p>
    <w:p w14:paraId="1C70B885">
      <w:pPr>
        <w:spacing w:line="580" w:lineRule="exact"/>
        <w:ind w:firstLine="640"/>
        <w:jc w:val="both"/>
      </w:pPr>
      <w:r>
        <w:rPr>
          <w:rFonts w:ascii="仿宋_GB2312" w:hAnsi="仿宋_GB2312" w:eastAsia="仿宋_GB2312"/>
          <w:b w:val="0"/>
          <w:sz w:val="32"/>
        </w:rPr>
        <w:t>11.住房保障支出(类)住房改革支出(款)住房公积金(项):支出决算数为104.63万元，比上年决算增加0.27万元，增长0.26%,主要原因是：本年在职人员工资基数调增，公积金缴费基数上涨，相应支出增加。</w:t>
      </w:r>
    </w:p>
    <w:p w14:paraId="08CD9339">
      <w:pPr>
        <w:spacing w:line="580" w:lineRule="exact"/>
        <w:ind w:firstLine="640"/>
        <w:jc w:val="both"/>
      </w:pPr>
      <w:r>
        <w:rPr>
          <w:rFonts w:ascii="仿宋_GB2312" w:hAnsi="仿宋_GB2312" w:eastAsia="仿宋_GB2312"/>
          <w:b w:val="0"/>
          <w:sz w:val="32"/>
        </w:rPr>
        <w:t>12.其他支出(类)其他支出(款)其他支出(项):支出决算数为0.00万元，比上年决算减少0.85万元，下降100.00%,主要原因是：本年专项项目经费减少，导致此科目经费减少。</w:t>
      </w:r>
    </w:p>
    <w:p w14:paraId="72A25E3A">
      <w:pPr>
        <w:spacing w:line="640" w:lineRule="exact"/>
        <w:ind w:firstLine="640"/>
        <w:jc w:val="both"/>
        <w:outlineLvl w:val="2"/>
      </w:pPr>
      <w:r>
        <w:rPr>
          <w:rFonts w:ascii="黑体" w:hAnsi="黑体" w:eastAsia="黑体"/>
          <w:sz w:val="32"/>
        </w:rPr>
        <w:t>六、一般公共预算财政拨款基本支出决算情况说明</w:t>
      </w:r>
    </w:p>
    <w:p w14:paraId="7C985368">
      <w:pPr>
        <w:spacing w:line="580" w:lineRule="exact"/>
        <w:ind w:firstLine="640"/>
        <w:jc w:val="both"/>
      </w:pPr>
      <w:r>
        <w:rPr>
          <w:rFonts w:ascii="仿宋_GB2312" w:hAnsi="仿宋_GB2312" w:eastAsia="仿宋_GB2312"/>
          <w:b w:val="0"/>
          <w:sz w:val="32"/>
        </w:rPr>
        <w:t>2024年度一般公共预算财政拨款基本支出1,381.20万元，其中：</w:t>
      </w:r>
      <w:r>
        <w:rPr>
          <w:rFonts w:ascii="仿宋_GB2312" w:hAnsi="仿宋_GB2312" w:eastAsia="仿宋_GB2312"/>
          <w:b/>
          <w:sz w:val="32"/>
        </w:rPr>
        <w:t>人员经费1,320.39万元，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14:paraId="0D0B56C8">
      <w:pPr>
        <w:spacing w:line="580" w:lineRule="exact"/>
        <w:ind w:firstLine="640"/>
        <w:jc w:val="both"/>
      </w:pPr>
      <w:r>
        <w:rPr>
          <w:rFonts w:ascii="仿宋_GB2312" w:hAnsi="仿宋_GB2312" w:eastAsia="仿宋_GB2312"/>
          <w:b/>
          <w:sz w:val="32"/>
        </w:rPr>
        <w:t>公用经费60.80万元，</w:t>
      </w:r>
      <w:r>
        <w:rPr>
          <w:rFonts w:ascii="仿宋_GB2312" w:hAnsi="仿宋_GB2312" w:eastAsia="仿宋_GB2312"/>
          <w:b w:val="0"/>
          <w:sz w:val="32"/>
        </w:rPr>
        <w:t>包括：办公费、水费、电费、邮电费、取暖费、差旅费、租赁费、专用材料费、工会经费、公务用车运行维护费、其他交通费用、其他商品和服务支出。</w:t>
      </w:r>
    </w:p>
    <w:p w14:paraId="663F3ABF">
      <w:pPr>
        <w:spacing w:line="640" w:lineRule="exact"/>
        <w:ind w:firstLine="640"/>
        <w:jc w:val="both"/>
        <w:outlineLvl w:val="2"/>
      </w:pPr>
      <w:r>
        <w:rPr>
          <w:rFonts w:ascii="黑体" w:hAnsi="黑体" w:eastAsia="黑体"/>
          <w:sz w:val="32"/>
        </w:rPr>
        <w:t>七、政府性基金预算财政拨款收入支出决算情况说明</w:t>
      </w:r>
    </w:p>
    <w:p w14:paraId="394FCF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36216C">
      <w:pPr>
        <w:spacing w:line="640" w:lineRule="exact"/>
        <w:ind w:firstLine="640"/>
        <w:jc w:val="both"/>
        <w:outlineLvl w:val="2"/>
      </w:pPr>
      <w:r>
        <w:rPr>
          <w:rFonts w:ascii="黑体" w:hAnsi="黑体" w:eastAsia="黑体"/>
          <w:sz w:val="32"/>
        </w:rPr>
        <w:t>八、国有资本经营预算财政拨款收入支出决算情况说明</w:t>
      </w:r>
    </w:p>
    <w:p w14:paraId="4CE12F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999BD18">
      <w:pPr>
        <w:spacing w:line="640" w:lineRule="exact"/>
        <w:ind w:firstLine="640"/>
        <w:jc w:val="both"/>
        <w:outlineLvl w:val="2"/>
      </w:pPr>
      <w:r>
        <w:rPr>
          <w:rFonts w:ascii="黑体" w:hAnsi="黑体" w:eastAsia="黑体"/>
          <w:sz w:val="32"/>
        </w:rPr>
        <w:t>九、财政拨款“三公”经费支出决算情况说明</w:t>
      </w:r>
    </w:p>
    <w:p w14:paraId="62AEBB54">
      <w:pPr>
        <w:spacing w:line="580" w:lineRule="exact"/>
        <w:ind w:firstLine="640"/>
        <w:jc w:val="both"/>
      </w:pPr>
      <w:r>
        <w:rPr>
          <w:rFonts w:ascii="仿宋_GB2312" w:hAnsi="仿宋_GB2312" w:eastAsia="仿宋_GB2312"/>
          <w:b/>
          <w:sz w:val="32"/>
        </w:rPr>
        <w:t>2024年度财政拨款“三公”经费支出8.40万元，</w:t>
      </w:r>
      <w:r>
        <w:rPr>
          <w:rFonts w:ascii="仿宋_GB2312" w:hAnsi="仿宋_GB2312" w:eastAsia="仿宋_GB2312"/>
          <w:b w:val="0"/>
          <w:sz w:val="32"/>
        </w:rPr>
        <w:t>比上年增加0.39万元，增长4.87%，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8.40万元，占100.00%，比上年增加0.39万元，增长4.87%，主要原因是：本年因业务需求，用车次数增加，燃油费增加，导致公务用车运行维护费较上年增加。公务接待费支出0.00万元，占0.00%，比上年增加0.00万元，增长0.00%，主要原因是：2023年与2024年均未安排公务接待费支出。</w:t>
      </w:r>
    </w:p>
    <w:p w14:paraId="4E08A29F">
      <w:pPr>
        <w:spacing w:line="580" w:lineRule="exact"/>
        <w:ind w:firstLine="640"/>
        <w:jc w:val="both"/>
      </w:pPr>
      <w:r>
        <w:rPr>
          <w:rFonts w:ascii="仿宋_GB2312" w:hAnsi="仿宋_GB2312" w:eastAsia="仿宋_GB2312"/>
          <w:b/>
          <w:sz w:val="32"/>
        </w:rPr>
        <w:t>具体情况如下：</w:t>
      </w:r>
    </w:p>
    <w:p w14:paraId="1EC001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FAC83B">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加油费、维修费、保险费、审车费、过路费等。公务用车购置数0辆，公务用车保有量4辆。国有资产占用情况中固定资产车辆2辆，与公务用车保有量差异原因是：另有两辆车为援疆指挥部捐赠车辆，</w:t>
      </w:r>
      <w:r>
        <w:rPr>
          <w:rFonts w:hint="eastAsia" w:ascii="仿宋_GB2312" w:hAnsi="仿宋_GB2312" w:eastAsia="仿宋_GB2312"/>
          <w:b w:val="0"/>
          <w:sz w:val="32"/>
          <w:lang w:val="en-US" w:eastAsia="zh-CN"/>
        </w:rPr>
        <w:t>暂</w:t>
      </w:r>
      <w:r>
        <w:rPr>
          <w:rFonts w:ascii="仿宋_GB2312" w:hAnsi="仿宋_GB2312" w:eastAsia="仿宋_GB2312"/>
          <w:b w:val="0"/>
          <w:sz w:val="32"/>
        </w:rPr>
        <w:t>未录入固定资产系统。</w:t>
      </w:r>
    </w:p>
    <w:p w14:paraId="26881A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0015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8.40万元，决算数8.40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8.40万元，决算数8.40万元，预决算差异率0.00%，主要原因是：严格按照预算执行，预决算无差异。公务接待费全年预算数0.00万元，决算数0.00万元，预决算差异率0.00%，主要原因是：本单位无公务接待费。</w:t>
      </w:r>
    </w:p>
    <w:p w14:paraId="4DCC7BE4">
      <w:pPr>
        <w:spacing w:line="640" w:lineRule="exact"/>
        <w:ind w:firstLine="640"/>
        <w:jc w:val="both"/>
        <w:outlineLvl w:val="2"/>
      </w:pPr>
      <w:r>
        <w:rPr>
          <w:rFonts w:ascii="黑体" w:hAnsi="黑体" w:eastAsia="黑体"/>
          <w:sz w:val="32"/>
        </w:rPr>
        <w:t>十、其他重要事项的情况说明</w:t>
      </w:r>
    </w:p>
    <w:p w14:paraId="5A20E5BC">
      <w:pPr>
        <w:spacing w:line="640" w:lineRule="exact"/>
        <w:ind w:firstLine="640"/>
        <w:jc w:val="both"/>
        <w:outlineLvl w:val="3"/>
      </w:pPr>
      <w:r>
        <w:rPr>
          <w:rFonts w:ascii="楷体_GB2312" w:hAnsi="楷体_GB2312" w:eastAsia="楷体_GB2312"/>
          <w:b/>
          <w:sz w:val="32"/>
        </w:rPr>
        <w:t>（一）机关运行经费及公用经费支出情况</w:t>
      </w:r>
    </w:p>
    <w:p w14:paraId="5607D48C">
      <w:pPr>
        <w:spacing w:line="580" w:lineRule="exact"/>
        <w:ind w:firstLine="640"/>
        <w:jc w:val="both"/>
      </w:pPr>
      <w:r>
        <w:rPr>
          <w:rFonts w:ascii="仿宋_GB2312" w:hAnsi="仿宋_GB2312" w:eastAsia="仿宋_GB2312"/>
          <w:b w:val="0"/>
          <w:sz w:val="32"/>
        </w:rPr>
        <w:t>2024年度中共喀什地区委员会组织部（行政单位和参照公务员法管理事业单位）机关运行经费支出60.80万元，比上年减少10.60万元，下降14.85%，主要原因是：本年劳务费和其他商品服务支出减少，导致机关运行经费减少。</w:t>
      </w:r>
    </w:p>
    <w:p w14:paraId="63819CE4">
      <w:pPr>
        <w:spacing w:line="640" w:lineRule="exact"/>
        <w:ind w:firstLine="640"/>
        <w:jc w:val="both"/>
        <w:outlineLvl w:val="3"/>
      </w:pPr>
      <w:r>
        <w:rPr>
          <w:rFonts w:ascii="楷体_GB2312" w:hAnsi="楷体_GB2312" w:eastAsia="楷体_GB2312"/>
          <w:b/>
          <w:sz w:val="32"/>
        </w:rPr>
        <w:t>（二）政府采购情况</w:t>
      </w:r>
    </w:p>
    <w:p w14:paraId="63EB0943">
      <w:pPr>
        <w:spacing w:line="580" w:lineRule="exact"/>
        <w:ind w:firstLine="640"/>
        <w:jc w:val="both"/>
      </w:pPr>
      <w:r>
        <w:rPr>
          <w:rFonts w:ascii="仿宋_GB2312" w:hAnsi="仿宋_GB2312" w:eastAsia="仿宋_GB2312"/>
          <w:b w:val="0"/>
          <w:sz w:val="32"/>
        </w:rPr>
        <w:t>2024年度政府采购支出总额240.85万元，其中：政府采购货物支出136.24万元、政府采购工程支出3.10万元、政府采购服务支出101.50万元。</w:t>
      </w:r>
    </w:p>
    <w:p w14:paraId="388E8323">
      <w:pPr>
        <w:spacing w:line="580" w:lineRule="exact"/>
        <w:ind w:firstLine="640"/>
        <w:jc w:val="both"/>
      </w:pPr>
      <w:r>
        <w:rPr>
          <w:rFonts w:ascii="仿宋_GB2312" w:hAnsi="仿宋_GB2312" w:eastAsia="仿宋_GB2312"/>
          <w:b w:val="0"/>
          <w:sz w:val="32"/>
        </w:rPr>
        <w:t>授予中小企业合同金额240.85万元，占政府采购支出总额的100.00%，其中：授予小微企业合同金额230.16万元，占政府采购支出总额的95.56%。</w:t>
      </w:r>
    </w:p>
    <w:p w14:paraId="64F1F8EB">
      <w:pPr>
        <w:spacing w:line="640" w:lineRule="exact"/>
        <w:ind w:firstLine="640"/>
        <w:jc w:val="both"/>
        <w:outlineLvl w:val="3"/>
      </w:pPr>
      <w:r>
        <w:rPr>
          <w:rFonts w:ascii="楷体_GB2312" w:hAnsi="楷体_GB2312" w:eastAsia="楷体_GB2312"/>
          <w:b/>
          <w:sz w:val="32"/>
        </w:rPr>
        <w:t>（三）国有资产占用情况说明</w:t>
      </w:r>
    </w:p>
    <w:p w14:paraId="42546693">
      <w:pPr>
        <w:spacing w:line="580" w:lineRule="exact"/>
        <w:ind w:firstLine="640"/>
        <w:jc w:val="both"/>
      </w:pPr>
      <w:r>
        <w:rPr>
          <w:rFonts w:ascii="仿宋_GB2312" w:hAnsi="仿宋_GB2312" w:eastAsia="仿宋_GB2312"/>
          <w:b w:val="0"/>
          <w:sz w:val="32"/>
        </w:rPr>
        <w:t>截至2024年12月31日，房屋0.00平方米，价值0.00万元。车辆2辆，价值50.00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25CC6449">
      <w:pPr>
        <w:spacing w:line="640" w:lineRule="exact"/>
        <w:ind w:firstLine="640"/>
        <w:jc w:val="both"/>
        <w:outlineLvl w:val="2"/>
      </w:pPr>
      <w:r>
        <w:rPr>
          <w:rFonts w:ascii="黑体" w:hAnsi="黑体" w:eastAsia="黑体"/>
          <w:sz w:val="32"/>
        </w:rPr>
        <w:t>十一、预算绩效的情况说明</w:t>
      </w:r>
    </w:p>
    <w:p w14:paraId="7DB9E0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3,327.39万元，实际执行总额2,636.75万元；预算绩效评价项目20个，全年预算数881.75万元，全年执行数660.99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w:t>
      </w:r>
    </w:p>
    <w:p w14:paraId="6DDDE0D3">
      <w:r>
        <w:br w:type="page"/>
      </w:r>
    </w:p>
    <w:p w14:paraId="25D35FB8">
      <w:pPr>
        <w:spacing w:line="640" w:lineRule="exact"/>
        <w:ind w:firstLine="640"/>
        <w:jc w:val="both"/>
        <w:outlineLvl w:val="2"/>
      </w:pPr>
      <w:r>
        <w:rPr>
          <w:rFonts w:ascii="黑体" w:hAnsi="黑体" w:eastAsia="黑体"/>
          <w:sz w:val="32"/>
        </w:rPr>
        <w:t>十二、其他需说明的事项</w:t>
      </w:r>
    </w:p>
    <w:p w14:paraId="03FEB7CB">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2963D9C7">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项目20个，全年预算数881.75万元，全年执行数660.99万元。</w:t>
      </w:r>
      <w:bookmarkStart w:id="0" w:name="_GoBack"/>
      <w:bookmarkEnd w:id="0"/>
    </w:p>
    <w:p w14:paraId="0DBD2AD7">
      <w:r>
        <w:br w:type="page"/>
      </w:r>
    </w:p>
    <w:p w14:paraId="12CA698F">
      <w:pPr>
        <w:spacing w:line="240" w:lineRule="auto"/>
        <w:jc w:val="center"/>
        <w:outlineLvl w:val="1"/>
      </w:pPr>
      <w:r>
        <w:rPr>
          <w:rFonts w:ascii="黑体" w:hAnsi="黑体" w:eastAsia="黑体"/>
          <w:sz w:val="32"/>
        </w:rPr>
        <w:t>第三部分 专业名词解释</w:t>
      </w:r>
    </w:p>
    <w:p w14:paraId="36BC7CE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8EE76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3EE50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5C84B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60021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E4C5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D1C0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7065B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96A8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6552F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6C574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1227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FBF12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D7DF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F1EB4E">
      <w:r>
        <w:br w:type="page"/>
      </w:r>
    </w:p>
    <w:p w14:paraId="17E3AA8A">
      <w:pPr>
        <w:spacing w:line="240" w:lineRule="auto"/>
        <w:jc w:val="center"/>
        <w:outlineLvl w:val="1"/>
      </w:pPr>
      <w:r>
        <w:rPr>
          <w:rFonts w:ascii="黑体" w:hAnsi="黑体" w:eastAsia="黑体"/>
          <w:sz w:val="32"/>
        </w:rPr>
        <w:t>第四部分 部门决算报表（见附表）</w:t>
      </w:r>
    </w:p>
    <w:p w14:paraId="0134F49F">
      <w:pPr>
        <w:spacing w:line="240" w:lineRule="auto"/>
        <w:ind w:firstLine="640"/>
        <w:jc w:val="both"/>
      </w:pPr>
      <w:r>
        <w:rPr>
          <w:rFonts w:ascii="仿宋_GB2312" w:hAnsi="仿宋_GB2312" w:eastAsia="仿宋_GB2312"/>
          <w:b w:val="0"/>
          <w:sz w:val="32"/>
        </w:rPr>
        <w:t>一、《收入支出决算总表》</w:t>
      </w:r>
    </w:p>
    <w:p w14:paraId="2C5466E4">
      <w:pPr>
        <w:spacing w:line="240" w:lineRule="auto"/>
        <w:ind w:firstLine="640"/>
        <w:jc w:val="both"/>
      </w:pPr>
      <w:r>
        <w:rPr>
          <w:rFonts w:ascii="仿宋_GB2312" w:hAnsi="仿宋_GB2312" w:eastAsia="仿宋_GB2312"/>
          <w:b w:val="0"/>
          <w:sz w:val="32"/>
        </w:rPr>
        <w:t>二、《收入决算表》</w:t>
      </w:r>
    </w:p>
    <w:p w14:paraId="7FFE7CBB">
      <w:pPr>
        <w:spacing w:line="240" w:lineRule="auto"/>
        <w:ind w:firstLine="640"/>
        <w:jc w:val="both"/>
      </w:pPr>
      <w:r>
        <w:rPr>
          <w:rFonts w:ascii="仿宋_GB2312" w:hAnsi="仿宋_GB2312" w:eastAsia="仿宋_GB2312"/>
          <w:b w:val="0"/>
          <w:sz w:val="32"/>
        </w:rPr>
        <w:t>三、《支出决算表》</w:t>
      </w:r>
    </w:p>
    <w:p w14:paraId="031D3093">
      <w:pPr>
        <w:spacing w:line="240" w:lineRule="auto"/>
        <w:ind w:firstLine="640"/>
        <w:jc w:val="both"/>
      </w:pPr>
      <w:r>
        <w:rPr>
          <w:rFonts w:ascii="仿宋_GB2312" w:hAnsi="仿宋_GB2312" w:eastAsia="仿宋_GB2312"/>
          <w:b w:val="0"/>
          <w:sz w:val="32"/>
        </w:rPr>
        <w:t>四、《财政拨款收入支出决算总表》</w:t>
      </w:r>
    </w:p>
    <w:p w14:paraId="5747CA2B">
      <w:pPr>
        <w:spacing w:line="240" w:lineRule="auto"/>
        <w:ind w:firstLine="640"/>
        <w:jc w:val="both"/>
      </w:pPr>
      <w:r>
        <w:rPr>
          <w:rFonts w:ascii="仿宋_GB2312" w:hAnsi="仿宋_GB2312" w:eastAsia="仿宋_GB2312"/>
          <w:b w:val="0"/>
          <w:sz w:val="32"/>
        </w:rPr>
        <w:t>五、《一般公共预算财政拨款支出决算表》</w:t>
      </w:r>
    </w:p>
    <w:p w14:paraId="152722D3">
      <w:pPr>
        <w:spacing w:line="240" w:lineRule="auto"/>
        <w:ind w:firstLine="640"/>
        <w:jc w:val="both"/>
      </w:pPr>
      <w:r>
        <w:rPr>
          <w:rFonts w:ascii="仿宋_GB2312" w:hAnsi="仿宋_GB2312" w:eastAsia="仿宋_GB2312"/>
          <w:b w:val="0"/>
          <w:sz w:val="32"/>
        </w:rPr>
        <w:t>六、《一般公共预算财政拨款基本支出决算表》</w:t>
      </w:r>
    </w:p>
    <w:p w14:paraId="3E83D687">
      <w:pPr>
        <w:spacing w:line="240" w:lineRule="auto"/>
        <w:ind w:firstLine="640"/>
        <w:jc w:val="both"/>
      </w:pPr>
      <w:r>
        <w:rPr>
          <w:rFonts w:ascii="仿宋_GB2312" w:hAnsi="仿宋_GB2312" w:eastAsia="仿宋_GB2312"/>
          <w:b w:val="0"/>
          <w:sz w:val="32"/>
        </w:rPr>
        <w:t>七、《政府性基金预算财政拨款收入支出决算表》</w:t>
      </w:r>
    </w:p>
    <w:p w14:paraId="640EDF24">
      <w:pPr>
        <w:spacing w:line="240" w:lineRule="auto"/>
        <w:ind w:firstLine="640"/>
        <w:jc w:val="both"/>
      </w:pPr>
      <w:r>
        <w:rPr>
          <w:rFonts w:ascii="仿宋_GB2312" w:hAnsi="仿宋_GB2312" w:eastAsia="仿宋_GB2312"/>
          <w:b w:val="0"/>
          <w:sz w:val="32"/>
        </w:rPr>
        <w:t>八、《国有资本经营预算财政拨款收入支出决算表》</w:t>
      </w:r>
    </w:p>
    <w:p w14:paraId="2EB88A0C">
      <w:pPr>
        <w:spacing w:line="240" w:lineRule="auto"/>
        <w:ind w:firstLine="640"/>
        <w:jc w:val="both"/>
      </w:pPr>
      <w:r>
        <w:rPr>
          <w:rFonts w:ascii="仿宋_GB2312" w:hAnsi="仿宋_GB2312" w:eastAsia="仿宋_GB2312"/>
          <w:b w:val="0"/>
          <w:sz w:val="32"/>
        </w:rPr>
        <w:t>九、《财政拨款“三公”经费支出决算表》</w:t>
      </w:r>
    </w:p>
    <w:p w14:paraId="430138A5">
      <w:pPr>
        <w:spacing w:line="240" w:lineRule="auto"/>
        <w:ind w:firstLine="640"/>
        <w:jc w:val="both"/>
      </w:pPr>
    </w:p>
    <w:p w14:paraId="43340D65">
      <w:pPr>
        <w:spacing w:line="240" w:lineRule="auto"/>
        <w:ind w:firstLine="640"/>
        <w:jc w:val="both"/>
      </w:pPr>
    </w:p>
    <w:p w14:paraId="70786BF5">
      <w:pPr>
        <w:spacing w:line="240" w:lineRule="auto"/>
        <w:ind w:firstLine="640"/>
        <w:jc w:val="both"/>
      </w:pPr>
    </w:p>
    <w:p w14:paraId="4E8779BA">
      <w:pPr>
        <w:spacing w:line="240" w:lineRule="auto"/>
        <w:ind w:firstLine="640"/>
        <w:jc w:val="both"/>
      </w:pPr>
    </w:p>
    <w:p w14:paraId="1BBE4B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FEFE52-2DEC-4068-9D6F-A80F23CF9B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7174A93-A3B2-4AF0-BEDA-7238EFB3B3BD}"/>
  </w:font>
  <w:font w:name="方正小标宋_GBK">
    <w:panose1 w:val="02000000000000000000"/>
    <w:charset w:val="86"/>
    <w:family w:val="script"/>
    <w:pitch w:val="default"/>
    <w:sig w:usb0="A00002BF" w:usb1="38CF7CFA" w:usb2="00082016" w:usb3="00000000" w:csb0="00040001" w:csb1="00000000"/>
    <w:embedRegular r:id="rId3" w:fontKey="{59CA384D-BBA2-45DB-BADC-E505C05AF0E9}"/>
  </w:font>
  <w:font w:name="楷体_GB2312">
    <w:altName w:val="楷体"/>
    <w:panose1 w:val="02010609030101010101"/>
    <w:charset w:val="86"/>
    <w:family w:val="auto"/>
    <w:pitch w:val="default"/>
    <w:sig w:usb0="00000000" w:usb1="00000000" w:usb2="00000000" w:usb3="00000000" w:csb0="00040000" w:csb1="00000000"/>
    <w:embedRegular r:id="rId4" w:fontKey="{D9A8E311-7D0A-4B69-8408-51C96050BFA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2D66CB"/>
    <w:rsid w:val="021B7195"/>
    <w:rsid w:val="02F73D26"/>
    <w:rsid w:val="034D4FEF"/>
    <w:rsid w:val="036F20F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E1DD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A06136"/>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2A7460"/>
    <w:rsid w:val="55DA564E"/>
    <w:rsid w:val="56E07045"/>
    <w:rsid w:val="583059FA"/>
    <w:rsid w:val="587E6212"/>
    <w:rsid w:val="5AFC6609"/>
    <w:rsid w:val="5FA17648"/>
    <w:rsid w:val="5FD320BD"/>
    <w:rsid w:val="60DE4D57"/>
    <w:rsid w:val="613409CB"/>
    <w:rsid w:val="61A46A97"/>
    <w:rsid w:val="62DD7D21"/>
    <w:rsid w:val="65D97752"/>
    <w:rsid w:val="664C500C"/>
    <w:rsid w:val="67876049"/>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5718</Words>
  <Characters>6520</Characters>
  <Lines>0</Lines>
  <Paragraphs>0</Paragraphs>
  <TotalTime>18</TotalTime>
  <ScaleCrop>false</ScaleCrop>
  <LinksUpToDate>false</LinksUpToDate>
  <CharactersWithSpaces>6530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