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中共喀什地区纪律检查委员会2024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E74D028">
      <w:r>
        <w:br w:type="page"/>
      </w:r>
    </w:p>
    <w:p w14:paraId="019619E4">
      <w:pPr>
        <w:spacing w:line="640" w:lineRule="exact"/>
        <w:jc w:val="center"/>
        <w:outlineLvl w:val="1"/>
      </w:pPr>
      <w:r>
        <w:rPr>
          <w:rFonts w:ascii="黑体" w:hAnsi="黑体" w:eastAsia="黑体"/>
          <w:sz w:val="32"/>
        </w:rPr>
        <w:t>第一部分 部门概况</w:t>
      </w:r>
    </w:p>
    <w:p w14:paraId="58458C6E">
      <w:pPr>
        <w:spacing w:line="640" w:lineRule="exact"/>
        <w:ind w:firstLine="640"/>
        <w:jc w:val="both"/>
        <w:outlineLvl w:val="2"/>
      </w:pPr>
      <w:r>
        <w:rPr>
          <w:rFonts w:ascii="黑体" w:hAnsi="黑体" w:eastAsia="黑体"/>
          <w:sz w:val="32"/>
        </w:rPr>
        <w:t>一、主要职能</w:t>
      </w:r>
    </w:p>
    <w:p w14:paraId="339FB1DA">
      <w:pPr>
        <w:spacing w:line="580" w:lineRule="exact"/>
        <w:ind w:firstLine="640"/>
        <w:jc w:val="both"/>
      </w:pPr>
      <w:r>
        <w:rPr>
          <w:rFonts w:ascii="仿宋_GB2312" w:hAnsi="仿宋_GB2312" w:eastAsia="仿宋_GB2312"/>
          <w:sz w:val="32"/>
        </w:rPr>
        <w:t>(1)负责党的纪律检查工作。</w:t>
      </w:r>
    </w:p>
    <w:p w14:paraId="0D153987">
      <w:pPr>
        <w:spacing w:line="580" w:lineRule="exact"/>
        <w:ind w:firstLine="640"/>
        <w:jc w:val="both"/>
      </w:pPr>
      <w:r>
        <w:rPr>
          <w:rFonts w:ascii="仿宋_GB2312" w:hAnsi="仿宋_GB2312" w:eastAsia="仿宋_GB2312"/>
          <w:sz w:val="32"/>
        </w:rPr>
        <w:t>(2)依照党的章程和其他党内法规履行监督、执纪、问责职责。</w:t>
      </w:r>
    </w:p>
    <w:p w14:paraId="39B27123">
      <w:pPr>
        <w:spacing w:line="580" w:lineRule="exact"/>
        <w:ind w:firstLine="640"/>
        <w:jc w:val="both"/>
      </w:pPr>
      <w:r>
        <w:rPr>
          <w:rFonts w:ascii="仿宋_GB2312" w:hAnsi="仿宋_GB2312" w:eastAsia="仿宋_GB2312"/>
          <w:sz w:val="32"/>
        </w:rPr>
        <w:t>(3)在地委领导下组织开展巡察工作。</w:t>
      </w:r>
    </w:p>
    <w:p w14:paraId="5072EB68">
      <w:pPr>
        <w:spacing w:line="580" w:lineRule="exact"/>
        <w:ind w:firstLine="640"/>
        <w:jc w:val="both"/>
      </w:pPr>
      <w:r>
        <w:rPr>
          <w:rFonts w:ascii="仿宋_GB2312" w:hAnsi="仿宋_GB2312" w:eastAsia="仿宋_GB2312"/>
          <w:sz w:val="32"/>
        </w:rPr>
        <w:t>(4)负责全地区监察工作。</w:t>
      </w:r>
    </w:p>
    <w:p w14:paraId="0E603B6B">
      <w:pPr>
        <w:spacing w:line="580" w:lineRule="exact"/>
        <w:ind w:firstLine="640"/>
        <w:jc w:val="both"/>
      </w:pPr>
      <w:r>
        <w:rPr>
          <w:rFonts w:ascii="仿宋_GB2312" w:hAnsi="仿宋_GB2312" w:eastAsia="仿宋_GB2312"/>
          <w:sz w:val="32"/>
        </w:rPr>
        <w:t>(5)依照法律规定履行监督、调查、处置职责。</w:t>
      </w:r>
    </w:p>
    <w:p w14:paraId="279FCE67">
      <w:pPr>
        <w:spacing w:line="580" w:lineRule="exact"/>
        <w:ind w:firstLine="640"/>
        <w:jc w:val="both"/>
      </w:pPr>
      <w:r>
        <w:rPr>
          <w:rFonts w:ascii="仿宋_GB2312" w:hAnsi="仿宋_GB2312" w:eastAsia="仿宋_GB2312"/>
          <w:sz w:val="32"/>
        </w:rPr>
        <w:t>(6)负责组织协调地区全面从严治党，党风廉政建设和反腐败宣传教育工作。</w:t>
      </w:r>
    </w:p>
    <w:p w14:paraId="7A2C3CDC">
      <w:pPr>
        <w:spacing w:line="580" w:lineRule="exact"/>
        <w:ind w:firstLine="640"/>
        <w:jc w:val="both"/>
      </w:pPr>
      <w:r>
        <w:rPr>
          <w:rFonts w:ascii="仿宋_GB2312" w:hAnsi="仿宋_GB2312" w:eastAsia="仿宋_GB2312"/>
          <w:sz w:val="32"/>
        </w:rPr>
        <w:t>(7)负责综合分析地区全面从严治党党风廉政建设和反腐败宣传教育工作情况，对纪检监察工作重要理论及实践问题进行调查研究，提出全地区纪检监察法规制定规划、计划和立法立规建议。</w:t>
      </w:r>
    </w:p>
    <w:p w14:paraId="4CB2A4C9">
      <w:pPr>
        <w:spacing w:line="580" w:lineRule="exact"/>
        <w:ind w:firstLine="640"/>
        <w:jc w:val="both"/>
      </w:pPr>
      <w:r>
        <w:rPr>
          <w:rFonts w:ascii="仿宋_GB2312" w:hAnsi="仿宋_GB2312" w:eastAsia="仿宋_GB2312"/>
          <w:sz w:val="32"/>
        </w:rPr>
        <w:t>(8)负责配合自治区纪委监委做好与其他国家、地区、国际组织的反腐败国际交流、合作，加强对反腐败国际追逃追赃和防逃工作的组织协调，督促有关单位做好相关工作。</w:t>
      </w:r>
    </w:p>
    <w:p w14:paraId="59EC9218">
      <w:pPr>
        <w:spacing w:line="580" w:lineRule="exact"/>
        <w:ind w:firstLine="640"/>
        <w:jc w:val="both"/>
      </w:pPr>
      <w:r>
        <w:rPr>
          <w:rFonts w:ascii="仿宋_GB2312" w:hAnsi="仿宋_GB2312" w:eastAsia="仿宋_GB2312"/>
          <w:sz w:val="32"/>
        </w:rPr>
        <w:t>(9)负责地区纪检监察系统领导班子建设、干部队伍建设和组织建设的综合规划、政策研究、制度建设和业务指导，会同有关方面做好地区纪委监委派驻（派出）机构、各县市纪检监察机关、地委管理的中高职院校、国有企业纪检监察机构领导班子建设有关工作，组织和指导全地区纪检监察系统干部培训工作。</w:t>
      </w:r>
    </w:p>
    <w:p w14:paraId="4CDA2B7C">
      <w:pPr>
        <w:spacing w:line="580" w:lineRule="exact"/>
        <w:ind w:firstLine="640"/>
        <w:jc w:val="both"/>
      </w:pPr>
      <w:r>
        <w:rPr>
          <w:rFonts w:ascii="仿宋_GB2312" w:hAnsi="仿宋_GB2312" w:eastAsia="仿宋_GB2312"/>
          <w:sz w:val="32"/>
        </w:rPr>
        <w:t>(10)完成自治区纪委监委和地委交办的其他事项。</w:t>
      </w:r>
    </w:p>
    <w:p w14:paraId="51B99837">
      <w:pPr>
        <w:spacing w:line="640" w:lineRule="exact"/>
        <w:ind w:firstLine="640"/>
        <w:jc w:val="both"/>
        <w:outlineLvl w:val="2"/>
      </w:pPr>
      <w:r>
        <w:rPr>
          <w:rFonts w:ascii="黑体" w:hAnsi="黑体" w:eastAsia="黑体"/>
          <w:sz w:val="32"/>
        </w:rPr>
        <w:t>二、机构设置及人员情况</w:t>
      </w:r>
    </w:p>
    <w:p w14:paraId="26A2CB9D">
      <w:pPr>
        <w:spacing w:line="580" w:lineRule="exact"/>
        <w:ind w:firstLine="640"/>
        <w:jc w:val="both"/>
      </w:pPr>
      <w:r>
        <w:rPr>
          <w:rFonts w:ascii="仿宋_GB2312" w:hAnsi="仿宋_GB2312" w:eastAsia="仿宋_GB2312"/>
          <w:sz w:val="32"/>
        </w:rPr>
        <w:t>中共喀什地区纪律检查委员会2024年度，实有人数288人，其中：在职人员253人，减少10人；离休人员0人，增加0人；退休人员35人,增加6人。</w:t>
      </w:r>
    </w:p>
    <w:p w14:paraId="0FDA03EC">
      <w:pPr>
        <w:spacing w:line="580" w:lineRule="exact"/>
        <w:ind w:firstLine="640"/>
        <w:jc w:val="both"/>
      </w:pPr>
      <w:r>
        <w:rPr>
          <w:rFonts w:ascii="仿宋_GB2312" w:hAnsi="仿宋_GB2312" w:eastAsia="仿宋_GB2312"/>
          <w:sz w:val="32"/>
        </w:rPr>
        <w:t>中共喀什地区纪律检查委员会无下属预算单位，下设3</w:t>
      </w:r>
      <w:r>
        <w:rPr>
          <w:rFonts w:hint="eastAsia" w:ascii="仿宋_GB2312" w:hAnsi="仿宋_GB2312" w:eastAsia="仿宋_GB2312"/>
          <w:sz w:val="32"/>
          <w:lang w:val="en-US" w:eastAsia="zh-CN"/>
        </w:rPr>
        <w:t>9</w:t>
      </w:r>
      <w:r>
        <w:rPr>
          <w:rFonts w:ascii="仿宋_GB2312" w:hAnsi="仿宋_GB2312" w:eastAsia="仿宋_GB2312"/>
          <w:sz w:val="32"/>
        </w:rPr>
        <w:t>个科室，分别是：办公室、组织部、宣传部、政策法规研究室、党风政风监督室、信访室、案件监督管理室、第一监督检查室、第二监督检查室、第三监督检查室、第四监督检查室、第五审查调查室、第六审查调查室、第七审查调查室、案件审理室、纪检监察干部监督室、机关党委</w:t>
      </w:r>
      <w:r>
        <w:rPr>
          <w:rFonts w:hint="eastAsia" w:ascii="仿宋_GB2312" w:hAnsi="仿宋_GB2312" w:eastAsia="仿宋_GB2312"/>
          <w:sz w:val="32"/>
          <w:lang w:eastAsia="zh-CN"/>
        </w:rPr>
        <w:t>、</w:t>
      </w:r>
      <w:r>
        <w:rPr>
          <w:rFonts w:ascii="仿宋_GB2312" w:hAnsi="仿宋_GB2312" w:eastAsia="仿宋_GB2312"/>
          <w:sz w:val="32"/>
        </w:rPr>
        <w:t>派出纪工委、驻地委办公室纪检监察组、驻地委组织部纪检监察组、驻地委宣传部纪检监察组、驻地委政法委纪检监察组、驻地委人大工委纪检监察组、驻行署办公室纪检监察组、驻地区政协工委机关纪检监察组、驻地区发展和改革委员会纪检监察组、驻地区财政局纪检监察组、驻市场监督管理局纪检监察组、驻地区生态环境局纪检监察组、驻地委教育工委地区教育局纪检监察组、驻地区卫生健康委员会纪检监察组、驻地区农业农村局纪检监察组、审查调查中心、信息保障中心、舆情中心、反腐倡廉教育中心、培训中心、巡察信息中心、地委巡察办。</w:t>
      </w:r>
    </w:p>
    <w:p w14:paraId="21D1BD58">
      <w:r>
        <w:br w:type="page"/>
      </w:r>
    </w:p>
    <w:p w14:paraId="7BC155E7">
      <w:pPr>
        <w:spacing w:line="240" w:lineRule="auto"/>
        <w:jc w:val="center"/>
        <w:outlineLvl w:val="1"/>
      </w:pPr>
      <w:r>
        <w:rPr>
          <w:rFonts w:ascii="黑体" w:hAnsi="黑体" w:eastAsia="黑体"/>
          <w:sz w:val="32"/>
        </w:rPr>
        <w:t>第二部分 部门决算情况说明</w:t>
      </w:r>
    </w:p>
    <w:p w14:paraId="62F6A1BD">
      <w:pPr>
        <w:spacing w:line="640" w:lineRule="exact"/>
        <w:ind w:firstLine="640"/>
        <w:jc w:val="both"/>
        <w:outlineLvl w:val="2"/>
      </w:pPr>
      <w:r>
        <w:rPr>
          <w:rFonts w:ascii="黑体" w:hAnsi="黑体" w:eastAsia="黑体"/>
          <w:sz w:val="32"/>
        </w:rPr>
        <w:t>一、收入支出决算总体情况说明</w:t>
      </w:r>
    </w:p>
    <w:p w14:paraId="796CB096">
      <w:pPr>
        <w:spacing w:line="580" w:lineRule="exact"/>
        <w:ind w:firstLine="640"/>
        <w:jc w:val="both"/>
      </w:pPr>
      <w:r>
        <w:rPr>
          <w:rFonts w:ascii="仿宋_GB2312" w:hAnsi="仿宋_GB2312" w:eastAsia="仿宋_GB2312"/>
          <w:b/>
          <w:sz w:val="32"/>
        </w:rPr>
        <w:t>2024年度收入总计10,203.69万元，</w:t>
      </w:r>
      <w:r>
        <w:rPr>
          <w:rFonts w:ascii="仿宋_GB2312" w:hAnsi="仿宋_GB2312" w:eastAsia="仿宋_GB2312"/>
          <w:b w:val="0"/>
          <w:sz w:val="32"/>
        </w:rPr>
        <w:t>其中：本年收入合计10,056.10万元，使用非财政拨款结余（含专用结余）0.00万元，年初结转和结余147.58万元。</w:t>
      </w:r>
    </w:p>
    <w:p w14:paraId="028C234F">
      <w:pPr>
        <w:spacing w:line="580" w:lineRule="exact"/>
        <w:ind w:firstLine="640"/>
        <w:jc w:val="both"/>
      </w:pPr>
      <w:r>
        <w:rPr>
          <w:rFonts w:ascii="仿宋_GB2312" w:hAnsi="仿宋_GB2312" w:eastAsia="仿宋_GB2312"/>
          <w:b/>
          <w:sz w:val="32"/>
        </w:rPr>
        <w:t>2024年度支出总计10,203.69万元，</w:t>
      </w:r>
      <w:r>
        <w:rPr>
          <w:rFonts w:ascii="仿宋_GB2312" w:hAnsi="仿宋_GB2312" w:eastAsia="仿宋_GB2312"/>
          <w:b w:val="0"/>
          <w:sz w:val="32"/>
        </w:rPr>
        <w:t>其中：本年支出合计10,203.69万元，结余分配0.00万元，年末结转和结余0.00万元。</w:t>
      </w:r>
    </w:p>
    <w:p w14:paraId="395E0A07">
      <w:pPr>
        <w:spacing w:line="580" w:lineRule="exact"/>
        <w:ind w:firstLine="640"/>
        <w:jc w:val="both"/>
      </w:pPr>
      <w:r>
        <w:rPr>
          <w:rFonts w:ascii="仿宋_GB2312" w:hAnsi="仿宋_GB2312" w:eastAsia="仿宋_GB2312"/>
          <w:b w:val="0"/>
          <w:sz w:val="32"/>
        </w:rPr>
        <w:t>收入支出总体与上年相比，减少414.57万元，下降3.90%，主要原因是：一是本年在职人员减少，相关人员经费较上年减少；二是按照培训实际，本年度培训相关费用较上年减少；三是本年度无援疆资金收入，结转结余资金全额支付。</w:t>
      </w:r>
    </w:p>
    <w:p w14:paraId="2C22AF19">
      <w:pPr>
        <w:spacing w:line="640" w:lineRule="exact"/>
        <w:ind w:firstLine="640"/>
        <w:jc w:val="both"/>
        <w:outlineLvl w:val="2"/>
      </w:pPr>
      <w:r>
        <w:rPr>
          <w:rFonts w:ascii="黑体" w:hAnsi="黑体" w:eastAsia="黑体"/>
          <w:sz w:val="32"/>
        </w:rPr>
        <w:t>二、收入决算情况说明</w:t>
      </w:r>
    </w:p>
    <w:p w14:paraId="338D833B">
      <w:pPr>
        <w:spacing w:line="580" w:lineRule="exact"/>
        <w:ind w:firstLine="640"/>
        <w:jc w:val="both"/>
      </w:pPr>
      <w:r>
        <w:rPr>
          <w:rFonts w:ascii="仿宋_GB2312" w:hAnsi="仿宋_GB2312" w:eastAsia="仿宋_GB2312"/>
          <w:b/>
          <w:sz w:val="32"/>
        </w:rPr>
        <w:t>本年收入10,056.10万元，</w:t>
      </w:r>
      <w:r>
        <w:rPr>
          <w:rFonts w:ascii="仿宋_GB2312" w:hAnsi="仿宋_GB2312" w:eastAsia="仿宋_GB2312"/>
          <w:b w:val="0"/>
          <w:sz w:val="32"/>
        </w:rPr>
        <w:t>其中：财政拨款收入10,056.10万元，占100.00%；上级补助收入0.00万元，占0.00%；事业收入0.00万元，占0.00%；经营收入0.00万元，占0.00%；附属单位上缴收入0.00万元，占0.00%；其他收入0.00万元，占0.00%。</w:t>
      </w:r>
    </w:p>
    <w:p w14:paraId="736CDAF4">
      <w:pPr>
        <w:spacing w:line="640" w:lineRule="exact"/>
        <w:ind w:firstLine="640"/>
        <w:jc w:val="both"/>
        <w:outlineLvl w:val="2"/>
      </w:pPr>
      <w:r>
        <w:rPr>
          <w:rFonts w:ascii="黑体" w:hAnsi="黑体" w:eastAsia="黑体"/>
          <w:sz w:val="32"/>
        </w:rPr>
        <w:t>三、支出决算情况说明</w:t>
      </w:r>
    </w:p>
    <w:p w14:paraId="7C612063">
      <w:pPr>
        <w:spacing w:line="580" w:lineRule="exact"/>
        <w:ind w:firstLine="640"/>
        <w:jc w:val="both"/>
      </w:pPr>
      <w:r>
        <w:rPr>
          <w:rFonts w:ascii="仿宋_GB2312" w:hAnsi="仿宋_GB2312" w:eastAsia="仿宋_GB2312"/>
          <w:b/>
          <w:sz w:val="32"/>
        </w:rPr>
        <w:t>本年支出10,203.69万元，</w:t>
      </w:r>
      <w:r>
        <w:rPr>
          <w:rFonts w:ascii="仿宋_GB2312" w:hAnsi="仿宋_GB2312" w:eastAsia="仿宋_GB2312"/>
          <w:b w:val="0"/>
          <w:sz w:val="32"/>
        </w:rPr>
        <w:t>其中：基本支出5,873.82万元，占57.57%；项目支出4,329.86万元，占42.43%；上缴上级支出0.00万元，占0.00%；经营支出0.00万元，占0.00%；对附属单位补助支出0.00万元，占0.00%。</w:t>
      </w:r>
    </w:p>
    <w:p w14:paraId="48D93939">
      <w:pPr>
        <w:spacing w:line="640" w:lineRule="exact"/>
        <w:ind w:firstLine="640"/>
        <w:jc w:val="both"/>
        <w:outlineLvl w:val="2"/>
      </w:pPr>
      <w:r>
        <w:rPr>
          <w:rFonts w:ascii="黑体" w:hAnsi="黑体" w:eastAsia="黑体"/>
          <w:sz w:val="32"/>
        </w:rPr>
        <w:t>四、财政拨款收入支出决算总体情况说明</w:t>
      </w:r>
    </w:p>
    <w:p w14:paraId="6A0C53C4">
      <w:pPr>
        <w:spacing w:line="580" w:lineRule="exact"/>
        <w:ind w:firstLine="640"/>
        <w:jc w:val="both"/>
      </w:pPr>
      <w:r>
        <w:rPr>
          <w:rFonts w:ascii="仿宋_GB2312" w:hAnsi="仿宋_GB2312" w:eastAsia="仿宋_GB2312"/>
          <w:b/>
          <w:sz w:val="32"/>
        </w:rPr>
        <w:t>2024年度财政拨款收入总计10,056.10万元，</w:t>
      </w:r>
      <w:r>
        <w:rPr>
          <w:rFonts w:ascii="仿宋_GB2312" w:hAnsi="仿宋_GB2312" w:eastAsia="仿宋_GB2312"/>
          <w:b w:val="0"/>
          <w:sz w:val="32"/>
        </w:rPr>
        <w:t>其中：年初财政拨款结转和结余0.00万元，本年财政拨款收入10,056.10万元。</w:t>
      </w:r>
      <w:r>
        <w:rPr>
          <w:rFonts w:ascii="仿宋_GB2312" w:hAnsi="仿宋_GB2312" w:eastAsia="仿宋_GB2312"/>
          <w:b/>
          <w:sz w:val="32"/>
        </w:rPr>
        <w:t>财政拨款支出总计10,056.10万元，</w:t>
      </w:r>
      <w:r>
        <w:rPr>
          <w:rFonts w:ascii="仿宋_GB2312" w:hAnsi="仿宋_GB2312" w:eastAsia="仿宋_GB2312"/>
          <w:b w:val="0"/>
          <w:sz w:val="32"/>
        </w:rPr>
        <w:t>其中：年末财政拨款结转和结余0.00万元，本年财政拨款支出10,056.10万元。</w:t>
      </w:r>
    </w:p>
    <w:p w14:paraId="00FD53B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减少76.37万元，下降0.75%，主要原因是：本年在职人员减少，相关人员经费较上年减少。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年初预算数10,633.98万元，决算数10,056.10万元，预决算差异率-5.43%，主要原因是：本年在职人员减少，年中调减人员经费，年中调减喀什地区警示教育暨廉洁文化馆布展等项目经费，导致预决算存在差异。</w:t>
      </w:r>
    </w:p>
    <w:p w14:paraId="1D91722D">
      <w:pPr>
        <w:spacing w:line="640" w:lineRule="exact"/>
        <w:ind w:firstLine="640"/>
        <w:jc w:val="both"/>
        <w:outlineLvl w:val="2"/>
      </w:pPr>
      <w:r>
        <w:rPr>
          <w:rFonts w:ascii="黑体" w:hAnsi="黑体" w:eastAsia="黑体"/>
          <w:sz w:val="32"/>
        </w:rPr>
        <w:t>五、一般公共预算财政拨款支出决算情况说明</w:t>
      </w:r>
    </w:p>
    <w:p w14:paraId="5A0D61DB">
      <w:pPr>
        <w:spacing w:line="640" w:lineRule="exact"/>
        <w:ind w:firstLine="640"/>
        <w:jc w:val="both"/>
        <w:outlineLvl w:val="3"/>
      </w:pPr>
      <w:r>
        <w:rPr>
          <w:rFonts w:ascii="楷体_GB2312" w:hAnsi="楷体_GB2312" w:eastAsia="楷体_GB2312"/>
          <w:b/>
          <w:sz w:val="32"/>
        </w:rPr>
        <w:t>（一）一般公共预算财政拨款支出决算总体情况</w:t>
      </w:r>
    </w:p>
    <w:p w14:paraId="11142D41">
      <w:pPr>
        <w:spacing w:line="580" w:lineRule="exact"/>
        <w:ind w:firstLine="640"/>
        <w:jc w:val="both"/>
      </w:pPr>
      <w:r>
        <w:rPr>
          <w:rFonts w:ascii="仿宋_GB2312" w:hAnsi="仿宋_GB2312" w:eastAsia="仿宋_GB2312"/>
          <w:b/>
          <w:sz w:val="32"/>
        </w:rPr>
        <w:t>2024年度一般公共预算财政拨款支出10,056.10万元，</w:t>
      </w:r>
      <w:r>
        <w:rPr>
          <w:rFonts w:ascii="仿宋_GB2312" w:hAnsi="仿宋_GB2312" w:eastAsia="仿宋_GB2312"/>
          <w:b w:val="0"/>
          <w:sz w:val="32"/>
        </w:rPr>
        <w:t>占本年支出合计的98.55%。</w:t>
      </w:r>
      <w:r>
        <w:rPr>
          <w:rFonts w:ascii="仿宋_GB2312" w:hAnsi="仿宋_GB2312" w:eastAsia="仿宋_GB2312"/>
          <w:b/>
          <w:sz w:val="32"/>
        </w:rPr>
        <w:t>与上年相比，</w:t>
      </w:r>
      <w:r>
        <w:rPr>
          <w:rFonts w:ascii="仿宋_GB2312" w:hAnsi="仿宋_GB2312" w:eastAsia="仿宋_GB2312"/>
          <w:b w:val="0"/>
          <w:sz w:val="32"/>
        </w:rPr>
        <w:t>减少76.37万元，下降0.75%，主要原因是：本年在职人员减少，相关人员经费较上年减少。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年初预算数10,633.98万元，决算数10,056.10万元，预决算差异率-5.43%，主要原因是：本年在职人员减少，年中调减人员经费，年中调减喀什地区警示教育暨廉洁文化馆布展等项目经费，导致预决算存在差异。</w:t>
      </w:r>
    </w:p>
    <w:p w14:paraId="3A31B752">
      <w:pPr>
        <w:spacing w:line="640" w:lineRule="exact"/>
        <w:ind w:firstLine="640"/>
        <w:jc w:val="both"/>
        <w:outlineLvl w:val="3"/>
      </w:pPr>
      <w:r>
        <w:rPr>
          <w:rFonts w:ascii="楷体_GB2312" w:hAnsi="楷体_GB2312" w:eastAsia="楷体_GB2312"/>
          <w:b/>
          <w:sz w:val="32"/>
        </w:rPr>
        <w:t>（二）一般公共预算财政拨款支出决算结构情况</w:t>
      </w:r>
    </w:p>
    <w:p w14:paraId="02C8D3F9">
      <w:pPr>
        <w:spacing w:line="580" w:lineRule="exact"/>
        <w:ind w:firstLine="640"/>
        <w:jc w:val="both"/>
      </w:pPr>
      <w:r>
        <w:rPr>
          <w:rFonts w:ascii="仿宋_GB2312" w:hAnsi="仿宋_GB2312" w:eastAsia="仿宋_GB2312"/>
          <w:b w:val="0"/>
          <w:sz w:val="32"/>
        </w:rPr>
        <w:t>1.一般公共服务支出(类)8,713.77万元,占86.65%。</w:t>
      </w:r>
    </w:p>
    <w:p w14:paraId="3C1DE75E">
      <w:pPr>
        <w:spacing w:line="580" w:lineRule="exact"/>
        <w:ind w:firstLine="640"/>
        <w:jc w:val="both"/>
      </w:pPr>
      <w:r>
        <w:rPr>
          <w:rFonts w:ascii="仿宋_GB2312" w:hAnsi="仿宋_GB2312" w:eastAsia="仿宋_GB2312"/>
          <w:b w:val="0"/>
          <w:sz w:val="32"/>
        </w:rPr>
        <w:t>2.社会保障和就业支出(类)688.39万元,占6.85%。</w:t>
      </w:r>
    </w:p>
    <w:p w14:paraId="7871EE69">
      <w:pPr>
        <w:spacing w:line="580" w:lineRule="exact"/>
        <w:ind w:firstLine="640"/>
        <w:jc w:val="both"/>
      </w:pPr>
      <w:r>
        <w:rPr>
          <w:rFonts w:ascii="仿宋_GB2312" w:hAnsi="仿宋_GB2312" w:eastAsia="仿宋_GB2312"/>
          <w:b w:val="0"/>
          <w:sz w:val="32"/>
        </w:rPr>
        <w:t>3.卫生健康支出(类)259.07万元,占2.58%。</w:t>
      </w:r>
    </w:p>
    <w:p w14:paraId="45DD0149">
      <w:pPr>
        <w:spacing w:line="580" w:lineRule="exact"/>
        <w:ind w:firstLine="640"/>
        <w:jc w:val="both"/>
      </w:pPr>
      <w:r>
        <w:rPr>
          <w:rFonts w:ascii="仿宋_GB2312" w:hAnsi="仿宋_GB2312" w:eastAsia="仿宋_GB2312"/>
          <w:b w:val="0"/>
          <w:sz w:val="32"/>
        </w:rPr>
        <w:t>4.住房保障支出(类)394.87万元,占3.93%。</w:t>
      </w:r>
    </w:p>
    <w:p w14:paraId="35184C01">
      <w:pPr>
        <w:spacing w:line="640" w:lineRule="exact"/>
        <w:ind w:firstLine="640"/>
        <w:jc w:val="both"/>
        <w:outlineLvl w:val="3"/>
      </w:pPr>
      <w:r>
        <w:rPr>
          <w:rFonts w:ascii="楷体_GB2312" w:hAnsi="楷体_GB2312" w:eastAsia="楷体_GB2312"/>
          <w:b/>
          <w:sz w:val="32"/>
        </w:rPr>
        <w:t>（三）一般公共预算财政拨款支出决算具体情况</w:t>
      </w:r>
    </w:p>
    <w:p w14:paraId="34E449C3">
      <w:pPr>
        <w:spacing w:line="580" w:lineRule="exact"/>
        <w:ind w:firstLine="640"/>
        <w:jc w:val="both"/>
      </w:pPr>
      <w:r>
        <w:rPr>
          <w:rFonts w:ascii="仿宋_GB2312" w:hAnsi="仿宋_GB2312" w:eastAsia="仿宋_GB2312"/>
          <w:b w:val="0"/>
          <w:sz w:val="32"/>
        </w:rPr>
        <w:t>1.一般公共服务支出(类)纪检监察事务(款)行政运行(项):支出决算数为4,520.51万元，比上年决算减少124.95万元，下降2.69%,主要原因是：本年在职人员减少，相应人员经费较上年减少。</w:t>
      </w:r>
    </w:p>
    <w:p w14:paraId="244DF07C">
      <w:pPr>
        <w:spacing w:line="580" w:lineRule="exact"/>
        <w:ind w:firstLine="640"/>
        <w:jc w:val="both"/>
      </w:pPr>
      <w:r>
        <w:rPr>
          <w:rFonts w:ascii="仿宋_GB2312" w:hAnsi="仿宋_GB2312" w:eastAsia="仿宋_GB2312"/>
          <w:b w:val="0"/>
          <w:sz w:val="32"/>
        </w:rPr>
        <w:t>2.一般公共服务支出(类)纪检监察事务(款)一般行政管理事务(项):支出决算数为4,068.98万元，比上年决算增加86.39万元，增长2.17%,主要原因是：本年增加喀什地区警示教育暨廉洁文化馆布展、办案专项工作等项目经费，导致相关经费增加。</w:t>
      </w:r>
    </w:p>
    <w:p w14:paraId="4467A3DF">
      <w:pPr>
        <w:spacing w:line="580" w:lineRule="exact"/>
        <w:ind w:firstLine="640"/>
        <w:jc w:val="both"/>
      </w:pPr>
      <w:r>
        <w:rPr>
          <w:rFonts w:ascii="仿宋_GB2312" w:hAnsi="仿宋_GB2312" w:eastAsia="仿宋_GB2312"/>
          <w:b w:val="0"/>
          <w:sz w:val="32"/>
        </w:rPr>
        <w:t>3.一般公共服务支出(类)纪检监察事务(款)其他纪检监察事务支出(项):支出决算数为113.29万元，比上年决算减少62.45万元，下降35.54%,主要原因是：本年功能科目调整，专项支付人员生活补助上年在其他纪检监察事务支出科目列支，本年调整至行政运行科目列支，导致相关经费减少。</w:t>
      </w:r>
    </w:p>
    <w:p w14:paraId="1CF594A7">
      <w:pPr>
        <w:spacing w:line="580" w:lineRule="exact"/>
        <w:ind w:firstLine="640"/>
        <w:jc w:val="both"/>
      </w:pPr>
      <w:r>
        <w:rPr>
          <w:rFonts w:ascii="仿宋_GB2312" w:hAnsi="仿宋_GB2312" w:eastAsia="仿宋_GB2312"/>
          <w:b w:val="0"/>
          <w:sz w:val="32"/>
        </w:rPr>
        <w:t>4.一般公共服务支出(类)组织事务(款)其他组织事务支出(项):支出决算数为0.00万元，比上年决算减少2.44万元，下降100.00%,主要原因是：本年功能科目调整，援疆干部南疆工作补贴上年在其他组织事务支出科目列支，本年调整至一般行政管理事务科目列支，导致相关经费减少。</w:t>
      </w:r>
    </w:p>
    <w:p w14:paraId="53F6FBC5">
      <w:pPr>
        <w:spacing w:line="580" w:lineRule="exact"/>
        <w:ind w:firstLine="640"/>
        <w:jc w:val="both"/>
      </w:pPr>
      <w:r>
        <w:rPr>
          <w:rFonts w:ascii="仿宋_GB2312" w:hAnsi="仿宋_GB2312" w:eastAsia="仿宋_GB2312"/>
          <w:b w:val="0"/>
          <w:sz w:val="32"/>
        </w:rPr>
        <w:t>5.一般公共服务支出(类)统战事务(款)宗教事务(项):支出决算数为10.98万元，比上年决算增加8.52万元，增长346.34%,主要原因是：本年度宗教事务人员补助标准较上年增加。</w:t>
      </w:r>
    </w:p>
    <w:p w14:paraId="00F61117">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6.社会保障和就业支出(类)行政事业单位养老支出(款)行政单位离退休(项):支出决算数为57.36万元，比上年决算增加18.45万元，增长47.42%,主要原因是：本年退休人员增加，退休费支出增加。</w:t>
      </w:r>
    </w:p>
    <w:p w14:paraId="5FB58D2D">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491.20万元，比上年决算增加8.71万元，增长1.81%,主要原因是：本年在职人员工资基数调增，养老缴费基数上涨，相应支出增加。</w:t>
      </w:r>
    </w:p>
    <w:p w14:paraId="42784A09">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96.99万元，比上年决算减少10.90万元，下降10.10%,主要原因是：本年新增辞职、调出外县人员较上年减少，职业年金缴费较上年减少。</w:t>
      </w:r>
    </w:p>
    <w:p w14:paraId="16AED52B">
      <w:pPr>
        <w:spacing w:line="580" w:lineRule="exact"/>
        <w:ind w:firstLine="640"/>
        <w:jc w:val="both"/>
      </w:pPr>
      <w:r>
        <w:rPr>
          <w:rFonts w:ascii="仿宋_GB2312" w:hAnsi="仿宋_GB2312" w:eastAsia="仿宋_GB2312"/>
          <w:b w:val="0"/>
          <w:sz w:val="32"/>
        </w:rPr>
        <w:t>9.社会保障和就业支出(类)抚恤(款)死亡抚恤(项):支出决算数为42.85万元，比上年决算增加17.45万元，增长68.70%,主要原因是：本年新增死亡人员，死亡抚恤支出增加。</w:t>
      </w:r>
    </w:p>
    <w:p w14:paraId="13D70F0D">
      <w:pPr>
        <w:spacing w:line="580" w:lineRule="exact"/>
        <w:ind w:firstLine="640"/>
        <w:jc w:val="both"/>
      </w:pPr>
      <w:r>
        <w:rPr>
          <w:rFonts w:ascii="仿宋_GB2312" w:hAnsi="仿宋_GB2312" w:eastAsia="仿宋_GB2312"/>
          <w:b w:val="0"/>
          <w:sz w:val="32"/>
        </w:rPr>
        <w:t>10.卫生健康支出(类)行政事业单位医疗(款)行政单位医疗(项):支出决算数为208.66万元，比上年决算增加3.85万元，增长1.88%,主要原因是：本年在职人员工资基数调增，医疗缴费基数上涨，相应支出增加。</w:t>
      </w:r>
    </w:p>
    <w:p w14:paraId="69AFE681">
      <w:pPr>
        <w:spacing w:line="580" w:lineRule="exact"/>
        <w:ind w:firstLine="640"/>
        <w:jc w:val="both"/>
      </w:pPr>
      <w:r>
        <w:rPr>
          <w:rFonts w:ascii="仿宋_GB2312" w:hAnsi="仿宋_GB2312" w:eastAsia="仿宋_GB2312"/>
          <w:b w:val="0"/>
          <w:sz w:val="32"/>
        </w:rPr>
        <w:t>11.卫生健康支出(类)行政事业单位医疗(款)公务员医疗补助(项):支出决算数为50.42万元，比上年决算增加0.91万元，增长1.84%,主要原因是：本年在职人员工资基数调增，医疗缴费基数上涨，相应支出增加。</w:t>
      </w:r>
    </w:p>
    <w:p w14:paraId="795E74D9">
      <w:pPr>
        <w:spacing w:line="580" w:lineRule="exact"/>
        <w:ind w:firstLine="640"/>
        <w:jc w:val="both"/>
      </w:pPr>
      <w:r>
        <w:rPr>
          <w:rFonts w:ascii="仿宋_GB2312" w:hAnsi="仿宋_GB2312" w:eastAsia="仿宋_GB2312"/>
          <w:b w:val="0"/>
          <w:sz w:val="32"/>
        </w:rPr>
        <w:t>12.住房保障支出(类)住房改革支出(款)住房公积金(项):支出决算数为394.87万元，比上年决算减少17.21万元，下降4.18%,主要原因是：2023年将一次性绩效奖纳入公积金缴费范畴，本年无此情况，本年度减少此项支出。</w:t>
      </w:r>
    </w:p>
    <w:p w14:paraId="5F3A8909">
      <w:pPr>
        <w:spacing w:line="580" w:lineRule="exact"/>
        <w:ind w:firstLine="640"/>
        <w:jc w:val="both"/>
      </w:pPr>
      <w:r>
        <w:rPr>
          <w:rFonts w:ascii="仿宋_GB2312" w:hAnsi="仿宋_GB2312" w:eastAsia="仿宋_GB2312"/>
          <w:b w:val="0"/>
          <w:sz w:val="32"/>
        </w:rPr>
        <w:t>13.其他支出(类)其他支出(款)其他支出(项):支出决算数为0.00万元，比上年决算减少2.70万元，下降100.00%,主要原因是：本年科目调整，专项项目经费上年在其他支出科目列支，本年调整至其他纪检监察事务支出科目列支，导致相关经费减少。</w:t>
      </w:r>
    </w:p>
    <w:p w14:paraId="0464E3E7">
      <w:pPr>
        <w:spacing w:line="640" w:lineRule="exact"/>
        <w:ind w:firstLine="640"/>
        <w:jc w:val="both"/>
        <w:outlineLvl w:val="2"/>
      </w:pPr>
      <w:r>
        <w:rPr>
          <w:rFonts w:ascii="黑体" w:hAnsi="黑体" w:eastAsia="黑体"/>
          <w:sz w:val="32"/>
        </w:rPr>
        <w:t>六、一般公共预算财政拨款基本支出决算情况说明</w:t>
      </w:r>
    </w:p>
    <w:p w14:paraId="4782B0E8">
      <w:pPr>
        <w:spacing w:line="580" w:lineRule="exact"/>
        <w:ind w:firstLine="640"/>
        <w:jc w:val="both"/>
      </w:pPr>
      <w:r>
        <w:rPr>
          <w:rFonts w:ascii="仿宋_GB2312" w:hAnsi="仿宋_GB2312" w:eastAsia="仿宋_GB2312"/>
          <w:b w:val="0"/>
          <w:sz w:val="32"/>
        </w:rPr>
        <w:t>2024年度一般公共预算财政拨款基本支出5,873.82万元，其中：</w:t>
      </w:r>
      <w:r>
        <w:rPr>
          <w:rFonts w:ascii="仿宋_GB2312" w:hAnsi="仿宋_GB2312" w:eastAsia="仿宋_GB2312"/>
          <w:b/>
          <w:sz w:val="32"/>
        </w:rPr>
        <w:t>人员经费5,512.45万元，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奖励金、其他对个人和家庭的补助。</w:t>
      </w:r>
    </w:p>
    <w:p w14:paraId="4CA77ACB">
      <w:pPr>
        <w:spacing w:line="580" w:lineRule="exact"/>
        <w:ind w:firstLine="640"/>
        <w:jc w:val="both"/>
      </w:pPr>
      <w:r>
        <w:rPr>
          <w:rFonts w:ascii="仿宋_GB2312" w:hAnsi="仿宋_GB2312" w:eastAsia="仿宋_GB2312"/>
          <w:b/>
          <w:sz w:val="32"/>
        </w:rPr>
        <w:t>公用经费361.37万元，</w:t>
      </w:r>
      <w:r>
        <w:rPr>
          <w:rFonts w:ascii="仿宋_GB2312" w:hAnsi="仿宋_GB2312" w:eastAsia="仿宋_GB2312"/>
          <w:b w:val="0"/>
          <w:sz w:val="32"/>
        </w:rPr>
        <w:t>包括：办公费、手续费、水费、电费、邮电费、取暖费、物业管理费、差旅费、专用材料费、工会经费、公务用车运行维护费、其他交通费用、其他商品和服务支出。</w:t>
      </w:r>
    </w:p>
    <w:p w14:paraId="198FF467">
      <w:pPr>
        <w:spacing w:line="640" w:lineRule="exact"/>
        <w:ind w:firstLine="640"/>
        <w:jc w:val="both"/>
        <w:outlineLvl w:val="2"/>
      </w:pPr>
      <w:r>
        <w:rPr>
          <w:rFonts w:ascii="黑体" w:hAnsi="黑体" w:eastAsia="黑体"/>
          <w:sz w:val="32"/>
        </w:rPr>
        <w:t>七、政府性基金预算财政拨款收入支出决算情况说明</w:t>
      </w:r>
    </w:p>
    <w:p w14:paraId="46846AC2">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2025ED29">
      <w:pPr>
        <w:spacing w:line="640" w:lineRule="exact"/>
        <w:ind w:firstLine="640"/>
        <w:jc w:val="both"/>
        <w:outlineLvl w:val="2"/>
      </w:pPr>
      <w:r>
        <w:rPr>
          <w:rFonts w:ascii="黑体" w:hAnsi="黑体" w:eastAsia="黑体"/>
          <w:sz w:val="32"/>
        </w:rPr>
        <w:t>八、国有资本经营预算财政拨款收入支出决算情况说明</w:t>
      </w:r>
    </w:p>
    <w:p w14:paraId="396D5038">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08599F48">
      <w:pPr>
        <w:spacing w:line="640" w:lineRule="exact"/>
        <w:ind w:firstLine="640"/>
        <w:jc w:val="both"/>
        <w:outlineLvl w:val="2"/>
      </w:pPr>
      <w:r>
        <w:rPr>
          <w:rFonts w:ascii="黑体" w:hAnsi="黑体" w:eastAsia="黑体"/>
          <w:sz w:val="32"/>
        </w:rPr>
        <w:t>九、财政拨款“三公”经费支出决算情况说明</w:t>
      </w:r>
    </w:p>
    <w:p w14:paraId="7FA4BA52">
      <w:pPr>
        <w:spacing w:line="580" w:lineRule="exact"/>
        <w:ind w:firstLine="640"/>
        <w:jc w:val="both"/>
      </w:pPr>
      <w:r>
        <w:rPr>
          <w:rFonts w:ascii="仿宋_GB2312" w:hAnsi="仿宋_GB2312" w:eastAsia="仿宋_GB2312"/>
          <w:b/>
          <w:sz w:val="32"/>
        </w:rPr>
        <w:t>2024年度财政拨款“三公”经费支出65.10万元，</w:t>
      </w:r>
      <w:r>
        <w:rPr>
          <w:rFonts w:ascii="仿宋_GB2312" w:hAnsi="仿宋_GB2312" w:eastAsia="仿宋_GB2312"/>
          <w:b w:val="0"/>
          <w:sz w:val="32"/>
        </w:rPr>
        <w:t>比上年增加0.13万元，增长0.20%，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65.10万元，占100.00%，比上年增加0.13万元，增长0.20%，主要原因是：本年因业务需求，用车次数增加，燃油费增加，导致公务用车运行维护费较上年增加。公务接待费支出0.00万元，占0.00%，比上年增加0.00万元，增长0.00%，主要原因是：2023年与2024年均未安排公务接待费支出。</w:t>
      </w:r>
    </w:p>
    <w:p w14:paraId="5438E458">
      <w:pPr>
        <w:spacing w:line="580" w:lineRule="exact"/>
        <w:ind w:firstLine="640"/>
        <w:jc w:val="both"/>
      </w:pPr>
      <w:r>
        <w:rPr>
          <w:rFonts w:ascii="仿宋_GB2312" w:hAnsi="仿宋_GB2312" w:eastAsia="仿宋_GB2312"/>
          <w:b/>
          <w:sz w:val="32"/>
        </w:rPr>
        <w:t>具体情况如下：</w:t>
      </w:r>
    </w:p>
    <w:p w14:paraId="2D0F1D6F">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3CA1E1AB">
      <w:pPr>
        <w:spacing w:line="580" w:lineRule="exact"/>
        <w:ind w:firstLine="640"/>
        <w:jc w:val="both"/>
      </w:pPr>
      <w:r>
        <w:rPr>
          <w:rFonts w:ascii="仿宋_GB2312" w:hAnsi="仿宋_GB2312" w:eastAsia="仿宋_GB2312"/>
          <w:b w:val="0"/>
          <w:sz w:val="32"/>
        </w:rPr>
        <w:t>公务用车购置及运行维护费65.10万元，其中：公务用车购置费0.00万元，公务用车运行维护费65.10万元。公务用车运行维护费开支内容包括车辆加油费、维修维护费及车辆保险费。公务用车购置数0辆，公务用车保有量37辆。国有资产占用情况中固定资产车辆37辆，与公务用车保有量差异原因是：本部门固定资产车辆与公务用车保有量一致无差异。</w:t>
      </w:r>
    </w:p>
    <w:p w14:paraId="43BB9510">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0564815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65.10万元，决算数65.10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65.10万元，决算数65.10万元，预决算差异率0.00%，主要原因是：严格按照预算执行，预决算无差异。公务接待费全年预算数0.00万元，决算数0.00万元，预决算差异率0.00%，主要原因是：本部门无公务接待费。</w:t>
      </w:r>
    </w:p>
    <w:p w14:paraId="0F30EB7B">
      <w:pPr>
        <w:spacing w:line="640" w:lineRule="exact"/>
        <w:ind w:firstLine="640"/>
        <w:jc w:val="both"/>
        <w:outlineLvl w:val="2"/>
      </w:pPr>
      <w:r>
        <w:rPr>
          <w:rFonts w:ascii="黑体" w:hAnsi="黑体" w:eastAsia="黑体"/>
          <w:sz w:val="32"/>
        </w:rPr>
        <w:t>十、其他重要事项的情况说明</w:t>
      </w:r>
    </w:p>
    <w:p w14:paraId="76EEDBE3">
      <w:pPr>
        <w:spacing w:line="640" w:lineRule="exact"/>
        <w:ind w:firstLine="640"/>
        <w:jc w:val="both"/>
        <w:outlineLvl w:val="3"/>
      </w:pPr>
      <w:r>
        <w:rPr>
          <w:rFonts w:ascii="楷体_GB2312" w:hAnsi="楷体_GB2312" w:eastAsia="楷体_GB2312"/>
          <w:b/>
          <w:sz w:val="32"/>
        </w:rPr>
        <w:t>（一）机关运行经费及公用经费支出情况</w:t>
      </w:r>
    </w:p>
    <w:p w14:paraId="141C222B">
      <w:pPr>
        <w:spacing w:line="580" w:lineRule="exact"/>
        <w:ind w:firstLine="640"/>
        <w:jc w:val="both"/>
      </w:pPr>
      <w:r>
        <w:rPr>
          <w:rFonts w:ascii="仿宋_GB2312" w:hAnsi="仿宋_GB2312" w:eastAsia="仿宋_GB2312"/>
          <w:b w:val="0"/>
          <w:sz w:val="32"/>
        </w:rPr>
        <w:t>2024年度中共喀什地区纪律检查委员会（行政单位和参照公务员法管理事业单位）机关运行经费支出361.37万元，比上年增加25.20万元，增长7.50%，主要原因是：本年增加电费、办公费、工会经费等经费，导致机关运行经费支出增加。</w:t>
      </w:r>
    </w:p>
    <w:p w14:paraId="54F08FF4">
      <w:pPr>
        <w:spacing w:line="640" w:lineRule="exact"/>
        <w:ind w:firstLine="640"/>
        <w:jc w:val="both"/>
        <w:outlineLvl w:val="3"/>
      </w:pPr>
      <w:r>
        <w:rPr>
          <w:rFonts w:ascii="楷体_GB2312" w:hAnsi="楷体_GB2312" w:eastAsia="楷体_GB2312"/>
          <w:b/>
          <w:sz w:val="32"/>
        </w:rPr>
        <w:t>（二）政府采购情况</w:t>
      </w:r>
    </w:p>
    <w:p w14:paraId="5088191F">
      <w:pPr>
        <w:spacing w:line="580" w:lineRule="exact"/>
        <w:ind w:firstLine="640"/>
        <w:jc w:val="both"/>
      </w:pPr>
      <w:r>
        <w:rPr>
          <w:rFonts w:ascii="仿宋_GB2312" w:hAnsi="仿宋_GB2312" w:eastAsia="仿宋_GB2312"/>
          <w:b w:val="0"/>
          <w:sz w:val="32"/>
        </w:rPr>
        <w:t>2024年度政府采购支出总额947.95万元，其中：政府采购货物支出843.48万元、政府采购工程支出1.01万元、政府采购服务支出103.46万元。</w:t>
      </w:r>
    </w:p>
    <w:p w14:paraId="27FFD63F">
      <w:pPr>
        <w:spacing w:line="580" w:lineRule="exact"/>
        <w:ind w:firstLine="640"/>
        <w:jc w:val="both"/>
      </w:pPr>
      <w:r>
        <w:rPr>
          <w:rFonts w:ascii="仿宋_GB2312" w:hAnsi="仿宋_GB2312" w:eastAsia="仿宋_GB2312"/>
          <w:b w:val="0"/>
          <w:sz w:val="32"/>
        </w:rPr>
        <w:t>授予中小企业合同金额946.94万元，占政府采购支出总额的99.89%，其中：授予小微企业合同金额930.10万元，占政府采购支出总额的98.12%。</w:t>
      </w:r>
    </w:p>
    <w:p w14:paraId="738F2E0D">
      <w:pPr>
        <w:spacing w:line="640" w:lineRule="exact"/>
        <w:ind w:firstLine="640"/>
        <w:jc w:val="both"/>
        <w:outlineLvl w:val="3"/>
      </w:pPr>
      <w:r>
        <w:rPr>
          <w:rFonts w:ascii="楷体_GB2312" w:hAnsi="楷体_GB2312" w:eastAsia="楷体_GB2312"/>
          <w:b/>
          <w:sz w:val="32"/>
        </w:rPr>
        <w:t>（三）国有资产占用情况说明</w:t>
      </w:r>
    </w:p>
    <w:p w14:paraId="37F6B65B">
      <w:pPr>
        <w:spacing w:line="580" w:lineRule="exact"/>
        <w:ind w:firstLine="640"/>
        <w:jc w:val="both"/>
      </w:pPr>
      <w:r>
        <w:rPr>
          <w:rFonts w:ascii="仿宋_GB2312" w:hAnsi="仿宋_GB2312" w:eastAsia="仿宋_GB2312"/>
          <w:b w:val="0"/>
          <w:sz w:val="32"/>
        </w:rPr>
        <w:t>截至2024年12月31日，房屋14,997.85平方米，价值3,734.72万元。车辆37辆，价值832.37万元，其中：副部（省）级及以上领导用车0辆、主要负责人用车0辆、机要通信用车0辆、应急保障用车0辆、执法执勤用车35辆、特种专业技术用车0辆、离退休干部服务用车0辆、其他用车2辆，其他用车主要是：一般公务用车。单价100万元（含）以上设备（不含车辆）2台（套）。</w:t>
      </w:r>
    </w:p>
    <w:p w14:paraId="2C73760D">
      <w:pPr>
        <w:spacing w:line="640" w:lineRule="exact"/>
        <w:ind w:firstLine="640"/>
        <w:jc w:val="both"/>
        <w:outlineLvl w:val="2"/>
      </w:pPr>
      <w:r>
        <w:rPr>
          <w:rFonts w:ascii="黑体" w:hAnsi="黑体" w:eastAsia="黑体"/>
          <w:sz w:val="32"/>
        </w:rPr>
        <w:t>十一、预算绩效的情况说明</w:t>
      </w:r>
    </w:p>
    <w:p w14:paraId="5DD28207">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根据预算绩效管理要求，本部门2024年度预算绩效管理形成整体支出绩效自评表1个，全年预算总额10,544.33万元，实际执行总额10,203.68万元；预算绩效评价项目</w:t>
      </w:r>
      <w:r>
        <w:rPr>
          <w:rFonts w:hint="eastAsia" w:ascii="仿宋_GB2312" w:hAnsi="仿宋_GB2312" w:eastAsia="仿宋_GB2312"/>
          <w:b w:val="0"/>
          <w:sz w:val="32"/>
          <w:lang w:val="en-US" w:eastAsia="zh-CN"/>
        </w:rPr>
        <w:t>1</w:t>
      </w:r>
      <w:r>
        <w:rPr>
          <w:rFonts w:ascii="仿宋_GB2312" w:hAnsi="仿宋_GB2312" w:eastAsia="仿宋_GB2312"/>
          <w:b w:val="0"/>
          <w:sz w:val="32"/>
        </w:rPr>
        <w:t>8个，全年预算数</w:t>
      </w:r>
      <w:r>
        <w:rPr>
          <w:rFonts w:hint="eastAsia" w:ascii="仿宋_GB2312" w:hAnsi="仿宋_GB2312" w:eastAsia="仿宋_GB2312"/>
          <w:b w:val="0"/>
          <w:sz w:val="32"/>
        </w:rPr>
        <w:t>4</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575.38</w:t>
      </w:r>
      <w:r>
        <w:rPr>
          <w:rFonts w:ascii="仿宋_GB2312" w:hAnsi="仿宋_GB2312" w:eastAsia="仿宋_GB2312"/>
          <w:b w:val="0"/>
          <w:sz w:val="32"/>
        </w:rPr>
        <w:t>万元，全年执行数</w:t>
      </w:r>
      <w:r>
        <w:rPr>
          <w:rFonts w:hint="eastAsia" w:ascii="仿宋_GB2312" w:hAnsi="仿宋_GB2312" w:eastAsia="仿宋_GB2312"/>
          <w:b w:val="0"/>
          <w:sz w:val="32"/>
        </w:rPr>
        <w:t>4</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505.72</w:t>
      </w:r>
      <w:r>
        <w:rPr>
          <w:rFonts w:ascii="仿宋_GB2312" w:hAnsi="仿宋_GB2312" w:eastAsia="仿宋_GB2312"/>
          <w:b w:val="0"/>
          <w:sz w:val="32"/>
        </w:rPr>
        <w:t>万元。预算绩效管理取得的成效：一是通过项目绩效目标的管理，增强了单位支出的责任意识；二是绩效的实施，促进了资金的使用效益；三是项目绩效的实施，有效保障单位办案、监督检查、巡察等工作按照规划实施，并保障各项工作的落实。发现的问题及原因：一是队伍能力建设有待加强，从事纪检监察事业的干部在专业技能、法律素养、心理素质等方面要求更</w:t>
      </w:r>
      <w:r>
        <w:rPr>
          <w:rFonts w:hint="eastAsia" w:ascii="仿宋_GB2312" w:hAnsi="仿宋_GB2312" w:eastAsia="仿宋_GB2312"/>
          <w:b w:val="0"/>
          <w:sz w:val="32"/>
          <w:lang w:eastAsia="zh-CN"/>
        </w:rPr>
        <w:t>高</w:t>
      </w:r>
      <w:r>
        <w:rPr>
          <w:rFonts w:ascii="仿宋_GB2312" w:hAnsi="仿宋_GB2312" w:eastAsia="仿宋_GB2312"/>
          <w:b w:val="0"/>
          <w:sz w:val="32"/>
        </w:rPr>
        <w:t>，不少干部政治理论水平及业务能力还需进一步提升；二是精细化管理有待提高，单位部室较多，部分业务工作范围有交叉，导致办案、监督检查等业务预算资金支付时不能明确属于哪一部室，造成部室核算年度预算时出现漏编或者重复。下一步改进措施：一是不断加强队伍建设，提升整体素质，通过不断实施专业培训、实战锻炼、交流轮岗等方式，全面提升干部政治素质、业务能力和职业道德</w:t>
      </w:r>
      <w:r>
        <w:rPr>
          <w:rFonts w:hint="eastAsia" w:ascii="仿宋_GB2312" w:hAnsi="仿宋_GB2312" w:eastAsia="仿宋_GB2312"/>
          <w:b w:val="0"/>
          <w:sz w:val="32"/>
          <w:lang w:eastAsia="zh-CN"/>
        </w:rPr>
        <w:t>水平</w:t>
      </w:r>
      <w:r>
        <w:rPr>
          <w:rFonts w:ascii="仿宋_GB2312" w:hAnsi="仿宋_GB2312" w:eastAsia="仿宋_GB2312"/>
          <w:b w:val="0"/>
          <w:sz w:val="32"/>
        </w:rPr>
        <w:t>；二是不断加强部室间的沟通协调，明确职责，合理规划部室年度预算和开展业务工作，属于有交叉的业务，由牵头部室负责预算的编制及费用的统计支付。具体附部门整体支出绩效自评表，项目支出绩效自评表。</w:t>
      </w:r>
    </w:p>
    <w:p w14:paraId="0A8B5D92">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1EA56E6">
        <w:tblPrEx>
          <w:tblCellMar>
            <w:top w:w="0" w:type="dxa"/>
            <w:left w:w="108" w:type="dxa"/>
            <w:bottom w:w="0" w:type="dxa"/>
            <w:right w:w="108" w:type="dxa"/>
          </w:tblCellMar>
        </w:tblPrEx>
        <w:tc>
          <w:tcPr>
            <w:tcW w:w="8847" w:type="dxa"/>
            <w:gridSpan w:val="9"/>
            <w:vAlign w:val="center"/>
          </w:tcPr>
          <w:p w14:paraId="76F6CAD7">
            <w:pPr>
              <w:jc w:val="center"/>
            </w:pPr>
            <w:r>
              <w:rPr>
                <w:rFonts w:ascii="宋体" w:hAnsi="宋体" w:eastAsia="宋体"/>
                <w:sz w:val="24"/>
              </w:rPr>
              <w:t>部门整体支出绩效自评表</w:t>
            </w:r>
          </w:p>
        </w:tc>
      </w:tr>
      <w:tr w14:paraId="3D7F52C2">
        <w:tblPrEx>
          <w:tblCellMar>
            <w:top w:w="0" w:type="dxa"/>
            <w:left w:w="108" w:type="dxa"/>
            <w:bottom w:w="0" w:type="dxa"/>
            <w:right w:w="108" w:type="dxa"/>
          </w:tblCellMar>
        </w:tblPrEx>
        <w:tc>
          <w:tcPr>
            <w:tcW w:w="8847" w:type="dxa"/>
            <w:gridSpan w:val="9"/>
            <w:vAlign w:val="center"/>
          </w:tcPr>
          <w:p w14:paraId="3A4E69A5">
            <w:pPr>
              <w:jc w:val="center"/>
            </w:pPr>
            <w:r>
              <w:rPr>
                <w:rFonts w:ascii="宋体" w:hAnsi="宋体" w:eastAsia="宋体"/>
                <w:sz w:val="24"/>
              </w:rPr>
              <w:t>（2024年度）</w:t>
            </w:r>
          </w:p>
        </w:tc>
      </w:tr>
      <w:tr w14:paraId="5414FC0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7ED75F">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3D464D8">
            <w:pPr>
              <w:jc w:val="center"/>
            </w:pPr>
            <w:r>
              <w:rPr>
                <w:rFonts w:ascii="宋体" w:hAnsi="宋体" w:eastAsia="宋体"/>
                <w:sz w:val="16"/>
              </w:rPr>
              <w:t>中共喀什地区纪律检查委员会</w:t>
            </w:r>
          </w:p>
        </w:tc>
      </w:tr>
      <w:tr w14:paraId="345FA97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3E7EBF">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4C913D">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123CC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8623E5">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C86FF1">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DCEBC3">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E86FAB">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EE0D4">
            <w:pPr>
              <w:jc w:val="center"/>
            </w:pPr>
            <w:r>
              <w:rPr>
                <w:rFonts w:ascii="宋体" w:hAnsi="宋体" w:eastAsia="宋体"/>
                <w:sz w:val="16"/>
              </w:rPr>
              <w:t>得分</w:t>
            </w:r>
          </w:p>
        </w:tc>
      </w:tr>
      <w:tr w14:paraId="2C34243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47C6C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D984F9">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D60423">
            <w:pPr>
              <w:jc w:val="center"/>
            </w:pPr>
            <w:r>
              <w:rPr>
                <w:rFonts w:ascii="宋体" w:hAnsi="宋体" w:eastAsia="宋体"/>
                <w:sz w:val="16"/>
              </w:rPr>
              <w:t>10,781.81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E8571C">
            <w:pPr>
              <w:jc w:val="center"/>
            </w:pPr>
            <w:r>
              <w:rPr>
                <w:rFonts w:ascii="宋体" w:hAnsi="宋体" w:eastAsia="宋体"/>
                <w:sz w:val="16"/>
              </w:rPr>
              <w:t>10,544.33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ECE3FC">
            <w:pPr>
              <w:jc w:val="center"/>
            </w:pPr>
            <w:r>
              <w:rPr>
                <w:rFonts w:ascii="宋体" w:hAnsi="宋体" w:eastAsia="宋体"/>
                <w:sz w:val="16"/>
              </w:rPr>
              <w:t>10,203.68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CEE6C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9CE5FF">
            <w:pPr>
              <w:jc w:val="center"/>
            </w:pPr>
            <w:r>
              <w:rPr>
                <w:rFonts w:ascii="宋体" w:hAnsi="宋体" w:eastAsia="宋体"/>
                <w:sz w:val="16"/>
              </w:rPr>
              <w:t>96.77%</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A50A78">
            <w:pPr>
              <w:jc w:val="center"/>
            </w:pPr>
            <w:r>
              <w:rPr>
                <w:rFonts w:ascii="宋体" w:hAnsi="宋体" w:eastAsia="宋体"/>
                <w:sz w:val="16"/>
              </w:rPr>
              <w:t>9.68</w:t>
            </w:r>
          </w:p>
        </w:tc>
      </w:tr>
      <w:tr w14:paraId="03A2406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78BE9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16CC0C">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590AB9">
            <w:pPr>
              <w:jc w:val="center"/>
            </w:pPr>
            <w:r>
              <w:rPr>
                <w:rFonts w:ascii="宋体" w:hAnsi="宋体" w:eastAsia="宋体"/>
                <w:sz w:val="16"/>
              </w:rPr>
              <w:t>25.63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BFABF3">
            <w:pPr>
              <w:jc w:val="center"/>
            </w:pPr>
            <w:r>
              <w:rPr>
                <w:rFonts w:ascii="宋体" w:hAnsi="宋体" w:eastAsia="宋体"/>
                <w:sz w:val="16"/>
              </w:rPr>
              <w:t>325.77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8943F8">
            <w:pPr>
              <w:jc w:val="center"/>
            </w:pPr>
            <w:r>
              <w:rPr>
                <w:rFonts w:ascii="宋体" w:hAnsi="宋体" w:eastAsia="宋体"/>
                <w:sz w:val="16"/>
              </w:rPr>
              <w:t>296.66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76E5E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20966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CED18">
            <w:pPr>
              <w:jc w:val="center"/>
            </w:pPr>
            <w:r>
              <w:rPr>
                <w:rFonts w:ascii="宋体" w:hAnsi="宋体" w:eastAsia="宋体"/>
                <w:sz w:val="16"/>
              </w:rPr>
              <w:t>—</w:t>
            </w:r>
          </w:p>
        </w:tc>
      </w:tr>
      <w:tr w14:paraId="07785E6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26A73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AE76A6">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B9EF82">
            <w:pPr>
              <w:jc w:val="center"/>
            </w:pPr>
            <w:r>
              <w:rPr>
                <w:rFonts w:ascii="宋体" w:hAnsi="宋体" w:eastAsia="宋体"/>
                <w:sz w:val="16"/>
              </w:rPr>
              <w:t>10,608.35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AF101F">
            <w:pPr>
              <w:jc w:val="center"/>
            </w:pPr>
            <w:r>
              <w:rPr>
                <w:rFonts w:ascii="宋体" w:hAnsi="宋体" w:eastAsia="宋体"/>
                <w:sz w:val="16"/>
              </w:rPr>
              <w:t>10,070.73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6B8D13">
            <w:pPr>
              <w:jc w:val="center"/>
            </w:pPr>
            <w:r>
              <w:rPr>
                <w:rFonts w:ascii="宋体" w:hAnsi="宋体" w:eastAsia="宋体"/>
                <w:sz w:val="16"/>
              </w:rPr>
              <w:t>9,759.44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979F4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858B20">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BC9345">
            <w:pPr>
              <w:jc w:val="center"/>
            </w:pPr>
            <w:r>
              <w:rPr>
                <w:rFonts w:ascii="宋体" w:hAnsi="宋体" w:eastAsia="宋体"/>
                <w:sz w:val="16"/>
              </w:rPr>
              <w:t>—</w:t>
            </w:r>
          </w:p>
        </w:tc>
      </w:tr>
      <w:tr w14:paraId="6AC7C0E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548FB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88D587">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3D7CE3">
            <w:pPr>
              <w:jc w:val="center"/>
            </w:pPr>
            <w:r>
              <w:rPr>
                <w:rFonts w:ascii="宋体" w:hAnsi="宋体" w:eastAsia="宋体"/>
                <w:sz w:val="16"/>
              </w:rPr>
              <w:t>147.83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A9DEE7">
            <w:pPr>
              <w:jc w:val="center"/>
            </w:pPr>
            <w:r>
              <w:rPr>
                <w:rFonts w:ascii="宋体" w:hAnsi="宋体" w:eastAsia="宋体"/>
                <w:sz w:val="16"/>
              </w:rPr>
              <w:t>147.83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1A93A3">
            <w:pPr>
              <w:jc w:val="center"/>
            </w:pPr>
            <w:r>
              <w:rPr>
                <w:rFonts w:ascii="宋体" w:hAnsi="宋体" w:eastAsia="宋体"/>
                <w:sz w:val="16"/>
              </w:rPr>
              <w:t>147.58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6372D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E6216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31003">
            <w:pPr>
              <w:jc w:val="center"/>
            </w:pPr>
            <w:r>
              <w:rPr>
                <w:rFonts w:ascii="宋体" w:hAnsi="宋体" w:eastAsia="宋体"/>
                <w:sz w:val="16"/>
              </w:rPr>
              <w:t>—</w:t>
            </w:r>
          </w:p>
        </w:tc>
      </w:tr>
      <w:tr w14:paraId="0A22D86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B44DDC">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6A6C89A">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A007E6C">
            <w:pPr>
              <w:jc w:val="center"/>
            </w:pPr>
            <w:r>
              <w:rPr>
                <w:rFonts w:ascii="宋体" w:hAnsi="宋体" w:eastAsia="宋体"/>
                <w:sz w:val="16"/>
              </w:rPr>
              <w:t>实际完成情况</w:t>
            </w:r>
          </w:p>
        </w:tc>
      </w:tr>
      <w:tr w14:paraId="2F80C19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23D48F"/>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1B33666">
            <w:pPr>
              <w:jc w:val="both"/>
            </w:pPr>
            <w:r>
              <w:rPr>
                <w:rFonts w:ascii="宋体" w:hAnsi="宋体" w:eastAsia="宋体"/>
                <w:sz w:val="16"/>
              </w:rPr>
              <w:t>全面贯彻二十届中央纪委三次全会精神，认真落实自治区党委十届十次全会、自治区纪委十届四次全会和地委扩大会议部署，坚持稳中求进工作总基调，巩固拓展主题教育和整顿成果，忠诚履行党章和宪法赋予的职责，推动健全全面从严治党体系，</w:t>
            </w:r>
            <w:r>
              <w:rPr>
                <w:rFonts w:hint="eastAsia" w:ascii="宋体" w:hAnsi="宋体"/>
                <w:sz w:val="16"/>
                <w:lang w:eastAsia="zh-CN"/>
              </w:rPr>
              <w:t>坚定不移</w:t>
            </w:r>
            <w:r>
              <w:rPr>
                <w:rFonts w:ascii="宋体" w:hAnsi="宋体" w:eastAsia="宋体"/>
                <w:sz w:val="16"/>
              </w:rPr>
              <w:t>深化正风肃纪反腐，纵深推进</w:t>
            </w:r>
            <w:r>
              <w:rPr>
                <w:rFonts w:hint="eastAsia" w:ascii="宋体" w:hAnsi="宋体"/>
                <w:sz w:val="16"/>
                <w:lang w:eastAsia="zh-CN"/>
              </w:rPr>
              <w:t>新时代纪检监察工作高质量发展</w:t>
            </w:r>
            <w:r>
              <w:rPr>
                <w:rFonts w:ascii="宋体" w:hAnsi="宋体" w:eastAsia="宋体"/>
                <w:sz w:val="16"/>
              </w:rPr>
              <w:t>，为奋力谱写中国式现代化喀什篇章提供坚强保障。坚持不懈强化政治监督，持续推动党中央重大决策部署落地见效；深化一体推进“三不腐”，坚决打赢反腐败斗争攻坚战持久战；坚决落实中央八项规定精神，推动党风政风民风向上向善；全面加强党的纪律建设，使铁纪真正转化为日常习惯和自觉遵循；立足政治巡察职能定位，充分发挥政治巡察利剑作用；推进纪检监察体制改革，加强纪检监察工作规范化、法治化、正规化建设；发扬彻底的自我革命精神，锻造忠诚干净担当</w:t>
            </w:r>
            <w:r>
              <w:rPr>
                <w:rFonts w:hint="eastAsia" w:ascii="宋体" w:hAnsi="宋体"/>
                <w:sz w:val="16"/>
                <w:lang w:eastAsia="zh-CN"/>
              </w:rPr>
              <w:t>敢于斗争、善于斗争</w:t>
            </w:r>
            <w:r>
              <w:rPr>
                <w:rFonts w:ascii="宋体" w:hAnsi="宋体" w:eastAsia="宋体"/>
                <w:sz w:val="16"/>
              </w:rPr>
              <w:t>的纪检监察铁军。</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078F296">
            <w:pPr>
              <w:jc w:val="both"/>
            </w:pPr>
            <w:r>
              <w:rPr>
                <w:rFonts w:ascii="宋体" w:hAnsi="宋体" w:eastAsia="宋体"/>
                <w:sz w:val="16"/>
              </w:rPr>
              <w:t>2024年以来，地区纪委监委和全地区各级纪检监察机关在自治区纪委监委和地委的领导下，深入学习贯彻习近平新时代中国特色社会主义思想特别是习近平总书记关于党的自我革命的重要思想，深刻领悟“两个确立”的决定性意义，增强“四个意识”、坚定“四个自信”、做到“两个维护”，牢牢把握全面贯彻党的二十大精神这条主线，聚焦完整准确全面贯彻新时代党的治疆方略，忠诚履行党章和宪法赋予的职责，以集中整治带动全局，持续强化政治监督，深入推进正风肃纪反腐，扎实开展党纪</w:t>
            </w:r>
            <w:r>
              <w:rPr>
                <w:rFonts w:hint="eastAsia" w:ascii="宋体" w:hAnsi="宋体"/>
                <w:sz w:val="16"/>
                <w:lang w:eastAsia="zh-CN"/>
              </w:rPr>
              <w:t>主题</w:t>
            </w:r>
            <w:r>
              <w:rPr>
                <w:rFonts w:ascii="宋体" w:hAnsi="宋体" w:eastAsia="宋体"/>
                <w:sz w:val="16"/>
              </w:rPr>
              <w:t>教育，推动贯彻落实中央八项规定精神走深走实，一体推进“三不腐”，着力铲除腐败滋生的土壤和条件，有力推动纪检监察工作高质量发展不断取得新成效。</w:t>
            </w:r>
          </w:p>
        </w:tc>
      </w:tr>
      <w:tr w14:paraId="64ADB96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FE617C">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12905D">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CE9E1E">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97C1EC">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B71A57">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00551D">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2A76D3">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4BF040">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1116ED">
            <w:pPr>
              <w:jc w:val="center"/>
            </w:pPr>
            <w:r>
              <w:rPr>
                <w:rFonts w:ascii="宋体" w:hAnsi="宋体" w:eastAsia="宋体"/>
                <w:sz w:val="16"/>
              </w:rPr>
              <w:t>得分</w:t>
            </w:r>
          </w:p>
        </w:tc>
      </w:tr>
      <w:tr w14:paraId="0E19846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8B6F5B">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568897">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0E98FB">
            <w:pPr>
              <w:jc w:val="center"/>
            </w:pPr>
            <w:r>
              <w:rPr>
                <w:rFonts w:ascii="宋体" w:hAnsi="宋体" w:eastAsia="宋体"/>
                <w:sz w:val="16"/>
              </w:rPr>
              <w:t>全年开展党风廉政建设监督内容项数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ABC66C">
            <w:pPr>
              <w:jc w:val="center"/>
            </w:pPr>
            <w:r>
              <w:rPr>
                <w:rFonts w:ascii="宋体" w:hAnsi="宋体" w:eastAsia="宋体"/>
                <w:sz w:val="16"/>
              </w:rPr>
              <w:t>&gt;=3项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19E76F">
            <w:pPr>
              <w:jc w:val="center"/>
            </w:pPr>
            <w:r>
              <w:rPr>
                <w:rFonts w:ascii="宋体" w:hAnsi="宋体" w:eastAsia="宋体"/>
                <w:sz w:val="16"/>
              </w:rPr>
              <w:t>喀什地区纪委监委及机关各部室（单位）、地委巡察机构2024年工作要点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3CBBE0">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FF9A65">
            <w:pPr>
              <w:jc w:val="center"/>
            </w:pPr>
            <w:r>
              <w:rPr>
                <w:rFonts w:ascii="宋体" w:hAnsi="宋体" w:eastAsia="宋体"/>
                <w:sz w:val="16"/>
              </w:rPr>
              <w:t>3项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8C07E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5F3D5B">
            <w:pPr>
              <w:jc w:val="center"/>
            </w:pPr>
            <w:r>
              <w:rPr>
                <w:rFonts w:ascii="宋体" w:hAnsi="宋体" w:eastAsia="宋体"/>
                <w:sz w:val="16"/>
              </w:rPr>
              <w:t>18</w:t>
            </w:r>
          </w:p>
        </w:tc>
      </w:tr>
      <w:tr w14:paraId="50B821B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C878A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B0FD8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2729B0">
            <w:pPr>
              <w:jc w:val="center"/>
            </w:pPr>
            <w:r>
              <w:rPr>
                <w:rFonts w:ascii="宋体" w:hAnsi="宋体" w:eastAsia="宋体"/>
                <w:sz w:val="16"/>
              </w:rPr>
              <w:t>全年开展巡察轮数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6C80FB">
            <w:pPr>
              <w:jc w:val="center"/>
            </w:pPr>
            <w:r>
              <w:rPr>
                <w:rFonts w:ascii="宋体" w:hAnsi="宋体" w:eastAsia="宋体"/>
                <w:sz w:val="16"/>
              </w:rPr>
              <w:t>&gt;=3轮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ECE937">
            <w:pPr>
              <w:jc w:val="center"/>
            </w:pPr>
            <w:r>
              <w:rPr>
                <w:rFonts w:ascii="宋体" w:hAnsi="宋体" w:eastAsia="宋体"/>
                <w:sz w:val="16"/>
              </w:rPr>
              <w:t>喀什地区纪委监委及机关各部室（单位）、地委巡察机构2024年工作要点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0C70E7">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4BC1C6">
            <w:pPr>
              <w:jc w:val="center"/>
            </w:pPr>
            <w:r>
              <w:rPr>
                <w:rFonts w:ascii="宋体" w:hAnsi="宋体" w:eastAsia="宋体"/>
                <w:sz w:val="16"/>
              </w:rPr>
              <w:t>3轮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428B8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745F83">
            <w:pPr>
              <w:jc w:val="center"/>
            </w:pPr>
            <w:r>
              <w:rPr>
                <w:rFonts w:ascii="宋体" w:hAnsi="宋体" w:eastAsia="宋体"/>
                <w:sz w:val="16"/>
              </w:rPr>
              <w:t>18</w:t>
            </w:r>
          </w:p>
        </w:tc>
      </w:tr>
      <w:tr w14:paraId="50941AB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2CCE3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ABEF3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E76CBE">
            <w:pPr>
              <w:jc w:val="center"/>
            </w:pPr>
            <w:r>
              <w:rPr>
                <w:rFonts w:ascii="宋体" w:hAnsi="宋体" w:eastAsia="宋体"/>
                <w:sz w:val="16"/>
              </w:rPr>
              <w:t>开展全员培训方式种类</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B85640">
            <w:pPr>
              <w:jc w:val="center"/>
            </w:pPr>
            <w:r>
              <w:rPr>
                <w:rFonts w:ascii="宋体" w:hAnsi="宋体" w:eastAsia="宋体"/>
                <w:sz w:val="16"/>
              </w:rPr>
              <w:t>&gt;=5种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05C156">
            <w:pPr>
              <w:jc w:val="center"/>
            </w:pPr>
            <w:r>
              <w:rPr>
                <w:rFonts w:ascii="宋体" w:hAnsi="宋体" w:eastAsia="宋体"/>
                <w:sz w:val="16"/>
              </w:rPr>
              <w:t>喀什地区纪委监委及机关各部室（单位）、地委巡察机构2024年工作要点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65B3B5">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75B8A8">
            <w:pPr>
              <w:jc w:val="center"/>
            </w:pPr>
            <w:r>
              <w:rPr>
                <w:rFonts w:ascii="宋体" w:hAnsi="宋体" w:eastAsia="宋体"/>
                <w:sz w:val="16"/>
              </w:rPr>
              <w:t>3种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A14855">
            <w:pPr>
              <w:jc w:val="center"/>
            </w:pPr>
            <w:r>
              <w:rPr>
                <w:rFonts w:ascii="宋体" w:hAnsi="宋体" w:eastAsia="宋体"/>
                <w:sz w:val="16"/>
              </w:rPr>
              <w:t>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638906">
            <w:pPr>
              <w:jc w:val="center"/>
            </w:pPr>
            <w:r>
              <w:rPr>
                <w:rFonts w:ascii="宋体" w:hAnsi="宋体" w:eastAsia="宋体"/>
                <w:sz w:val="16"/>
              </w:rPr>
              <w:t>10.8</w:t>
            </w:r>
          </w:p>
        </w:tc>
      </w:tr>
      <w:tr w14:paraId="3861B91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59D008"/>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C764BD">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00D4DF">
            <w:pPr>
              <w:jc w:val="center"/>
            </w:pPr>
            <w:r>
              <w:rPr>
                <w:rFonts w:ascii="宋体" w:hAnsi="宋体" w:eastAsia="宋体"/>
                <w:sz w:val="16"/>
              </w:rPr>
              <w:t>案件线索处置率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A5F97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A2C6F1">
            <w:pPr>
              <w:jc w:val="center"/>
            </w:pPr>
            <w:r>
              <w:rPr>
                <w:rFonts w:ascii="宋体" w:hAnsi="宋体" w:eastAsia="宋体"/>
                <w:sz w:val="16"/>
              </w:rPr>
              <w:t>喀什地区纪委监委及机关各部室（单位）、地委巡察机构2024年工作要点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C015D2">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B80A3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793AD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234A65">
            <w:pPr>
              <w:jc w:val="center"/>
            </w:pPr>
            <w:r>
              <w:rPr>
                <w:rFonts w:ascii="宋体" w:hAnsi="宋体" w:eastAsia="宋体"/>
                <w:sz w:val="16"/>
              </w:rPr>
              <w:t>18</w:t>
            </w:r>
          </w:p>
        </w:tc>
      </w:tr>
      <w:tr w14:paraId="5F21BD2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96A72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AFE05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BAB4B9">
            <w:pPr>
              <w:jc w:val="center"/>
            </w:pPr>
            <w:r>
              <w:rPr>
                <w:rFonts w:ascii="宋体" w:hAnsi="宋体" w:eastAsia="宋体"/>
                <w:sz w:val="16"/>
              </w:rPr>
              <w:t>巡察发现问题整改率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57380E">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CE3AF5">
            <w:pPr>
              <w:jc w:val="center"/>
            </w:pPr>
            <w:r>
              <w:rPr>
                <w:rFonts w:ascii="宋体" w:hAnsi="宋体" w:eastAsia="宋体"/>
                <w:sz w:val="16"/>
              </w:rPr>
              <w:t>喀什地区纪委监委及机关各部室（单位）、地委巡察机构2024年工作要点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E86B93">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CDEBE9">
            <w:pPr>
              <w:jc w:val="center"/>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4D420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E362D4">
            <w:pPr>
              <w:jc w:val="center"/>
            </w:pPr>
            <w:r>
              <w:rPr>
                <w:rFonts w:ascii="宋体" w:hAnsi="宋体" w:eastAsia="宋体"/>
                <w:sz w:val="16"/>
              </w:rPr>
              <w:t>18</w:t>
            </w:r>
          </w:p>
        </w:tc>
      </w:tr>
    </w:tbl>
    <w:p w14:paraId="1D6E509C">
      <w:r>
        <w:br w:type="page"/>
      </w:r>
    </w:p>
    <w:tbl>
      <w:tblPr>
        <w:tblStyle w:val="9"/>
        <w:tblW w:w="0" w:type="auto"/>
        <w:tblInd w:w="0" w:type="dxa"/>
        <w:tblLayout w:type="autofit"/>
        <w:tblCellMar>
          <w:top w:w="0" w:type="dxa"/>
          <w:left w:w="108" w:type="dxa"/>
          <w:bottom w:w="0" w:type="dxa"/>
          <w:right w:w="108" w:type="dxa"/>
        </w:tblCellMar>
      </w:tblPr>
      <w:tblGrid>
        <w:gridCol w:w="622"/>
        <w:gridCol w:w="606"/>
        <w:gridCol w:w="607"/>
        <w:gridCol w:w="623"/>
        <w:gridCol w:w="776"/>
        <w:gridCol w:w="607"/>
        <w:gridCol w:w="776"/>
        <w:gridCol w:w="615"/>
        <w:gridCol w:w="607"/>
        <w:gridCol w:w="607"/>
        <w:gridCol w:w="776"/>
        <w:gridCol w:w="630"/>
        <w:gridCol w:w="576"/>
        <w:gridCol w:w="632"/>
      </w:tblGrid>
      <w:tr w14:paraId="6458A399">
        <w:tblPrEx>
          <w:tblCellMar>
            <w:top w:w="0" w:type="dxa"/>
            <w:left w:w="108" w:type="dxa"/>
            <w:bottom w:w="0" w:type="dxa"/>
            <w:right w:w="108" w:type="dxa"/>
          </w:tblCellMar>
        </w:tblPrEx>
        <w:tc>
          <w:tcPr>
            <w:tcW w:w="8848" w:type="dxa"/>
            <w:gridSpan w:val="14"/>
            <w:vAlign w:val="center"/>
          </w:tcPr>
          <w:p w14:paraId="6B52AF6F">
            <w:pPr>
              <w:jc w:val="center"/>
            </w:pPr>
            <w:r>
              <w:rPr>
                <w:rFonts w:ascii="宋体" w:hAnsi="宋体" w:eastAsia="宋体"/>
                <w:sz w:val="24"/>
              </w:rPr>
              <w:t>项目支出绩效自评表</w:t>
            </w:r>
          </w:p>
        </w:tc>
      </w:tr>
      <w:tr w14:paraId="14A44B76">
        <w:tblPrEx>
          <w:tblCellMar>
            <w:top w:w="0" w:type="dxa"/>
            <w:left w:w="108" w:type="dxa"/>
            <w:bottom w:w="0" w:type="dxa"/>
            <w:right w:w="108" w:type="dxa"/>
          </w:tblCellMar>
        </w:tblPrEx>
        <w:tc>
          <w:tcPr>
            <w:tcW w:w="8848" w:type="dxa"/>
            <w:gridSpan w:val="14"/>
            <w:vAlign w:val="center"/>
          </w:tcPr>
          <w:p w14:paraId="5813BC92">
            <w:pPr>
              <w:jc w:val="center"/>
            </w:pPr>
            <w:r>
              <w:rPr>
                <w:rFonts w:ascii="宋体" w:hAnsi="宋体" w:eastAsia="宋体"/>
                <w:sz w:val="24"/>
              </w:rPr>
              <w:t>(2024年度)</w:t>
            </w:r>
          </w:p>
        </w:tc>
      </w:tr>
      <w:tr w14:paraId="0042481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0668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5D2C82F">
            <w:pPr>
              <w:jc w:val="center"/>
            </w:pPr>
            <w:r>
              <w:rPr>
                <w:rFonts w:ascii="宋体" w:hAnsi="宋体" w:eastAsia="宋体"/>
                <w:sz w:val="16"/>
              </w:rPr>
              <w:t>业务工作项目</w:t>
            </w:r>
          </w:p>
        </w:tc>
      </w:tr>
      <w:tr w14:paraId="757C32E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013C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42AB26">
            <w:pPr>
              <w:jc w:val="center"/>
            </w:pPr>
            <w:r>
              <w:rPr>
                <w:rFonts w:ascii="宋体" w:hAnsi="宋体" w:eastAsia="宋体"/>
                <w:sz w:val="16"/>
              </w:rPr>
              <w:t>中共喀什地区纪律检查委员会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B47F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0E55E06">
            <w:pPr>
              <w:jc w:val="center"/>
            </w:pPr>
            <w:r>
              <w:rPr>
                <w:rFonts w:ascii="宋体" w:hAnsi="宋体" w:eastAsia="宋体"/>
                <w:sz w:val="16"/>
              </w:rPr>
              <w:t>中共喀什地区纪律检查委员会</w:t>
            </w:r>
          </w:p>
        </w:tc>
      </w:tr>
      <w:tr w14:paraId="0B1F6A0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CECA4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4900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DEDF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86D3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5697A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3B7B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5918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CBB25">
            <w:pPr>
              <w:jc w:val="center"/>
            </w:pPr>
            <w:r>
              <w:rPr>
                <w:rFonts w:ascii="宋体" w:hAnsi="宋体" w:eastAsia="宋体"/>
                <w:sz w:val="16"/>
              </w:rPr>
              <w:t>得分</w:t>
            </w:r>
          </w:p>
        </w:tc>
      </w:tr>
      <w:tr w14:paraId="433082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85FB5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A8B8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0BD82">
            <w:pPr>
              <w:jc w:val="center"/>
            </w:pPr>
            <w:r>
              <w:rPr>
                <w:rFonts w:ascii="宋体" w:hAnsi="宋体" w:eastAsia="宋体"/>
                <w:sz w:val="16"/>
              </w:rPr>
              <w:t>614.01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98155">
            <w:pPr>
              <w:jc w:val="center"/>
            </w:pPr>
            <w:r>
              <w:rPr>
                <w:rFonts w:ascii="宋体" w:hAnsi="宋体" w:eastAsia="宋体"/>
                <w:sz w:val="16"/>
              </w:rPr>
              <w:t>614.01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FA33A">
            <w:pPr>
              <w:jc w:val="center"/>
            </w:pPr>
            <w:r>
              <w:rPr>
                <w:rFonts w:ascii="宋体" w:hAnsi="宋体" w:eastAsia="宋体"/>
                <w:sz w:val="16"/>
              </w:rPr>
              <w:t>581.07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1643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B1ACC">
            <w:pPr>
              <w:jc w:val="center"/>
            </w:pPr>
            <w:r>
              <w:rPr>
                <w:rFonts w:ascii="宋体" w:hAnsi="宋体" w:eastAsia="宋体"/>
                <w:sz w:val="16"/>
              </w:rPr>
              <w:t>94.6%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45F26">
            <w:pPr>
              <w:jc w:val="center"/>
            </w:pPr>
            <w:r>
              <w:rPr>
                <w:rFonts w:ascii="宋体" w:hAnsi="宋体" w:eastAsia="宋体"/>
                <w:sz w:val="16"/>
              </w:rPr>
              <w:t>10.00分</w:t>
            </w:r>
          </w:p>
        </w:tc>
      </w:tr>
      <w:tr w14:paraId="0044C1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97C7E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AF16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0776C">
            <w:pPr>
              <w:jc w:val="center"/>
            </w:pPr>
            <w:r>
              <w:rPr>
                <w:rFonts w:ascii="宋体" w:hAnsi="宋体" w:eastAsia="宋体"/>
                <w:sz w:val="16"/>
              </w:rPr>
              <w:t>614.01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E2BAF">
            <w:pPr>
              <w:jc w:val="center"/>
            </w:pPr>
            <w:r>
              <w:rPr>
                <w:rFonts w:ascii="宋体" w:hAnsi="宋体" w:eastAsia="宋体"/>
                <w:sz w:val="16"/>
              </w:rPr>
              <w:t>614.01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B3692">
            <w:pPr>
              <w:jc w:val="center"/>
            </w:pPr>
            <w:r>
              <w:rPr>
                <w:rFonts w:ascii="宋体" w:hAnsi="宋体" w:eastAsia="宋体"/>
                <w:sz w:val="16"/>
              </w:rPr>
              <w:t>581.07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92EB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C098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1801D">
            <w:pPr>
              <w:jc w:val="center"/>
            </w:pPr>
            <w:r>
              <w:rPr>
                <w:rFonts w:ascii="宋体" w:hAnsi="宋体" w:eastAsia="宋体"/>
                <w:sz w:val="16"/>
              </w:rPr>
              <w:t>—</w:t>
            </w:r>
          </w:p>
        </w:tc>
      </w:tr>
      <w:tr w14:paraId="0F6B5D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087F8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3B6C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764E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6767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170B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43F3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B5D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98DDB">
            <w:pPr>
              <w:jc w:val="center"/>
            </w:pPr>
            <w:r>
              <w:rPr>
                <w:rFonts w:ascii="宋体" w:hAnsi="宋体" w:eastAsia="宋体"/>
                <w:sz w:val="16"/>
              </w:rPr>
              <w:t>—</w:t>
            </w:r>
          </w:p>
        </w:tc>
      </w:tr>
      <w:tr w14:paraId="2C64ED0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7F7DD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FE1EA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6B74FC">
            <w:pPr>
              <w:jc w:val="center"/>
            </w:pPr>
            <w:r>
              <w:rPr>
                <w:rFonts w:ascii="宋体" w:hAnsi="宋体" w:eastAsia="宋体"/>
                <w:sz w:val="16"/>
              </w:rPr>
              <w:t>实际完成情况</w:t>
            </w:r>
          </w:p>
        </w:tc>
      </w:tr>
      <w:tr w14:paraId="7B154F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F1BAF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C25A3F">
            <w:pPr>
              <w:jc w:val="both"/>
            </w:pPr>
            <w:r>
              <w:rPr>
                <w:rFonts w:ascii="宋体" w:hAnsi="宋体" w:eastAsia="宋体"/>
                <w:sz w:val="16"/>
              </w:rPr>
              <w:t>为促进中央、自治区、地区安排的各项工作任务的顺利完成以及纪委监委各项业务工作的顺利进行，2023年预计完成办公用品、耗材约2次的大批量购置，并及时支付纪委监委、审查调查中心、地委巡察办、各派驻纪检组等39个部室因运行而产生的水、电、天然气、网络通讯、差费等费用，部室年均运转费用约为15.74万元。项目实施过程中，保证购置物品保证质量过硬、验收合格，费用及时支付。有效促进中央、自治区、地区安排的各项工作任务的顺利完成。</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9D9FBB">
            <w:pPr>
              <w:jc w:val="both"/>
            </w:pPr>
            <w:r>
              <w:rPr>
                <w:rFonts w:ascii="宋体" w:hAnsi="宋体" w:eastAsia="宋体"/>
                <w:sz w:val="16"/>
              </w:rPr>
              <w:t>2024年，根据纪委监委工作实际，完成办公用品、耗材的购置，并及时支付纪委监委、审查调查中心、地委巡察办、各派驻纪检组等39个部室因运行而产生的水、电、天然气、网络通讯、差费等费用581.07万元，部室年均运转费用约为14.90万元。项目实施过程中，保证购置物品保证质量过硬、验收合格，费用及时支付。有效促进中央、自治区、地区安排的各项工作任务的顺利完成。</w:t>
            </w:r>
          </w:p>
        </w:tc>
      </w:tr>
      <w:tr w14:paraId="4ABE002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B9D9E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D314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F729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C0F9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4405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3152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4019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90BE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14DF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5065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A1E9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C473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57564">
            <w:pPr>
              <w:jc w:val="center"/>
            </w:pPr>
            <w:r>
              <w:rPr>
                <w:rFonts w:ascii="宋体" w:hAnsi="宋体" w:eastAsia="宋体"/>
                <w:sz w:val="16"/>
              </w:rPr>
              <w:t>偏差原因分析及改进措施</w:t>
            </w:r>
          </w:p>
        </w:tc>
      </w:tr>
      <w:tr w14:paraId="28E5619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B077B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9D2F4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1115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B5BCA">
            <w:pPr>
              <w:jc w:val="center"/>
            </w:pPr>
            <w:r>
              <w:rPr>
                <w:rFonts w:ascii="宋体" w:hAnsi="宋体" w:eastAsia="宋体"/>
                <w:sz w:val="16"/>
              </w:rPr>
              <w:t>业务经费保障部室数量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F5431">
            <w:pPr>
              <w:jc w:val="center"/>
            </w:pPr>
            <w:r>
              <w:rPr>
                <w:rFonts w:ascii="宋体" w:hAnsi="宋体" w:eastAsia="宋体"/>
                <w:sz w:val="16"/>
              </w:rPr>
              <w:t>&gt;=39个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31BE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639D4">
            <w:pPr>
              <w:jc w:val="center"/>
            </w:pPr>
            <w:r>
              <w:rPr>
                <w:rFonts w:ascii="宋体" w:hAnsi="宋体" w:eastAsia="宋体"/>
                <w:sz w:val="16"/>
              </w:rPr>
              <w:t>=39个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148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6D4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698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BBF22">
            <w:pPr>
              <w:jc w:val="center"/>
            </w:pPr>
            <w:r>
              <w:rPr>
                <w:rFonts w:ascii="宋体" w:hAnsi="宋体" w:eastAsia="宋体"/>
                <w:sz w:val="16"/>
              </w:rPr>
              <w:t>=39个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268B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28CCA">
            <w:pPr>
              <w:jc w:val="center"/>
            </w:pPr>
          </w:p>
        </w:tc>
      </w:tr>
      <w:tr w14:paraId="44177D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0A05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63C63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E218B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E62C8">
            <w:pPr>
              <w:jc w:val="center"/>
            </w:pPr>
            <w:r>
              <w:rPr>
                <w:rFonts w:ascii="宋体" w:hAnsi="宋体" w:eastAsia="宋体"/>
                <w:sz w:val="16"/>
              </w:rPr>
              <w:t>购置物品合格率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9A2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B28F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895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8A8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067F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80CC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A25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A742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900E5">
            <w:pPr>
              <w:jc w:val="center"/>
            </w:pPr>
          </w:p>
        </w:tc>
      </w:tr>
      <w:tr w14:paraId="2E503A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B395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3232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05E3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97476">
            <w:pPr>
              <w:jc w:val="center"/>
            </w:pPr>
            <w:r>
              <w:rPr>
                <w:rFonts w:ascii="宋体" w:hAnsi="宋体" w:eastAsia="宋体"/>
                <w:sz w:val="16"/>
              </w:rPr>
              <w:t>办公用品、耗材政府采购率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3F35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11C12">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EFCE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C6F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C1E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DF47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D96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732DC">
            <w:pPr>
              <w:jc w:val="center"/>
            </w:pPr>
            <w:r>
              <w:rPr>
                <w:rFonts w:ascii="宋体" w:hAnsi="宋体" w:eastAsia="宋体"/>
                <w:sz w:val="16"/>
              </w:rPr>
              <w:t>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D7CDA">
            <w:pPr>
              <w:jc w:val="center"/>
            </w:pPr>
            <w:r>
              <w:rPr>
                <w:rFonts w:ascii="宋体" w:hAnsi="宋体" w:eastAsia="宋体"/>
                <w:sz w:val="16"/>
              </w:rPr>
              <w:t>偏差原因：应该进行采购的物品均进行了政府采购，采购率为100%。采取的措施是：下年度合理编制绩效指标值。</w:t>
            </w:r>
          </w:p>
        </w:tc>
      </w:tr>
      <w:tr w14:paraId="338456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D563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381F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81BD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DBA8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0FECA">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935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3814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D69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39B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A83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97FB7">
            <w:pPr>
              <w:jc w:val="center"/>
            </w:pPr>
            <w:r>
              <w:rPr>
                <w:rFonts w:ascii="宋体" w:hAnsi="宋体" w:eastAsia="宋体"/>
                <w:sz w:val="16"/>
              </w:rPr>
              <w:t>2024年12月28日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F907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5B108">
            <w:pPr>
              <w:jc w:val="center"/>
            </w:pPr>
          </w:p>
        </w:tc>
      </w:tr>
      <w:tr w14:paraId="0B1CDC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B309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E6E8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E5E5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2DF95">
            <w:pPr>
              <w:jc w:val="center"/>
            </w:pPr>
            <w:r>
              <w:rPr>
                <w:rFonts w:ascii="宋体" w:hAnsi="宋体" w:eastAsia="宋体"/>
                <w:sz w:val="16"/>
              </w:rPr>
              <w:t>各部室年平均运转费用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64090">
            <w:pPr>
              <w:jc w:val="center"/>
            </w:pPr>
            <w:r>
              <w:rPr>
                <w:rFonts w:ascii="宋体" w:hAnsi="宋体" w:eastAsia="宋体"/>
                <w:sz w:val="16"/>
              </w:rPr>
              <w:t>&lt;=15.74万元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57B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6FA9A">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6D2B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64F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ED8B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5CAD5">
            <w:pPr>
              <w:jc w:val="center"/>
            </w:pPr>
            <w:r>
              <w:rPr>
                <w:rFonts w:ascii="宋体" w:hAnsi="宋体" w:eastAsia="宋体"/>
                <w:sz w:val="16"/>
              </w:rPr>
              <w:t>=14.9万元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0FEE2">
            <w:pPr>
              <w:jc w:val="center"/>
            </w:pPr>
            <w:r>
              <w:rPr>
                <w:rFonts w:ascii="宋体" w:hAnsi="宋体" w:eastAsia="宋体"/>
                <w:sz w:val="16"/>
              </w:rPr>
              <w:t>17.33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867D8">
            <w:pPr>
              <w:jc w:val="center"/>
            </w:pPr>
            <w:r>
              <w:rPr>
                <w:rFonts w:ascii="宋体" w:hAnsi="宋体" w:eastAsia="宋体"/>
                <w:sz w:val="16"/>
              </w:rPr>
              <w:t>偏差原因：因实施招投标、政府采购等措施，导致项目资金节约成本，项目各部室年平均运转费用为14.9万元。采取的措施是：根据实际情况下年度合理编制绩效指标</w:t>
            </w:r>
          </w:p>
        </w:tc>
      </w:tr>
      <w:tr w14:paraId="7FA164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FDC3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76E8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5797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37023">
            <w:pPr>
              <w:jc w:val="center"/>
            </w:pPr>
            <w:r>
              <w:rPr>
                <w:rFonts w:ascii="宋体" w:hAnsi="宋体" w:eastAsia="宋体"/>
                <w:sz w:val="16"/>
              </w:rPr>
              <w:t>保障工作需要情况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6AB6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531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08EF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3706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0986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681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A8FB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2EBF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5E7AA">
            <w:pPr>
              <w:jc w:val="center"/>
            </w:pPr>
          </w:p>
        </w:tc>
      </w:tr>
      <w:tr w14:paraId="1DFC6F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1B9F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31AF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13F2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CA2FE">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F3F3C">
            <w:pPr>
              <w:jc w:val="center"/>
            </w:pPr>
            <w:r>
              <w:rPr>
                <w:rFonts w:ascii="宋体" w:hAnsi="宋体" w:eastAsia="宋体"/>
                <w:sz w:val="16"/>
              </w:rPr>
              <w:t>&gt;=97%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AA72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866EA">
            <w:pPr>
              <w:jc w:val="center"/>
            </w:pPr>
            <w:r>
              <w:rPr>
                <w:rFonts w:ascii="宋体" w:hAnsi="宋体" w:eastAsia="宋体"/>
                <w:sz w:val="16"/>
              </w:rPr>
              <w:t>=96.89%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9CF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1559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A33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C7742">
            <w:pPr>
              <w:jc w:val="center"/>
            </w:pPr>
            <w:r>
              <w:rPr>
                <w:rFonts w:ascii="宋体" w:hAnsi="宋体" w:eastAsia="宋体"/>
                <w:sz w:val="16"/>
              </w:rPr>
              <w:t>=99.13%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7B03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E61A65">
            <w:pPr>
              <w:jc w:val="center"/>
            </w:pPr>
            <w:r>
              <w:rPr>
                <w:rFonts w:ascii="宋体" w:hAnsi="宋体" w:eastAsia="宋体"/>
                <w:sz w:val="16"/>
              </w:rPr>
              <w:t>偏差原因：工作人员满意度实际值为99%。采取的措施是：下年度合理编制满意度指标。</w:t>
            </w:r>
          </w:p>
        </w:tc>
      </w:tr>
      <w:tr w14:paraId="79FF2D9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4916C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8E5D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73C1F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5FB9D">
            <w:pPr>
              <w:jc w:val="center"/>
            </w:pPr>
            <w:r>
              <w:rPr>
                <w:rFonts w:ascii="宋体" w:hAnsi="宋体" w:eastAsia="宋体"/>
                <w:sz w:val="16"/>
              </w:rPr>
              <w:t>96.83分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AD71D53"/>
        </w:tc>
      </w:tr>
    </w:tbl>
    <w:p w14:paraId="2C34DDD0">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5"/>
        <w:gridCol w:w="696"/>
        <w:gridCol w:w="625"/>
        <w:gridCol w:w="696"/>
        <w:gridCol w:w="627"/>
        <w:gridCol w:w="625"/>
        <w:gridCol w:w="625"/>
        <w:gridCol w:w="776"/>
        <w:gridCol w:w="632"/>
        <w:gridCol w:w="621"/>
        <w:gridCol w:w="633"/>
      </w:tblGrid>
      <w:tr w14:paraId="16E7EFCB">
        <w:tblPrEx>
          <w:tblCellMar>
            <w:top w:w="0" w:type="dxa"/>
            <w:left w:w="108" w:type="dxa"/>
            <w:bottom w:w="0" w:type="dxa"/>
            <w:right w:w="108" w:type="dxa"/>
          </w:tblCellMar>
        </w:tblPrEx>
        <w:tc>
          <w:tcPr>
            <w:tcW w:w="8848" w:type="dxa"/>
            <w:gridSpan w:val="14"/>
            <w:vAlign w:val="center"/>
          </w:tcPr>
          <w:p w14:paraId="63C749E0">
            <w:pPr>
              <w:jc w:val="center"/>
            </w:pPr>
            <w:r>
              <w:rPr>
                <w:rFonts w:ascii="宋体" w:hAnsi="宋体" w:eastAsia="宋体"/>
                <w:sz w:val="24"/>
              </w:rPr>
              <w:t>项目支出绩效自评表</w:t>
            </w:r>
          </w:p>
        </w:tc>
      </w:tr>
      <w:tr w14:paraId="046AD511">
        <w:tblPrEx>
          <w:tblCellMar>
            <w:top w:w="0" w:type="dxa"/>
            <w:left w:w="108" w:type="dxa"/>
            <w:bottom w:w="0" w:type="dxa"/>
            <w:right w:w="108" w:type="dxa"/>
          </w:tblCellMar>
        </w:tblPrEx>
        <w:tc>
          <w:tcPr>
            <w:tcW w:w="8848" w:type="dxa"/>
            <w:gridSpan w:val="14"/>
            <w:vAlign w:val="center"/>
          </w:tcPr>
          <w:p w14:paraId="0B2327EE">
            <w:pPr>
              <w:jc w:val="center"/>
            </w:pPr>
            <w:r>
              <w:rPr>
                <w:rFonts w:ascii="宋体" w:hAnsi="宋体" w:eastAsia="宋体"/>
                <w:sz w:val="24"/>
              </w:rPr>
              <w:t>(2024年度)</w:t>
            </w:r>
          </w:p>
        </w:tc>
      </w:tr>
      <w:tr w14:paraId="667BDA9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11CA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1E8A1BE">
            <w:pPr>
              <w:jc w:val="center"/>
            </w:pPr>
            <w:r>
              <w:rPr>
                <w:rFonts w:ascii="宋体" w:hAnsi="宋体" w:eastAsia="宋体"/>
                <w:sz w:val="16"/>
              </w:rPr>
              <w:t>业务能力提升项目</w:t>
            </w:r>
          </w:p>
        </w:tc>
      </w:tr>
      <w:tr w14:paraId="00889FD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031E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6ADA2E">
            <w:pPr>
              <w:jc w:val="center"/>
            </w:pPr>
            <w:r>
              <w:rPr>
                <w:rFonts w:ascii="宋体" w:hAnsi="宋体" w:eastAsia="宋体"/>
                <w:sz w:val="16"/>
              </w:rPr>
              <w:t>中共喀什地区纪律检查委员会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9A79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CA9D226">
            <w:pPr>
              <w:jc w:val="center"/>
            </w:pPr>
            <w:r>
              <w:rPr>
                <w:rFonts w:ascii="宋体" w:hAnsi="宋体" w:eastAsia="宋体"/>
                <w:sz w:val="16"/>
              </w:rPr>
              <w:t>中共喀什地区纪律检查委员会</w:t>
            </w:r>
          </w:p>
        </w:tc>
      </w:tr>
      <w:tr w14:paraId="445C79B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E0FAE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7467A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9550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C15A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25D3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B00F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B7E6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D30F8">
            <w:pPr>
              <w:jc w:val="center"/>
            </w:pPr>
            <w:r>
              <w:rPr>
                <w:rFonts w:ascii="宋体" w:hAnsi="宋体" w:eastAsia="宋体"/>
                <w:sz w:val="16"/>
              </w:rPr>
              <w:t>得分</w:t>
            </w:r>
          </w:p>
        </w:tc>
      </w:tr>
      <w:tr w14:paraId="5E9254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A0CA8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D789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CDF6F">
            <w:pPr>
              <w:jc w:val="center"/>
            </w:pPr>
            <w:r>
              <w:rPr>
                <w:rFonts w:ascii="宋体" w:hAnsi="宋体" w:eastAsia="宋体"/>
                <w:sz w:val="16"/>
              </w:rPr>
              <w:t>409.09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5ADC2">
            <w:pPr>
              <w:jc w:val="center"/>
            </w:pPr>
            <w:r>
              <w:rPr>
                <w:rFonts w:ascii="宋体" w:hAnsi="宋体" w:eastAsia="宋体"/>
                <w:sz w:val="16"/>
              </w:rPr>
              <w:t>216.78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9DAA1F">
            <w:pPr>
              <w:jc w:val="center"/>
            </w:pPr>
            <w:r>
              <w:rPr>
                <w:rFonts w:ascii="宋体" w:hAnsi="宋体" w:eastAsia="宋体"/>
                <w:sz w:val="16"/>
              </w:rPr>
              <w:t>185.25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B8C0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8D8CB6">
            <w:pPr>
              <w:jc w:val="center"/>
            </w:pPr>
            <w:r>
              <w:rPr>
                <w:rFonts w:ascii="宋体" w:hAnsi="宋体" w:eastAsia="宋体"/>
                <w:sz w:val="16"/>
              </w:rPr>
              <w:t>85.5%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D51E5">
            <w:pPr>
              <w:jc w:val="center"/>
            </w:pPr>
            <w:r>
              <w:rPr>
                <w:rFonts w:ascii="宋体" w:hAnsi="宋体" w:eastAsia="宋体"/>
                <w:sz w:val="16"/>
              </w:rPr>
              <w:t>6.36分</w:t>
            </w:r>
          </w:p>
        </w:tc>
      </w:tr>
      <w:tr w14:paraId="3ADE8E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2B5D3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7A84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29298">
            <w:pPr>
              <w:jc w:val="center"/>
            </w:pPr>
            <w:r>
              <w:rPr>
                <w:rFonts w:ascii="宋体" w:hAnsi="宋体" w:eastAsia="宋体"/>
                <w:sz w:val="16"/>
              </w:rPr>
              <w:t>409.09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F1C7B">
            <w:pPr>
              <w:jc w:val="center"/>
            </w:pPr>
            <w:r>
              <w:rPr>
                <w:rFonts w:ascii="宋体" w:hAnsi="宋体" w:eastAsia="宋体"/>
                <w:sz w:val="16"/>
              </w:rPr>
              <w:t>216.78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5D192">
            <w:pPr>
              <w:jc w:val="center"/>
            </w:pPr>
            <w:r>
              <w:rPr>
                <w:rFonts w:ascii="宋体" w:hAnsi="宋体" w:eastAsia="宋体"/>
                <w:sz w:val="16"/>
              </w:rPr>
              <w:t>185.25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1D9D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32D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BAB3B">
            <w:pPr>
              <w:jc w:val="center"/>
            </w:pPr>
            <w:r>
              <w:rPr>
                <w:rFonts w:ascii="宋体" w:hAnsi="宋体" w:eastAsia="宋体"/>
                <w:sz w:val="16"/>
              </w:rPr>
              <w:t>—</w:t>
            </w:r>
          </w:p>
        </w:tc>
      </w:tr>
      <w:tr w14:paraId="3C63F0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1152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6D1C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A5BB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2F51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20C3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F62F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9790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215F0">
            <w:pPr>
              <w:jc w:val="center"/>
            </w:pPr>
            <w:r>
              <w:rPr>
                <w:rFonts w:ascii="宋体" w:hAnsi="宋体" w:eastAsia="宋体"/>
                <w:sz w:val="16"/>
              </w:rPr>
              <w:t>—</w:t>
            </w:r>
          </w:p>
        </w:tc>
      </w:tr>
      <w:tr w14:paraId="54218A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C2263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84280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F79986">
            <w:pPr>
              <w:jc w:val="center"/>
            </w:pPr>
            <w:r>
              <w:rPr>
                <w:rFonts w:ascii="宋体" w:hAnsi="宋体" w:eastAsia="宋体"/>
                <w:sz w:val="16"/>
              </w:rPr>
              <w:t>实际完成情况</w:t>
            </w:r>
          </w:p>
        </w:tc>
      </w:tr>
      <w:tr w14:paraId="2D995F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6FC27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DFEE5D">
            <w:pPr>
              <w:jc w:val="both"/>
            </w:pPr>
            <w:r>
              <w:rPr>
                <w:rFonts w:ascii="宋体" w:hAnsi="宋体" w:eastAsia="宋体"/>
                <w:sz w:val="16"/>
              </w:rPr>
              <w:t>为更好</w:t>
            </w:r>
            <w:r>
              <w:rPr>
                <w:rFonts w:hint="eastAsia" w:ascii="宋体" w:hAnsi="宋体"/>
                <w:sz w:val="16"/>
                <w:lang w:eastAsia="zh-CN"/>
              </w:rPr>
              <w:t>地</w:t>
            </w:r>
            <w:r>
              <w:rPr>
                <w:rFonts w:ascii="宋体" w:hAnsi="宋体" w:eastAsia="宋体"/>
                <w:sz w:val="16"/>
              </w:rPr>
              <w:t>开展纪检监察工作，提升纪检监察干部业务水平及工作能力，2024年我委预计开展高校培训班、送教下基层培训班等4</w:t>
            </w:r>
            <w:r>
              <w:rPr>
                <w:rFonts w:hint="eastAsia" w:ascii="宋体" w:hAnsi="宋体"/>
                <w:sz w:val="16"/>
                <w:lang w:eastAsia="zh-CN"/>
              </w:rPr>
              <w:t>期</w:t>
            </w:r>
            <w:r>
              <w:rPr>
                <w:rFonts w:ascii="宋体" w:hAnsi="宋体" w:eastAsia="宋体"/>
                <w:sz w:val="16"/>
              </w:rPr>
              <w:t>培训班，通过邀请高校教授、援疆专家或者纪检监察系统业务能手等对新担任监察官、乡镇纪检监察干部、派驻（派出）机构纪检监察干部、纪检监察业务骨干进行业务培训。通过参加各项业务培训学习，提升喀什地区纪检监察干部的业务能力和综合素质，从而提高履职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224B02">
            <w:pPr>
              <w:jc w:val="both"/>
            </w:pPr>
            <w:r>
              <w:rPr>
                <w:rFonts w:ascii="宋体" w:hAnsi="宋体" w:eastAsia="宋体"/>
                <w:sz w:val="16"/>
              </w:rPr>
              <w:t>2024年以来，根据喀什地区纪委监委工作实际，我单位常态化开展了邀请讲学、选派培训班及新师大法学本科培训班3类培训班，产生培训费用185.25万元（</w:t>
            </w:r>
            <w:r>
              <w:rPr>
                <w:rFonts w:hint="eastAsia" w:ascii="宋体" w:hAnsi="宋体"/>
                <w:sz w:val="16"/>
                <w:lang w:eastAsia="zh-CN"/>
              </w:rPr>
              <w:t>每期</w:t>
            </w:r>
            <w:r>
              <w:rPr>
                <w:rFonts w:ascii="宋体" w:hAnsi="宋体" w:eastAsia="宋体"/>
                <w:sz w:val="16"/>
              </w:rPr>
              <w:t>培训班平均值出61.75万元）。在培训期间，培训人员能够严格按照培训计划按时参加培训，出勤率达到100%，课堂上认真听讲，积极参与老师的互动，培训结束，所有人员均培训合格，并取得培训结业证书，做到了学有所得，学有所获。通过培训项目的实施，有效提高喀什地区纪检监察干部的业务能力和综合素质，进一步提升了业务水平及工作能力。</w:t>
            </w:r>
          </w:p>
        </w:tc>
      </w:tr>
      <w:tr w14:paraId="54CA5F0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86714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9333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34EE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DF65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2C1A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50A9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AFEB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9BE6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7044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A872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438A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EDCE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7D6F7">
            <w:pPr>
              <w:jc w:val="center"/>
            </w:pPr>
            <w:r>
              <w:rPr>
                <w:rFonts w:ascii="宋体" w:hAnsi="宋体" w:eastAsia="宋体"/>
                <w:sz w:val="16"/>
              </w:rPr>
              <w:t>偏差原因分析及改进措施</w:t>
            </w:r>
          </w:p>
        </w:tc>
      </w:tr>
      <w:tr w14:paraId="3FC50C4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A6FA3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F75DC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E118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3FA24">
            <w:pPr>
              <w:jc w:val="center"/>
            </w:pPr>
            <w:r>
              <w:rPr>
                <w:rFonts w:ascii="宋体" w:hAnsi="宋体" w:eastAsia="宋体"/>
                <w:sz w:val="16"/>
              </w:rPr>
              <w:t>开展培训班种类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24CBB">
            <w:pPr>
              <w:jc w:val="center"/>
            </w:pPr>
            <w:r>
              <w:rPr>
                <w:rFonts w:ascii="宋体" w:hAnsi="宋体" w:eastAsia="宋体"/>
                <w:sz w:val="16"/>
              </w:rPr>
              <w:t>&gt;=4种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F67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64D7B">
            <w:pPr>
              <w:jc w:val="center"/>
            </w:pPr>
            <w:r>
              <w:rPr>
                <w:rFonts w:ascii="宋体" w:hAnsi="宋体" w:eastAsia="宋体"/>
                <w:sz w:val="16"/>
              </w:rPr>
              <w:t>=4种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69E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D1A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119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6F240">
            <w:pPr>
              <w:jc w:val="center"/>
            </w:pPr>
            <w:r>
              <w:rPr>
                <w:rFonts w:ascii="宋体" w:hAnsi="宋体" w:eastAsia="宋体"/>
                <w:sz w:val="16"/>
              </w:rPr>
              <w:t>=3种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80611">
            <w:pPr>
              <w:jc w:val="center"/>
            </w:pPr>
            <w:r>
              <w:rPr>
                <w:rFonts w:ascii="宋体" w:hAnsi="宋体" w:eastAsia="宋体"/>
                <w:sz w:val="16"/>
              </w:rPr>
              <w:t>3.75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348BB">
            <w:pPr>
              <w:jc w:val="center"/>
            </w:pPr>
            <w:r>
              <w:rPr>
                <w:rFonts w:ascii="宋体" w:hAnsi="宋体" w:eastAsia="宋体"/>
                <w:sz w:val="16"/>
              </w:rPr>
              <w:t>偏差原因：因本年度纪检监察系统大力开展整治群众身边不正之风和腐败问题工作，我单位开展的培训种类为3项，年初计划的送教下基层培训事项本年度未来得及开展。采取的措施：下年度按照培训计划，及时开展各项培训工作。</w:t>
            </w:r>
          </w:p>
        </w:tc>
      </w:tr>
      <w:tr w14:paraId="4E84DE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E7F8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87971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E89B5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561E9">
            <w:pPr>
              <w:jc w:val="center"/>
            </w:pPr>
            <w:r>
              <w:rPr>
                <w:rFonts w:ascii="宋体" w:hAnsi="宋体" w:eastAsia="宋体"/>
                <w:sz w:val="16"/>
              </w:rPr>
              <w:t>培训出勤率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4C2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66B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892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CCC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897B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4AAF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367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0F88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E397E">
            <w:pPr>
              <w:jc w:val="center"/>
            </w:pPr>
          </w:p>
        </w:tc>
      </w:tr>
      <w:tr w14:paraId="3F33C6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25ED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1A3A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F413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9FDD1">
            <w:pPr>
              <w:jc w:val="center"/>
            </w:pPr>
            <w:r>
              <w:rPr>
                <w:rFonts w:ascii="宋体" w:hAnsi="宋体" w:eastAsia="宋体"/>
                <w:sz w:val="16"/>
              </w:rPr>
              <w:t>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77E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236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EE2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4D9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D20B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0812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F3B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4453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569C3">
            <w:pPr>
              <w:jc w:val="center"/>
            </w:pPr>
          </w:p>
        </w:tc>
      </w:tr>
      <w:tr w14:paraId="3B7007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50D9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DF44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A82C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4FB9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170DB">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2AB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B4FD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FC4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748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D2D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29AE1">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1D4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27570B">
            <w:pPr>
              <w:jc w:val="center"/>
            </w:pPr>
          </w:p>
        </w:tc>
      </w:tr>
      <w:tr w14:paraId="1C1E9C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D003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C3BD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B031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3A398">
            <w:pPr>
              <w:jc w:val="center"/>
            </w:pPr>
            <w:r>
              <w:rPr>
                <w:rFonts w:ascii="宋体" w:hAnsi="宋体" w:eastAsia="宋体"/>
                <w:sz w:val="16"/>
              </w:rPr>
              <w:t>每种培训班平均支出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8FCE1">
            <w:pPr>
              <w:jc w:val="center"/>
            </w:pPr>
            <w:r>
              <w:rPr>
                <w:rFonts w:ascii="宋体" w:hAnsi="宋体" w:eastAsia="宋体"/>
                <w:sz w:val="16"/>
              </w:rPr>
              <w:t>&lt;=54.2万元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3D2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DCF26">
            <w:pPr>
              <w:jc w:val="center"/>
            </w:pPr>
            <w:r>
              <w:rPr>
                <w:rFonts w:ascii="宋体" w:hAnsi="宋体" w:eastAsia="宋体"/>
                <w:sz w:val="16"/>
              </w:rPr>
              <w:t>=71.66万元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4579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5B1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F493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2D847">
            <w:pPr>
              <w:jc w:val="center"/>
            </w:pPr>
            <w:r>
              <w:rPr>
                <w:rFonts w:ascii="宋体" w:hAnsi="宋体" w:eastAsia="宋体"/>
                <w:sz w:val="16"/>
              </w:rPr>
              <w:t>=61.75万元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D6CD9">
            <w:pPr>
              <w:jc w:val="center"/>
            </w:pPr>
            <w:r>
              <w:rPr>
                <w:rFonts w:ascii="宋体" w:hAnsi="宋体" w:eastAsia="宋体"/>
                <w:sz w:val="16"/>
              </w:rPr>
              <w:t>17.21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7CD17">
            <w:pPr>
              <w:jc w:val="center"/>
            </w:pPr>
            <w:r>
              <w:rPr>
                <w:rFonts w:ascii="宋体" w:hAnsi="宋体" w:eastAsia="宋体"/>
                <w:sz w:val="16"/>
              </w:rPr>
              <w:t>偏差原因：根据培训实际，本年度开展的3</w:t>
            </w:r>
            <w:r>
              <w:rPr>
                <w:rFonts w:hint="eastAsia" w:ascii="宋体" w:hAnsi="宋体"/>
                <w:sz w:val="16"/>
                <w:lang w:eastAsia="zh-CN"/>
              </w:rPr>
              <w:t>期</w:t>
            </w:r>
            <w:r>
              <w:rPr>
                <w:rFonts w:ascii="宋体" w:hAnsi="宋体" w:eastAsia="宋体"/>
                <w:sz w:val="16"/>
              </w:rPr>
              <w:t>培训班实际每种平均支出为61.75万元。采取的措施：下年度根据培训任务合理设定绩效目标。</w:t>
            </w:r>
          </w:p>
        </w:tc>
      </w:tr>
      <w:tr w14:paraId="40E5AA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10C6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FED9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C616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24B9A">
            <w:pPr>
              <w:jc w:val="center"/>
            </w:pPr>
            <w:r>
              <w:rPr>
                <w:rFonts w:ascii="宋体" w:hAnsi="宋体" w:eastAsia="宋体"/>
                <w:sz w:val="16"/>
              </w:rPr>
              <w:t>培训人员纪检监察履职效能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9509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00C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B10B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72E9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9920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F1D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84B0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709A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FA006">
            <w:pPr>
              <w:jc w:val="center"/>
            </w:pPr>
          </w:p>
        </w:tc>
      </w:tr>
      <w:tr w14:paraId="545051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39C6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020D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57E6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4870C">
            <w:pPr>
              <w:jc w:val="center"/>
            </w:pPr>
            <w:r>
              <w:rPr>
                <w:rFonts w:ascii="宋体" w:hAnsi="宋体" w:eastAsia="宋体"/>
                <w:sz w:val="16"/>
              </w:rPr>
              <w:t>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AF6B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262D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FB24E">
            <w:pPr>
              <w:jc w:val="center"/>
            </w:pPr>
            <w:r>
              <w:rPr>
                <w:rFonts w:ascii="宋体" w:hAnsi="宋体" w:eastAsia="宋体"/>
                <w:sz w:val="16"/>
              </w:rPr>
              <w:t>94.86%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425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A17B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952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AFAED">
            <w:pPr>
              <w:jc w:val="center"/>
            </w:pPr>
            <w:r>
              <w:rPr>
                <w:rFonts w:ascii="宋体" w:hAnsi="宋体" w:eastAsia="宋体"/>
                <w:sz w:val="16"/>
              </w:rPr>
              <w:t>=95.85%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CFB5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0758E">
            <w:pPr>
              <w:jc w:val="center"/>
            </w:pPr>
            <w:r>
              <w:rPr>
                <w:rFonts w:ascii="宋体" w:hAnsi="宋体" w:eastAsia="宋体"/>
                <w:sz w:val="16"/>
              </w:rPr>
              <w:t>偏差原因：培训人员满意度为97.07%，满意度较好，出现正偏差。</w:t>
            </w:r>
          </w:p>
        </w:tc>
      </w:tr>
      <w:tr w14:paraId="649C61C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D06EB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D353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B8650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20C68">
            <w:pPr>
              <w:jc w:val="center"/>
            </w:pPr>
            <w:r>
              <w:rPr>
                <w:rFonts w:ascii="宋体" w:hAnsi="宋体" w:eastAsia="宋体"/>
                <w:sz w:val="16"/>
              </w:rPr>
              <w:t>87.32分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C396E2C"/>
        </w:tc>
      </w:tr>
    </w:tbl>
    <w:p w14:paraId="4A68986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7678FF53">
        <w:tblPrEx>
          <w:tblCellMar>
            <w:top w:w="0" w:type="dxa"/>
            <w:left w:w="108" w:type="dxa"/>
            <w:bottom w:w="0" w:type="dxa"/>
            <w:right w:w="108" w:type="dxa"/>
          </w:tblCellMar>
        </w:tblPrEx>
        <w:tc>
          <w:tcPr>
            <w:tcW w:w="8848" w:type="dxa"/>
            <w:gridSpan w:val="14"/>
            <w:vAlign w:val="center"/>
          </w:tcPr>
          <w:p w14:paraId="5E396CE6">
            <w:pPr>
              <w:jc w:val="center"/>
            </w:pPr>
            <w:r>
              <w:rPr>
                <w:rFonts w:ascii="宋体" w:hAnsi="宋体" w:eastAsia="宋体"/>
                <w:sz w:val="24"/>
              </w:rPr>
              <w:t>项目支出绩效自评表</w:t>
            </w:r>
          </w:p>
        </w:tc>
      </w:tr>
      <w:tr w14:paraId="5CE30057">
        <w:tblPrEx>
          <w:tblCellMar>
            <w:top w:w="0" w:type="dxa"/>
            <w:left w:w="108" w:type="dxa"/>
            <w:bottom w:w="0" w:type="dxa"/>
            <w:right w:w="108" w:type="dxa"/>
          </w:tblCellMar>
        </w:tblPrEx>
        <w:tc>
          <w:tcPr>
            <w:tcW w:w="8848" w:type="dxa"/>
            <w:gridSpan w:val="14"/>
            <w:vAlign w:val="center"/>
          </w:tcPr>
          <w:p w14:paraId="12035086">
            <w:pPr>
              <w:jc w:val="center"/>
            </w:pPr>
            <w:r>
              <w:rPr>
                <w:rFonts w:ascii="宋体" w:hAnsi="宋体" w:eastAsia="宋体"/>
                <w:sz w:val="24"/>
              </w:rPr>
              <w:t>(2024年度)</w:t>
            </w:r>
          </w:p>
        </w:tc>
      </w:tr>
      <w:tr w14:paraId="79DFA96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A4B4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02850FE">
            <w:pPr>
              <w:jc w:val="center"/>
            </w:pPr>
            <w:r>
              <w:rPr>
                <w:rFonts w:ascii="宋体" w:hAnsi="宋体" w:eastAsia="宋体"/>
                <w:sz w:val="16"/>
              </w:rPr>
              <w:t>党风廉政建设项目</w:t>
            </w:r>
          </w:p>
        </w:tc>
      </w:tr>
      <w:tr w14:paraId="6701649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E511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536C64">
            <w:pPr>
              <w:jc w:val="center"/>
            </w:pPr>
            <w:r>
              <w:rPr>
                <w:rFonts w:ascii="宋体" w:hAnsi="宋体" w:eastAsia="宋体"/>
                <w:sz w:val="16"/>
              </w:rPr>
              <w:t>中共喀什地区纪律检查委员会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5823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4C5C327">
            <w:pPr>
              <w:jc w:val="center"/>
            </w:pPr>
            <w:r>
              <w:rPr>
                <w:rFonts w:ascii="宋体" w:hAnsi="宋体" w:eastAsia="宋体"/>
                <w:sz w:val="16"/>
              </w:rPr>
              <w:t>中共喀什地区纪律检查委员会</w:t>
            </w:r>
          </w:p>
        </w:tc>
      </w:tr>
      <w:tr w14:paraId="55D431E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C80CA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C62D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39AC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7077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CAB2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D536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4A86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E8B40">
            <w:pPr>
              <w:jc w:val="center"/>
            </w:pPr>
            <w:r>
              <w:rPr>
                <w:rFonts w:ascii="宋体" w:hAnsi="宋体" w:eastAsia="宋体"/>
                <w:sz w:val="16"/>
              </w:rPr>
              <w:t>得分</w:t>
            </w:r>
          </w:p>
        </w:tc>
      </w:tr>
      <w:tr w14:paraId="451953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F1CD1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7A5E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C16683">
            <w:pPr>
              <w:jc w:val="center"/>
            </w:pPr>
            <w:r>
              <w:rPr>
                <w:rFonts w:ascii="宋体" w:hAnsi="宋体" w:eastAsia="宋体"/>
                <w:sz w:val="16"/>
              </w:rPr>
              <w:t>25.62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52C9B">
            <w:pPr>
              <w:jc w:val="center"/>
            </w:pPr>
            <w:r>
              <w:rPr>
                <w:rFonts w:ascii="宋体" w:hAnsi="宋体" w:eastAsia="宋体"/>
                <w:sz w:val="16"/>
              </w:rPr>
              <w:t>25.62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7A02F">
            <w:pPr>
              <w:jc w:val="center"/>
            </w:pPr>
            <w:r>
              <w:rPr>
                <w:rFonts w:ascii="宋体" w:hAnsi="宋体" w:eastAsia="宋体"/>
                <w:sz w:val="16"/>
              </w:rPr>
              <w:t>21.84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08CA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C6A8C">
            <w:pPr>
              <w:jc w:val="center"/>
            </w:pPr>
            <w:r>
              <w:rPr>
                <w:rFonts w:ascii="宋体" w:hAnsi="宋体" w:eastAsia="宋体"/>
                <w:sz w:val="16"/>
              </w:rPr>
              <w:t>85.2%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F2877">
            <w:pPr>
              <w:jc w:val="center"/>
            </w:pPr>
            <w:r>
              <w:rPr>
                <w:rFonts w:ascii="宋体" w:hAnsi="宋体" w:eastAsia="宋体"/>
                <w:sz w:val="16"/>
              </w:rPr>
              <w:t>6.31分</w:t>
            </w:r>
          </w:p>
        </w:tc>
      </w:tr>
      <w:tr w14:paraId="65196A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EEE9C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E33B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BEC35">
            <w:pPr>
              <w:jc w:val="center"/>
            </w:pPr>
            <w:r>
              <w:rPr>
                <w:rFonts w:ascii="宋体" w:hAnsi="宋体" w:eastAsia="宋体"/>
                <w:sz w:val="16"/>
              </w:rPr>
              <w:t>25.62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03BA7">
            <w:pPr>
              <w:jc w:val="center"/>
            </w:pPr>
            <w:r>
              <w:rPr>
                <w:rFonts w:ascii="宋体" w:hAnsi="宋体" w:eastAsia="宋体"/>
                <w:sz w:val="16"/>
              </w:rPr>
              <w:t>25.62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BD48E">
            <w:pPr>
              <w:jc w:val="center"/>
            </w:pPr>
            <w:r>
              <w:rPr>
                <w:rFonts w:ascii="宋体" w:hAnsi="宋体" w:eastAsia="宋体"/>
                <w:sz w:val="16"/>
              </w:rPr>
              <w:t>21.84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101A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0F0A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AF160">
            <w:pPr>
              <w:jc w:val="center"/>
            </w:pPr>
            <w:r>
              <w:rPr>
                <w:rFonts w:ascii="宋体" w:hAnsi="宋体" w:eastAsia="宋体"/>
                <w:sz w:val="16"/>
              </w:rPr>
              <w:t>—</w:t>
            </w:r>
          </w:p>
        </w:tc>
      </w:tr>
      <w:tr w14:paraId="148DEF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648DD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7866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66D2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699B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CE8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7551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8026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7B8DA">
            <w:pPr>
              <w:jc w:val="center"/>
            </w:pPr>
            <w:r>
              <w:rPr>
                <w:rFonts w:ascii="宋体" w:hAnsi="宋体" w:eastAsia="宋体"/>
                <w:sz w:val="16"/>
              </w:rPr>
              <w:t>—</w:t>
            </w:r>
          </w:p>
        </w:tc>
      </w:tr>
      <w:tr w14:paraId="36A6AFD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15547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DA4C3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0A6751">
            <w:pPr>
              <w:jc w:val="center"/>
            </w:pPr>
            <w:r>
              <w:rPr>
                <w:rFonts w:ascii="宋体" w:hAnsi="宋体" w:eastAsia="宋体"/>
                <w:sz w:val="16"/>
              </w:rPr>
              <w:t>实际完成情况</w:t>
            </w:r>
          </w:p>
        </w:tc>
      </w:tr>
      <w:tr w14:paraId="7D0178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BBDC4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AFBB49">
            <w:pPr>
              <w:jc w:val="both"/>
            </w:pPr>
            <w:r>
              <w:rPr>
                <w:rFonts w:ascii="宋体" w:hAnsi="宋体" w:eastAsia="宋体"/>
                <w:sz w:val="16"/>
              </w:rPr>
              <w:t>根据地区纪委监委部门职能，为了坚持纠树并举，持续有力纠治“四风”顽疾，健全作风建设常态长效机制。2024年，我单位预计</w:t>
            </w:r>
            <w:r>
              <w:rPr>
                <w:rFonts w:hint="eastAsia" w:ascii="宋体" w:hAnsi="宋体"/>
                <w:sz w:val="16"/>
                <w:lang w:eastAsia="zh-CN"/>
              </w:rPr>
              <w:t>深入</w:t>
            </w:r>
            <w:r>
              <w:rPr>
                <w:rFonts w:ascii="宋体" w:hAnsi="宋体" w:eastAsia="宋体"/>
                <w:sz w:val="16"/>
              </w:rPr>
              <w:t>开展乡村振兴领域监督检查、民生领域专项整治监督检查、</w:t>
            </w:r>
            <w:r>
              <w:rPr>
                <w:rFonts w:hint="eastAsia" w:ascii="宋体" w:hAnsi="宋体"/>
                <w:sz w:val="16"/>
                <w:lang w:val="en-US" w:eastAsia="zh-CN"/>
              </w:rPr>
              <w:t>中央</w:t>
            </w:r>
            <w:r>
              <w:rPr>
                <w:rFonts w:ascii="宋体" w:hAnsi="宋体" w:eastAsia="宋体"/>
                <w:sz w:val="16"/>
              </w:rPr>
              <w:t>八项规定明察暗访专项监督检查、党风政风等4类专项检查，从而促进各项工作的落实。</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1A9761">
            <w:pPr>
              <w:jc w:val="both"/>
            </w:pPr>
            <w:r>
              <w:rPr>
                <w:rFonts w:ascii="宋体" w:hAnsi="宋体" w:eastAsia="宋体"/>
                <w:sz w:val="16"/>
              </w:rPr>
              <w:t>2024年，按照单位年初项目实施方案及工作开展实际情况，我单位在喀什地区全地区开展了</w:t>
            </w:r>
            <w:r>
              <w:rPr>
                <w:rFonts w:hint="eastAsia" w:ascii="宋体" w:hAnsi="宋体"/>
                <w:sz w:val="16"/>
                <w:lang w:eastAsia="zh-CN"/>
              </w:rPr>
              <w:t>群众身边不正之风和腐败问题集中整治</w:t>
            </w:r>
            <w:r>
              <w:rPr>
                <w:rFonts w:ascii="宋体" w:hAnsi="宋体" w:eastAsia="宋体"/>
                <w:sz w:val="16"/>
              </w:rPr>
              <w:t>（乡村振兴领域监督、民生领域专项整治、党风政风专项检查）、中央八项规定监督检查等一系列监督检查工作，年度任务按照序时计划按时完成，发现问题要求立即处置，处置率达到100%，通过各项监督检查工作的开展，有效保障中央、自治区、地区各项工作的落实，整治</w:t>
            </w:r>
            <w:r>
              <w:rPr>
                <w:rFonts w:hint="eastAsia" w:ascii="宋体" w:hAnsi="宋体"/>
                <w:sz w:val="16"/>
                <w:lang w:eastAsia="zh-CN"/>
              </w:rPr>
              <w:t>“四风”</w:t>
            </w:r>
            <w:r>
              <w:rPr>
                <w:rFonts w:ascii="宋体" w:hAnsi="宋体" w:eastAsia="宋体"/>
                <w:sz w:val="16"/>
              </w:rPr>
              <w:t>，为喀什地区党风廉政建设提供保障。</w:t>
            </w:r>
          </w:p>
        </w:tc>
      </w:tr>
      <w:tr w14:paraId="26D8658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CCC7D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7C10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8322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B0AC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0B03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4568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2F02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0EBF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A7D0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B723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E1E6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401F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E1FEA">
            <w:pPr>
              <w:jc w:val="center"/>
            </w:pPr>
            <w:r>
              <w:rPr>
                <w:rFonts w:ascii="宋体" w:hAnsi="宋体" w:eastAsia="宋体"/>
                <w:sz w:val="16"/>
              </w:rPr>
              <w:t>偏差原因分析及改进措施</w:t>
            </w:r>
          </w:p>
        </w:tc>
      </w:tr>
      <w:tr w14:paraId="27E8B72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A3556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63A0F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7FAD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228E0">
            <w:pPr>
              <w:jc w:val="center"/>
            </w:pPr>
            <w:r>
              <w:rPr>
                <w:rFonts w:ascii="宋体" w:hAnsi="宋体" w:eastAsia="宋体"/>
                <w:sz w:val="16"/>
              </w:rPr>
              <w:t>开展监督检查类别</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0AD84">
            <w:pPr>
              <w:jc w:val="center"/>
            </w:pPr>
            <w:r>
              <w:rPr>
                <w:rFonts w:ascii="宋体" w:hAnsi="宋体" w:eastAsia="宋体"/>
                <w:sz w:val="16"/>
              </w:rPr>
              <w:t>&gt;=4类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A07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BFCF3">
            <w:pPr>
              <w:jc w:val="center"/>
            </w:pPr>
            <w:r>
              <w:rPr>
                <w:rFonts w:ascii="宋体" w:hAnsi="宋体" w:eastAsia="宋体"/>
                <w:sz w:val="16"/>
              </w:rPr>
              <w:t>=6项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9C1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CD1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8D6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C3FAF">
            <w:pPr>
              <w:jc w:val="center"/>
            </w:pPr>
            <w:r>
              <w:rPr>
                <w:rFonts w:ascii="宋体" w:hAnsi="宋体" w:eastAsia="宋体"/>
                <w:sz w:val="16"/>
              </w:rPr>
              <w:t>=4类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649F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D21F0">
            <w:pPr>
              <w:jc w:val="center"/>
            </w:pPr>
          </w:p>
        </w:tc>
      </w:tr>
      <w:tr w14:paraId="123A82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6A5D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3FC24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7EB01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87B04">
            <w:pPr>
              <w:jc w:val="center"/>
            </w:pPr>
            <w:r>
              <w:rPr>
                <w:rFonts w:ascii="宋体" w:hAnsi="宋体" w:eastAsia="宋体"/>
                <w:sz w:val="16"/>
              </w:rPr>
              <w:t>监督检查覆盖率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0CD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365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133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9CF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A879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850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2A2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E297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51552">
            <w:pPr>
              <w:jc w:val="center"/>
            </w:pPr>
          </w:p>
        </w:tc>
      </w:tr>
      <w:tr w14:paraId="4D6001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A72E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CFC1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66B7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8AC7A">
            <w:pPr>
              <w:jc w:val="center"/>
            </w:pPr>
            <w:r>
              <w:rPr>
                <w:rFonts w:ascii="宋体" w:hAnsi="宋体" w:eastAsia="宋体"/>
                <w:sz w:val="16"/>
              </w:rPr>
              <w:t>问题线索处置率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88C1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A3F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3B4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551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677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4F8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00E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0FFEE">
            <w:pPr>
              <w:jc w:val="center"/>
            </w:pPr>
            <w:r>
              <w:rPr>
                <w:rFonts w:ascii="宋体" w:hAnsi="宋体" w:eastAsia="宋体"/>
                <w:sz w:val="16"/>
              </w:rPr>
              <w:t>9.47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7B421C">
            <w:pPr>
              <w:jc w:val="center"/>
            </w:pPr>
            <w:r>
              <w:rPr>
                <w:rFonts w:ascii="宋体" w:hAnsi="宋体" w:eastAsia="宋体"/>
                <w:sz w:val="16"/>
              </w:rPr>
              <w:t>偏差原因：根据工作实际情况，监督检查发现问题及时解决，问题线索处置率为100%。</w:t>
            </w:r>
          </w:p>
        </w:tc>
      </w:tr>
      <w:tr w14:paraId="660B62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E670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9639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0B58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CC9A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91FC4">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651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309D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139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D58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ECB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D92D2">
            <w:pPr>
              <w:jc w:val="center"/>
            </w:pPr>
            <w:r>
              <w:rPr>
                <w:rFonts w:ascii="宋体" w:hAnsi="宋体" w:eastAsia="宋体"/>
                <w:sz w:val="16"/>
              </w:rPr>
              <w:t>2024年12月18日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9BF6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69158">
            <w:pPr>
              <w:jc w:val="center"/>
            </w:pPr>
          </w:p>
        </w:tc>
      </w:tr>
      <w:tr w14:paraId="6C2C01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94F8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9C27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8288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74E79">
            <w:pPr>
              <w:jc w:val="center"/>
            </w:pPr>
            <w:r>
              <w:rPr>
                <w:rFonts w:ascii="宋体" w:hAnsi="宋体" w:eastAsia="宋体"/>
                <w:sz w:val="16"/>
              </w:rPr>
              <w:t>平均每类监督检查年度费用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B1F84">
            <w:pPr>
              <w:jc w:val="center"/>
            </w:pPr>
            <w:r>
              <w:rPr>
                <w:rFonts w:ascii="宋体" w:hAnsi="宋体" w:eastAsia="宋体"/>
                <w:sz w:val="16"/>
              </w:rPr>
              <w:t>&lt;=6.41万元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812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1AC48">
            <w:pPr>
              <w:jc w:val="center"/>
            </w:pPr>
            <w:r>
              <w:rPr>
                <w:rFonts w:ascii="宋体" w:hAnsi="宋体" w:eastAsia="宋体"/>
                <w:sz w:val="16"/>
              </w:rPr>
              <w:t>=8.99万元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D006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0AA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DC0D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6E423">
            <w:pPr>
              <w:jc w:val="center"/>
            </w:pPr>
            <w:r>
              <w:rPr>
                <w:rFonts w:ascii="宋体" w:hAnsi="宋体" w:eastAsia="宋体"/>
                <w:sz w:val="16"/>
              </w:rPr>
              <w:t>=5.46万元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4FB2B">
            <w:pPr>
              <w:jc w:val="center"/>
            </w:pPr>
            <w:r>
              <w:rPr>
                <w:rFonts w:ascii="宋体" w:hAnsi="宋体" w:eastAsia="宋体"/>
                <w:sz w:val="16"/>
              </w:rPr>
              <w:t>12.59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59F7E">
            <w:pPr>
              <w:jc w:val="center"/>
            </w:pPr>
            <w:r>
              <w:rPr>
                <w:rFonts w:ascii="宋体" w:hAnsi="宋体" w:eastAsia="宋体"/>
                <w:sz w:val="16"/>
              </w:rPr>
              <w:t>偏差原因：根据工作实际情况，本年度集中开展整治</w:t>
            </w:r>
            <w:r>
              <w:rPr>
                <w:rFonts w:hint="eastAsia" w:ascii="宋体" w:hAnsi="宋体"/>
                <w:sz w:val="16"/>
                <w:lang w:eastAsia="zh-CN"/>
              </w:rPr>
              <w:t>群众身边不正之风和腐败问题集中整治</w:t>
            </w:r>
            <w:r>
              <w:rPr>
                <w:rFonts w:ascii="宋体" w:hAnsi="宋体" w:eastAsia="宋体"/>
                <w:sz w:val="16"/>
              </w:rPr>
              <w:t>工作，将年初计划分组开展的乡村振兴领域监督、民生领域专项整治、党风政风专项检查统一纳入集中整治。导致监督检查人员及时间减少，因而费用减少，采取的措施：下年度根据工作任务合理设定绩效指标。</w:t>
            </w:r>
          </w:p>
        </w:tc>
      </w:tr>
      <w:tr w14:paraId="164C23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BE7A6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F6564F">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1C1B6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E8252">
            <w:pPr>
              <w:jc w:val="center"/>
            </w:pPr>
            <w:r>
              <w:rPr>
                <w:rFonts w:ascii="宋体" w:hAnsi="宋体" w:eastAsia="宋体"/>
                <w:sz w:val="16"/>
              </w:rPr>
              <w:t>提高喀什地区党风廉政建设情况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BE8E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F2A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4A59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5265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C94A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B95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D402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06272">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95BEE">
            <w:pPr>
              <w:jc w:val="center"/>
            </w:pPr>
          </w:p>
        </w:tc>
      </w:tr>
      <w:tr w14:paraId="74B782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F2F6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CD35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AEC5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0BEB6">
            <w:pPr>
              <w:jc w:val="center"/>
            </w:pPr>
            <w:r>
              <w:rPr>
                <w:rFonts w:ascii="宋体" w:hAnsi="宋体" w:eastAsia="宋体"/>
                <w:sz w:val="16"/>
              </w:rPr>
              <w:t>问题整改落实率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F543D">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8C4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1009B">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2904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55D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98A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2F7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998F6">
            <w:pPr>
              <w:jc w:val="center"/>
            </w:pPr>
            <w:r>
              <w:rPr>
                <w:rFonts w:ascii="宋体" w:hAnsi="宋体" w:eastAsia="宋体"/>
                <w:sz w:val="16"/>
              </w:rPr>
              <w:t>11.25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762F9">
            <w:pPr>
              <w:jc w:val="center"/>
            </w:pPr>
            <w:r>
              <w:rPr>
                <w:rFonts w:ascii="宋体" w:hAnsi="宋体" w:eastAsia="宋体"/>
                <w:sz w:val="16"/>
              </w:rPr>
              <w:t>偏差原因：根据2024年工作实际情况，发现问题及时整改，本年度整改率为100%。采取的措施：下年度合理设定绩效指标。</w:t>
            </w:r>
          </w:p>
        </w:tc>
      </w:tr>
      <w:tr w14:paraId="08E3F85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590D5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FCC8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E5567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995A0">
            <w:pPr>
              <w:jc w:val="center"/>
            </w:pPr>
            <w:r>
              <w:rPr>
                <w:rFonts w:ascii="宋体" w:hAnsi="宋体" w:eastAsia="宋体"/>
                <w:sz w:val="16"/>
              </w:rPr>
              <w:t>84.62分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D82BC08"/>
        </w:tc>
      </w:tr>
    </w:tbl>
    <w:p w14:paraId="15CE9A7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14:paraId="7837C782">
        <w:tblPrEx>
          <w:tblCellMar>
            <w:top w:w="0" w:type="dxa"/>
            <w:left w:w="108" w:type="dxa"/>
            <w:bottom w:w="0" w:type="dxa"/>
            <w:right w:w="108" w:type="dxa"/>
          </w:tblCellMar>
        </w:tblPrEx>
        <w:tc>
          <w:tcPr>
            <w:tcW w:w="8848" w:type="dxa"/>
            <w:gridSpan w:val="14"/>
            <w:vAlign w:val="center"/>
          </w:tcPr>
          <w:p w14:paraId="10474977">
            <w:pPr>
              <w:jc w:val="center"/>
            </w:pPr>
            <w:r>
              <w:rPr>
                <w:rFonts w:ascii="宋体" w:hAnsi="宋体" w:eastAsia="宋体"/>
                <w:sz w:val="24"/>
              </w:rPr>
              <w:t>项目支出绩效自评表</w:t>
            </w:r>
          </w:p>
        </w:tc>
      </w:tr>
      <w:tr w14:paraId="2E77ECAF">
        <w:tblPrEx>
          <w:tblCellMar>
            <w:top w:w="0" w:type="dxa"/>
            <w:left w:w="108" w:type="dxa"/>
            <w:bottom w:w="0" w:type="dxa"/>
            <w:right w:w="108" w:type="dxa"/>
          </w:tblCellMar>
        </w:tblPrEx>
        <w:tc>
          <w:tcPr>
            <w:tcW w:w="8848" w:type="dxa"/>
            <w:gridSpan w:val="14"/>
            <w:vAlign w:val="center"/>
          </w:tcPr>
          <w:p w14:paraId="747980D0">
            <w:pPr>
              <w:jc w:val="center"/>
            </w:pPr>
            <w:r>
              <w:rPr>
                <w:rFonts w:ascii="宋体" w:hAnsi="宋体" w:eastAsia="宋体"/>
                <w:sz w:val="24"/>
              </w:rPr>
              <w:t>(2024年度)</w:t>
            </w:r>
          </w:p>
        </w:tc>
      </w:tr>
      <w:tr w14:paraId="359D988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D267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E693FD3">
            <w:pPr>
              <w:jc w:val="center"/>
            </w:pPr>
            <w:r>
              <w:rPr>
                <w:rFonts w:ascii="宋体" w:hAnsi="宋体" w:eastAsia="宋体"/>
                <w:sz w:val="16"/>
              </w:rPr>
              <w:t>地区警示教育暨廉洁文化馆运行维护项目</w:t>
            </w:r>
          </w:p>
        </w:tc>
      </w:tr>
      <w:tr w14:paraId="20869E8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6D69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3F499C">
            <w:pPr>
              <w:jc w:val="center"/>
            </w:pPr>
            <w:r>
              <w:rPr>
                <w:rFonts w:ascii="宋体" w:hAnsi="宋体" w:eastAsia="宋体"/>
                <w:sz w:val="16"/>
              </w:rPr>
              <w:t>中共喀什地区纪律检查委员会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54E5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FD9B94">
            <w:pPr>
              <w:jc w:val="center"/>
            </w:pPr>
            <w:r>
              <w:rPr>
                <w:rFonts w:ascii="宋体" w:hAnsi="宋体" w:eastAsia="宋体"/>
                <w:sz w:val="16"/>
              </w:rPr>
              <w:t>中共喀什地区纪律检查委员会</w:t>
            </w:r>
          </w:p>
        </w:tc>
      </w:tr>
      <w:tr w14:paraId="32CA130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18936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3C80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3768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359A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C6A1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62FC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051E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6E1A1">
            <w:pPr>
              <w:jc w:val="center"/>
            </w:pPr>
            <w:r>
              <w:rPr>
                <w:rFonts w:ascii="宋体" w:hAnsi="宋体" w:eastAsia="宋体"/>
                <w:sz w:val="16"/>
              </w:rPr>
              <w:t>得分</w:t>
            </w:r>
          </w:p>
        </w:tc>
      </w:tr>
      <w:tr w14:paraId="64D385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1A6F6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EBC2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6B390">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81F39">
            <w:pPr>
              <w:jc w:val="center"/>
            </w:pPr>
            <w:r>
              <w:rPr>
                <w:rFonts w:ascii="宋体" w:hAnsi="宋体" w:eastAsia="宋体"/>
                <w:sz w:val="16"/>
              </w:rPr>
              <w:t>6.26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F10D1">
            <w:pPr>
              <w:jc w:val="center"/>
            </w:pPr>
            <w:r>
              <w:rPr>
                <w:rFonts w:ascii="宋体" w:hAnsi="宋体" w:eastAsia="宋体"/>
                <w:sz w:val="16"/>
              </w:rPr>
              <w:t>5.66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2C38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D2295">
            <w:pPr>
              <w:jc w:val="center"/>
            </w:pPr>
            <w:r>
              <w:rPr>
                <w:rFonts w:ascii="宋体" w:hAnsi="宋体" w:eastAsia="宋体"/>
                <w:sz w:val="16"/>
              </w:rPr>
              <w:t>90.4%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16C72">
            <w:pPr>
              <w:jc w:val="center"/>
            </w:pPr>
            <w:r>
              <w:rPr>
                <w:rFonts w:ascii="宋体" w:hAnsi="宋体" w:eastAsia="宋体"/>
                <w:sz w:val="16"/>
              </w:rPr>
              <w:t>7.61分</w:t>
            </w:r>
          </w:p>
        </w:tc>
      </w:tr>
      <w:tr w14:paraId="34A4F1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130B8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17986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A9F8E">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30A4E">
            <w:pPr>
              <w:jc w:val="center"/>
            </w:pPr>
            <w:r>
              <w:rPr>
                <w:rFonts w:ascii="宋体" w:hAnsi="宋体" w:eastAsia="宋体"/>
                <w:sz w:val="16"/>
              </w:rPr>
              <w:t>6.26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53D75">
            <w:pPr>
              <w:jc w:val="center"/>
            </w:pPr>
            <w:r>
              <w:rPr>
                <w:rFonts w:ascii="宋体" w:hAnsi="宋体" w:eastAsia="宋体"/>
                <w:sz w:val="16"/>
              </w:rPr>
              <w:t>5.66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AE97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3E7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7C7F8">
            <w:pPr>
              <w:jc w:val="center"/>
            </w:pPr>
            <w:r>
              <w:rPr>
                <w:rFonts w:ascii="宋体" w:hAnsi="宋体" w:eastAsia="宋体"/>
                <w:sz w:val="16"/>
              </w:rPr>
              <w:t>—</w:t>
            </w:r>
          </w:p>
        </w:tc>
      </w:tr>
      <w:tr w14:paraId="7A8B68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AA9EC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3F976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D8998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FF14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F246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6745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D30C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31A1D">
            <w:pPr>
              <w:jc w:val="center"/>
            </w:pPr>
            <w:r>
              <w:rPr>
                <w:rFonts w:ascii="宋体" w:hAnsi="宋体" w:eastAsia="宋体"/>
                <w:sz w:val="16"/>
              </w:rPr>
              <w:t>—</w:t>
            </w:r>
          </w:p>
        </w:tc>
      </w:tr>
      <w:tr w14:paraId="66B527E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6CDD0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9B3DD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FDD97F">
            <w:pPr>
              <w:jc w:val="center"/>
            </w:pPr>
            <w:r>
              <w:rPr>
                <w:rFonts w:ascii="宋体" w:hAnsi="宋体" w:eastAsia="宋体"/>
                <w:sz w:val="16"/>
              </w:rPr>
              <w:t>实际完成情况</w:t>
            </w:r>
          </w:p>
        </w:tc>
      </w:tr>
      <w:tr w14:paraId="1AA5B2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DB5EC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3BEAE2">
            <w:pPr>
              <w:jc w:val="both"/>
            </w:pPr>
            <w:r>
              <w:rPr>
                <w:rFonts w:ascii="宋体" w:hAnsi="宋体" w:eastAsia="宋体"/>
                <w:sz w:val="16"/>
              </w:rPr>
              <w:t>喀什地区警示教育暨廉洁文化馆2023年已经建设完成，并于2024年1月正式开馆并将长期坚持。为保障展馆正常运转，2024年地区纪委监委预计购置办公专用设备5台及相关物品，从而保障展馆正常运转。通过开展警示教育，加强喀什地区全面从严治党和党风廉政建设，有效预防贪污腐败事项的发生，有力整治并巩固喀什地区政治生态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C36455">
            <w:pPr>
              <w:jc w:val="both"/>
            </w:pPr>
            <w:r>
              <w:rPr>
                <w:rFonts w:ascii="宋体" w:hAnsi="宋体" w:eastAsia="宋体"/>
                <w:sz w:val="16"/>
              </w:rPr>
              <w:t>2024年，为了保障警示教育暨廉洁文化馆正常运转，地区纪委监委起草印发了《喀什地区警示教育暨廉洁文化馆管理使用办法（试行）》等制度，常态化做好参观预约、讲解、统计等事宜，并按照需要购置相关办公设备5台及时配备展馆日常用品。通过项目的实施，全年累计参观学习440批次18420人次，实现县市“四套班子”成员和地直单位参观实现全覆盖，切实发挥廉洁教育、警示教育作用。</w:t>
            </w:r>
          </w:p>
        </w:tc>
      </w:tr>
      <w:tr w14:paraId="4E0FF3A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D1F61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768D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9883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42FA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CA39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8F52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7EC9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DEB4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9C54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59AB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8BDD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636C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8E5BD">
            <w:pPr>
              <w:jc w:val="center"/>
            </w:pPr>
            <w:r>
              <w:rPr>
                <w:rFonts w:ascii="宋体" w:hAnsi="宋体" w:eastAsia="宋体"/>
                <w:sz w:val="16"/>
              </w:rPr>
              <w:t>偏差原因分析及改进措施</w:t>
            </w:r>
          </w:p>
        </w:tc>
      </w:tr>
      <w:tr w14:paraId="3C7142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41DC4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D8958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676E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40F59">
            <w:pPr>
              <w:jc w:val="center"/>
            </w:pPr>
            <w:r>
              <w:rPr>
                <w:rFonts w:ascii="宋体" w:hAnsi="宋体" w:eastAsia="宋体"/>
                <w:sz w:val="16"/>
              </w:rPr>
              <w:t>购置办公设备数量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2D0AF">
            <w:pPr>
              <w:jc w:val="center"/>
            </w:pPr>
            <w:r>
              <w:rPr>
                <w:rFonts w:ascii="宋体" w:hAnsi="宋体" w:eastAsia="宋体"/>
                <w:sz w:val="16"/>
              </w:rPr>
              <w:t>&gt;=5台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F1A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6B64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373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DA9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EEB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42572">
            <w:pPr>
              <w:jc w:val="center"/>
            </w:pPr>
            <w:r>
              <w:rPr>
                <w:rFonts w:ascii="宋体" w:hAnsi="宋体" w:eastAsia="宋体"/>
                <w:sz w:val="16"/>
              </w:rPr>
              <w:t>=5台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D4D0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180D5">
            <w:pPr>
              <w:jc w:val="center"/>
            </w:pPr>
          </w:p>
        </w:tc>
      </w:tr>
      <w:tr w14:paraId="7D0590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CE42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1355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AAD7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6E7BD">
            <w:pPr>
              <w:jc w:val="center"/>
            </w:pPr>
            <w:r>
              <w:rPr>
                <w:rFonts w:ascii="宋体" w:hAnsi="宋体" w:eastAsia="宋体"/>
                <w:sz w:val="16"/>
              </w:rPr>
              <w:t>购置物品合格率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1C5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6C9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FDA7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B191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176A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BB18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7E8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91A6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3C1CD9">
            <w:pPr>
              <w:jc w:val="center"/>
            </w:pPr>
          </w:p>
        </w:tc>
      </w:tr>
      <w:tr w14:paraId="301682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90EF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82A4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0E5C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C8AE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FA319">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E75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9934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209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A58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F72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6D0EA">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3353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8AC76">
            <w:pPr>
              <w:jc w:val="center"/>
            </w:pPr>
          </w:p>
        </w:tc>
      </w:tr>
      <w:tr w14:paraId="2FDE39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764D5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9B4B0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30351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9A29F">
            <w:pPr>
              <w:jc w:val="center"/>
            </w:pPr>
            <w:r>
              <w:rPr>
                <w:rFonts w:ascii="宋体" w:hAnsi="宋体" w:eastAsia="宋体"/>
                <w:sz w:val="16"/>
              </w:rPr>
              <w:t>购置办公设备费用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CF7B7">
            <w:pPr>
              <w:jc w:val="center"/>
            </w:pPr>
            <w:r>
              <w:rPr>
                <w:rFonts w:ascii="宋体" w:hAnsi="宋体" w:eastAsia="宋体"/>
                <w:sz w:val="16"/>
              </w:rPr>
              <w:t>&lt;=2.21万元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19B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569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3ED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13E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84A0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3D445">
            <w:pPr>
              <w:jc w:val="center"/>
            </w:pPr>
            <w:r>
              <w:rPr>
                <w:rFonts w:ascii="宋体" w:hAnsi="宋体" w:eastAsia="宋体"/>
                <w:sz w:val="16"/>
              </w:rPr>
              <w:t>=1.9万元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B09E0">
            <w:pPr>
              <w:jc w:val="center"/>
            </w:pPr>
            <w:r>
              <w:rPr>
                <w:rFonts w:ascii="宋体" w:hAnsi="宋体" w:eastAsia="宋体"/>
                <w:sz w:val="16"/>
              </w:rPr>
              <w:t>6.49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5D1ED">
            <w:pPr>
              <w:jc w:val="center"/>
            </w:pPr>
            <w:r>
              <w:rPr>
                <w:rFonts w:ascii="宋体" w:hAnsi="宋体" w:eastAsia="宋体"/>
                <w:sz w:val="16"/>
              </w:rPr>
              <w:t>偏差原因：按照采购相关规定执行支付采购，资金产生结余。采取的措施是：编制项目预算时及时进行摸底，尽量提高预算的精准度。</w:t>
            </w:r>
          </w:p>
        </w:tc>
      </w:tr>
      <w:tr w14:paraId="170A2D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2E0D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3CE4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7EED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B239E">
            <w:pPr>
              <w:jc w:val="center"/>
            </w:pPr>
            <w:r>
              <w:rPr>
                <w:rFonts w:ascii="宋体" w:hAnsi="宋体" w:eastAsia="宋体"/>
                <w:sz w:val="16"/>
              </w:rPr>
              <w:t>其他运转费用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F930F">
            <w:pPr>
              <w:jc w:val="center"/>
            </w:pPr>
            <w:r>
              <w:rPr>
                <w:rFonts w:ascii="宋体" w:hAnsi="宋体" w:eastAsia="宋体"/>
                <w:sz w:val="16"/>
              </w:rPr>
              <w:t>&lt;=4.05万元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9CC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321E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8DC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A7B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CDB6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1A17C">
            <w:pPr>
              <w:jc w:val="center"/>
            </w:pPr>
            <w:r>
              <w:rPr>
                <w:rFonts w:ascii="宋体" w:hAnsi="宋体" w:eastAsia="宋体"/>
                <w:sz w:val="16"/>
              </w:rPr>
              <w:t>=3.77万元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10B5A">
            <w:pPr>
              <w:jc w:val="center"/>
            </w:pPr>
            <w:r>
              <w:rPr>
                <w:rFonts w:ascii="宋体" w:hAnsi="宋体" w:eastAsia="宋体"/>
                <w:sz w:val="16"/>
              </w:rPr>
              <w:t>8.27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ADBB8">
            <w:pPr>
              <w:jc w:val="center"/>
            </w:pPr>
            <w:r>
              <w:rPr>
                <w:rFonts w:ascii="宋体" w:hAnsi="宋体" w:eastAsia="宋体"/>
                <w:sz w:val="16"/>
              </w:rPr>
              <w:t>偏差原因：相关费用按照实际产生进行核算，实际支付金额3.77万元。采取的措施是：编制项目预算时及时进行摸底，尽量提高预算的精准度。</w:t>
            </w:r>
          </w:p>
        </w:tc>
      </w:tr>
      <w:tr w14:paraId="21062D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325D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95A9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1C00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2D39E">
            <w:pPr>
              <w:jc w:val="center"/>
            </w:pPr>
            <w:r>
              <w:rPr>
                <w:rFonts w:ascii="宋体" w:hAnsi="宋体" w:eastAsia="宋体"/>
                <w:sz w:val="16"/>
              </w:rPr>
              <w:t>保障工作需要情况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2C9CA">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48A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9561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6516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0E22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6E2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6B75B">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CA73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85509">
            <w:pPr>
              <w:jc w:val="center"/>
            </w:pPr>
          </w:p>
        </w:tc>
      </w:tr>
      <w:tr w14:paraId="79379D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1609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087F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C015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0BB3D">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310A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DAB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10A7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DB3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83E7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1D3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32969">
            <w:pPr>
              <w:jc w:val="center"/>
            </w:pPr>
            <w:r>
              <w:rPr>
                <w:rFonts w:ascii="宋体" w:hAnsi="宋体" w:eastAsia="宋体"/>
                <w:sz w:val="16"/>
              </w:rPr>
              <w:t>=98.97%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40EF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A76BD">
            <w:pPr>
              <w:jc w:val="center"/>
            </w:pPr>
            <w:r>
              <w:rPr>
                <w:rFonts w:ascii="宋体" w:hAnsi="宋体" w:eastAsia="宋体"/>
                <w:sz w:val="16"/>
              </w:rPr>
              <w:t>偏差原因：工作人员实际满意度为98.97%，出现正偏差。采取的措施是：下年度合理设置满意度绩效目标。</w:t>
            </w:r>
          </w:p>
        </w:tc>
      </w:tr>
      <w:tr w14:paraId="307F853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92CE7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B189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217FB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B347D">
            <w:pPr>
              <w:jc w:val="center"/>
            </w:pPr>
            <w:r>
              <w:rPr>
                <w:rFonts w:ascii="宋体" w:hAnsi="宋体" w:eastAsia="宋体"/>
                <w:sz w:val="16"/>
              </w:rPr>
              <w:t>92.37分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20806A4"/>
        </w:tc>
      </w:tr>
    </w:tbl>
    <w:p w14:paraId="20CDE600">
      <w:r>
        <w:br w:type="page"/>
      </w:r>
    </w:p>
    <w:tbl>
      <w:tblPr>
        <w:tblStyle w:val="9"/>
        <w:tblW w:w="0" w:type="auto"/>
        <w:tblInd w:w="0" w:type="dxa"/>
        <w:tblLayout w:type="autofit"/>
        <w:tblCellMar>
          <w:top w:w="0" w:type="dxa"/>
          <w:left w:w="108" w:type="dxa"/>
          <w:bottom w:w="0" w:type="dxa"/>
          <w:right w:w="108" w:type="dxa"/>
        </w:tblCellMar>
      </w:tblPr>
      <w:tblGrid>
        <w:gridCol w:w="623"/>
        <w:gridCol w:w="608"/>
        <w:gridCol w:w="608"/>
        <w:gridCol w:w="608"/>
        <w:gridCol w:w="856"/>
        <w:gridCol w:w="608"/>
        <w:gridCol w:w="696"/>
        <w:gridCol w:w="616"/>
        <w:gridCol w:w="608"/>
        <w:gridCol w:w="608"/>
        <w:gridCol w:w="776"/>
        <w:gridCol w:w="632"/>
        <w:gridCol w:w="581"/>
        <w:gridCol w:w="632"/>
      </w:tblGrid>
      <w:tr w14:paraId="46C79F74">
        <w:tblPrEx>
          <w:tblCellMar>
            <w:top w:w="0" w:type="dxa"/>
            <w:left w:w="108" w:type="dxa"/>
            <w:bottom w:w="0" w:type="dxa"/>
            <w:right w:w="108" w:type="dxa"/>
          </w:tblCellMar>
        </w:tblPrEx>
        <w:tc>
          <w:tcPr>
            <w:tcW w:w="8848" w:type="dxa"/>
            <w:gridSpan w:val="14"/>
            <w:vAlign w:val="center"/>
          </w:tcPr>
          <w:p w14:paraId="453BC2A4">
            <w:pPr>
              <w:jc w:val="center"/>
            </w:pPr>
            <w:r>
              <w:rPr>
                <w:rFonts w:ascii="宋体" w:hAnsi="宋体" w:eastAsia="宋体"/>
                <w:sz w:val="24"/>
              </w:rPr>
              <w:t>项目支出绩效自评表</w:t>
            </w:r>
          </w:p>
        </w:tc>
      </w:tr>
      <w:tr w14:paraId="4AAD08E9">
        <w:tblPrEx>
          <w:tblCellMar>
            <w:top w:w="0" w:type="dxa"/>
            <w:left w:w="108" w:type="dxa"/>
            <w:bottom w:w="0" w:type="dxa"/>
            <w:right w:w="108" w:type="dxa"/>
          </w:tblCellMar>
        </w:tblPrEx>
        <w:tc>
          <w:tcPr>
            <w:tcW w:w="8848" w:type="dxa"/>
            <w:gridSpan w:val="14"/>
            <w:vAlign w:val="center"/>
          </w:tcPr>
          <w:p w14:paraId="649ECF29">
            <w:pPr>
              <w:jc w:val="center"/>
            </w:pPr>
            <w:r>
              <w:rPr>
                <w:rFonts w:ascii="宋体" w:hAnsi="宋体" w:eastAsia="宋体"/>
                <w:sz w:val="24"/>
              </w:rPr>
              <w:t>(2024年度)</w:t>
            </w:r>
          </w:p>
        </w:tc>
      </w:tr>
      <w:tr w14:paraId="38CE7E1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9903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B3C09FC">
            <w:pPr>
              <w:jc w:val="center"/>
            </w:pPr>
            <w:r>
              <w:rPr>
                <w:rFonts w:ascii="宋体" w:hAnsi="宋体" w:eastAsia="宋体"/>
                <w:sz w:val="16"/>
              </w:rPr>
              <w:t>巡察专项工作项目</w:t>
            </w:r>
          </w:p>
        </w:tc>
      </w:tr>
      <w:tr w14:paraId="13D91BE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B5E5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76482F">
            <w:pPr>
              <w:jc w:val="center"/>
            </w:pPr>
            <w:r>
              <w:rPr>
                <w:rFonts w:ascii="宋体" w:hAnsi="宋体" w:eastAsia="宋体"/>
                <w:sz w:val="16"/>
              </w:rPr>
              <w:t>中共喀什地区纪律检查委员会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AE7B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C1A21D">
            <w:pPr>
              <w:jc w:val="center"/>
            </w:pPr>
            <w:r>
              <w:rPr>
                <w:rFonts w:ascii="宋体" w:hAnsi="宋体" w:eastAsia="宋体"/>
                <w:sz w:val="16"/>
              </w:rPr>
              <w:t>中共喀什地区纪律检查委员会</w:t>
            </w:r>
          </w:p>
        </w:tc>
      </w:tr>
      <w:tr w14:paraId="7B64F87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EBF3A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2060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5922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EF48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72CB4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2064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A478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C9406">
            <w:pPr>
              <w:jc w:val="center"/>
            </w:pPr>
            <w:r>
              <w:rPr>
                <w:rFonts w:ascii="宋体" w:hAnsi="宋体" w:eastAsia="宋体"/>
                <w:sz w:val="16"/>
              </w:rPr>
              <w:t>得分</w:t>
            </w:r>
          </w:p>
        </w:tc>
      </w:tr>
      <w:tr w14:paraId="0E547E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AAB9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3317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79C5D">
            <w:pPr>
              <w:jc w:val="center"/>
            </w:pPr>
            <w:r>
              <w:rPr>
                <w:rFonts w:ascii="宋体" w:hAnsi="宋体" w:eastAsia="宋体"/>
                <w:sz w:val="16"/>
              </w:rPr>
              <w:t>253.79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18DD6">
            <w:pPr>
              <w:jc w:val="center"/>
            </w:pPr>
            <w:r>
              <w:rPr>
                <w:rFonts w:ascii="宋体" w:hAnsi="宋体" w:eastAsia="宋体"/>
                <w:sz w:val="16"/>
              </w:rPr>
              <w:t>341.13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AD94B">
            <w:pPr>
              <w:jc w:val="center"/>
            </w:pPr>
            <w:r>
              <w:rPr>
                <w:rFonts w:ascii="宋体" w:hAnsi="宋体" w:eastAsia="宋体"/>
                <w:sz w:val="16"/>
              </w:rPr>
              <w:t>341.05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3A58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F195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F723E">
            <w:pPr>
              <w:jc w:val="center"/>
            </w:pPr>
            <w:r>
              <w:rPr>
                <w:rFonts w:ascii="宋体" w:hAnsi="宋体" w:eastAsia="宋体"/>
                <w:sz w:val="16"/>
              </w:rPr>
              <w:t>10.00分</w:t>
            </w:r>
          </w:p>
        </w:tc>
      </w:tr>
      <w:tr w14:paraId="0EAC9D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5B4CC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2EB4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C1003">
            <w:pPr>
              <w:jc w:val="center"/>
            </w:pPr>
            <w:r>
              <w:rPr>
                <w:rFonts w:ascii="宋体" w:hAnsi="宋体" w:eastAsia="宋体"/>
                <w:sz w:val="16"/>
              </w:rPr>
              <w:t>253.79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708D9">
            <w:pPr>
              <w:jc w:val="center"/>
            </w:pPr>
            <w:r>
              <w:rPr>
                <w:rFonts w:ascii="宋体" w:hAnsi="宋体" w:eastAsia="宋体"/>
                <w:sz w:val="16"/>
              </w:rPr>
              <w:t>341.13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D24B0">
            <w:pPr>
              <w:jc w:val="center"/>
            </w:pPr>
            <w:r>
              <w:rPr>
                <w:rFonts w:ascii="宋体" w:hAnsi="宋体" w:eastAsia="宋体"/>
                <w:sz w:val="16"/>
              </w:rPr>
              <w:t>341.05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06BAD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08EA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1ACF9">
            <w:pPr>
              <w:jc w:val="center"/>
            </w:pPr>
            <w:r>
              <w:rPr>
                <w:rFonts w:ascii="宋体" w:hAnsi="宋体" w:eastAsia="宋体"/>
                <w:sz w:val="16"/>
              </w:rPr>
              <w:t>—</w:t>
            </w:r>
          </w:p>
        </w:tc>
      </w:tr>
      <w:tr w14:paraId="1B9112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93F7C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7314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D0C8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0A29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EAF3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659B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928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C4F72">
            <w:pPr>
              <w:jc w:val="center"/>
            </w:pPr>
            <w:r>
              <w:rPr>
                <w:rFonts w:ascii="宋体" w:hAnsi="宋体" w:eastAsia="宋体"/>
                <w:sz w:val="16"/>
              </w:rPr>
              <w:t>—</w:t>
            </w:r>
          </w:p>
        </w:tc>
      </w:tr>
      <w:tr w14:paraId="3F890C6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08E32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E4FBB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90CD1F">
            <w:pPr>
              <w:jc w:val="center"/>
            </w:pPr>
            <w:r>
              <w:rPr>
                <w:rFonts w:ascii="宋体" w:hAnsi="宋体" w:eastAsia="宋体"/>
                <w:sz w:val="16"/>
              </w:rPr>
              <w:t>实际完成情况</w:t>
            </w:r>
          </w:p>
        </w:tc>
      </w:tr>
      <w:tr w14:paraId="37DF02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7DAEF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13454D">
            <w:pPr>
              <w:jc w:val="both"/>
            </w:pPr>
            <w:r>
              <w:rPr>
                <w:rFonts w:ascii="宋体" w:hAnsi="宋体" w:eastAsia="宋体"/>
                <w:sz w:val="16"/>
              </w:rPr>
              <w:t>为落实总目标，保障中央、自治区、地区安排的各项工作任务的顺利开展和完成，2024年地委巡察办预计采购设备一批（制冷设备36台，扫描仪1台），通过设备的投入和运行，有效改善办公环境和提高工作质量。严格按照巡察方案，本年度成立巡察组在全地区开展3轮巡察工作。通过项目的实施，严格落实全面从严治党要求，加强党风廉政建设和党的纪律执行，提高干部工作效率和水平，有力整治并巩固喀什地区政治生态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3A7CB5">
            <w:pPr>
              <w:jc w:val="both"/>
            </w:pPr>
            <w:r>
              <w:rPr>
                <w:rFonts w:ascii="宋体" w:hAnsi="宋体" w:eastAsia="宋体"/>
                <w:sz w:val="16"/>
              </w:rPr>
              <w:t>2024年以来，根据巡察巡视工作计划及工作开展实际，为落实新疆总目标，保障中央、自治区、地区安排的各项工作的顺利开展和完成，根据工作需要，投入财政预算资金341.05万元（巡察相关费325.84万元，设备购置费15.21万元），用以购置巡察办制冷设备36台，扫描仪1台和支付我单位2024年巡察组开展3轮巡察所产生的相关费用。通过聚焦党的理论</w:t>
            </w:r>
            <w:r>
              <w:rPr>
                <w:rFonts w:hint="eastAsia" w:ascii="宋体" w:hAnsi="宋体"/>
                <w:sz w:val="16"/>
                <w:lang w:eastAsia="zh-CN"/>
              </w:rPr>
              <w:t>党的路线方针政策和党中央决策部署</w:t>
            </w:r>
            <w:r>
              <w:rPr>
                <w:rFonts w:ascii="宋体" w:hAnsi="宋体" w:eastAsia="宋体"/>
                <w:sz w:val="16"/>
              </w:rPr>
              <w:t>在基层落实情况；聚焦</w:t>
            </w:r>
            <w:r>
              <w:rPr>
                <w:rFonts w:hint="eastAsia" w:ascii="宋体" w:hAnsi="宋体"/>
                <w:sz w:val="16"/>
                <w:lang w:eastAsia="zh-CN"/>
              </w:rPr>
              <w:t>群众身边腐败问题</w:t>
            </w:r>
            <w:r>
              <w:rPr>
                <w:rFonts w:ascii="宋体" w:hAnsi="宋体" w:eastAsia="宋体"/>
                <w:sz w:val="16"/>
              </w:rPr>
              <w:t>的巡察，并狠抓落实，加强整改，有效降低了同类问题的发生率，进一步促进党员干部担当作为，推动全面从严治党，巡察工作得到了社会和群众的认可和好评。</w:t>
            </w:r>
          </w:p>
        </w:tc>
      </w:tr>
      <w:tr w14:paraId="6070197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F64EA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9F00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EC49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C83C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BDAA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75B4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1DD0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4923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3B87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5801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D97C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E6CF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0E31B">
            <w:pPr>
              <w:jc w:val="center"/>
            </w:pPr>
            <w:r>
              <w:rPr>
                <w:rFonts w:ascii="宋体" w:hAnsi="宋体" w:eastAsia="宋体"/>
                <w:sz w:val="16"/>
              </w:rPr>
              <w:t>偏差原因分析及改进措施</w:t>
            </w:r>
          </w:p>
        </w:tc>
      </w:tr>
      <w:tr w14:paraId="696289E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152BD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645F2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50F75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AB76A">
            <w:pPr>
              <w:jc w:val="center"/>
            </w:pPr>
            <w:r>
              <w:rPr>
                <w:rFonts w:ascii="宋体" w:hAnsi="宋体" w:eastAsia="宋体"/>
                <w:sz w:val="16"/>
              </w:rPr>
              <w:t>本年度开展巡察轮数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13A2E">
            <w:pPr>
              <w:jc w:val="center"/>
            </w:pPr>
            <w:r>
              <w:rPr>
                <w:rFonts w:ascii="宋体" w:hAnsi="宋体" w:eastAsia="宋体"/>
                <w:sz w:val="16"/>
              </w:rPr>
              <w:t>&gt;=3轮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908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46B05">
            <w:pPr>
              <w:jc w:val="center"/>
            </w:pPr>
            <w:r>
              <w:rPr>
                <w:rFonts w:ascii="宋体" w:hAnsi="宋体" w:eastAsia="宋体"/>
                <w:sz w:val="16"/>
              </w:rPr>
              <w:t>2轮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BF2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29E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C84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6E7AF">
            <w:pPr>
              <w:jc w:val="center"/>
            </w:pPr>
            <w:r>
              <w:rPr>
                <w:rFonts w:ascii="宋体" w:hAnsi="宋体" w:eastAsia="宋体"/>
                <w:sz w:val="16"/>
              </w:rPr>
              <w:t>=3轮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B738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7C035F">
            <w:pPr>
              <w:jc w:val="center"/>
            </w:pPr>
          </w:p>
        </w:tc>
      </w:tr>
      <w:tr w14:paraId="66653D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3FC2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9980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D8B5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2A348">
            <w:pPr>
              <w:jc w:val="center"/>
            </w:pPr>
            <w:r>
              <w:rPr>
                <w:rFonts w:ascii="宋体" w:hAnsi="宋体" w:eastAsia="宋体"/>
                <w:sz w:val="16"/>
              </w:rPr>
              <w:t>购置设备数量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B4F64">
            <w:pPr>
              <w:jc w:val="center"/>
            </w:pPr>
            <w:r>
              <w:rPr>
                <w:rFonts w:ascii="宋体" w:hAnsi="宋体" w:eastAsia="宋体"/>
                <w:sz w:val="16"/>
              </w:rPr>
              <w:t>&gt;=37台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F4F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A7A6C">
            <w:pPr>
              <w:jc w:val="center"/>
            </w:pPr>
            <w:r>
              <w:rPr>
                <w:rFonts w:ascii="宋体" w:hAnsi="宋体" w:eastAsia="宋体"/>
                <w:sz w:val="16"/>
              </w:rPr>
              <w:t>8台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316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3E3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F961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C9FF7">
            <w:pPr>
              <w:jc w:val="center"/>
            </w:pPr>
            <w:r>
              <w:rPr>
                <w:rFonts w:ascii="宋体" w:hAnsi="宋体" w:eastAsia="宋体"/>
                <w:sz w:val="16"/>
              </w:rPr>
              <w:t>=37台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4FDE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4E91E">
            <w:pPr>
              <w:jc w:val="center"/>
            </w:pPr>
          </w:p>
        </w:tc>
      </w:tr>
      <w:tr w14:paraId="62803E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0661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B480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DDF6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4E55C">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803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EFD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A00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8C2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E809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5F5F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C62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FFC3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16CB7">
            <w:pPr>
              <w:jc w:val="center"/>
            </w:pPr>
          </w:p>
        </w:tc>
      </w:tr>
      <w:tr w14:paraId="327427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978C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39E6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1A4A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EB37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89CAD">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A3E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D96D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99D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9EF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572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01FF3">
            <w:pPr>
              <w:jc w:val="center"/>
            </w:pPr>
            <w:r>
              <w:rPr>
                <w:rFonts w:ascii="宋体" w:hAnsi="宋体" w:eastAsia="宋体"/>
                <w:sz w:val="16"/>
              </w:rPr>
              <w:t>2024年12月27日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6DCD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E82E8">
            <w:pPr>
              <w:jc w:val="center"/>
            </w:pPr>
          </w:p>
        </w:tc>
      </w:tr>
      <w:tr w14:paraId="3C00BC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EA5C5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2082B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254C4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F2376">
            <w:pPr>
              <w:jc w:val="center"/>
            </w:pPr>
            <w:r>
              <w:rPr>
                <w:rFonts w:ascii="宋体" w:hAnsi="宋体" w:eastAsia="宋体"/>
                <w:sz w:val="16"/>
              </w:rPr>
              <w:t>巡察产生相关费用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084C8">
            <w:pPr>
              <w:jc w:val="center"/>
            </w:pPr>
            <w:r>
              <w:rPr>
                <w:rFonts w:ascii="宋体" w:hAnsi="宋体" w:eastAsia="宋体"/>
                <w:sz w:val="16"/>
              </w:rPr>
              <w:t>&lt;=323.23万元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5AD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39D15">
            <w:pPr>
              <w:jc w:val="center"/>
            </w:pPr>
            <w:r>
              <w:rPr>
                <w:rFonts w:ascii="宋体" w:hAnsi="宋体" w:eastAsia="宋体"/>
                <w:sz w:val="16"/>
              </w:rPr>
              <w:t>128.76万元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4C3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60B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CD9F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4AE1D">
            <w:pPr>
              <w:jc w:val="center"/>
            </w:pPr>
            <w:r>
              <w:rPr>
                <w:rFonts w:ascii="宋体" w:hAnsi="宋体" w:eastAsia="宋体"/>
                <w:sz w:val="16"/>
              </w:rPr>
              <w:t>=325.84万元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A72C5">
            <w:pPr>
              <w:jc w:val="center"/>
            </w:pPr>
            <w:r>
              <w:rPr>
                <w:rFonts w:ascii="宋体" w:hAnsi="宋体" w:eastAsia="宋体"/>
                <w:sz w:val="16"/>
              </w:rPr>
              <w:t>9.93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B861E">
            <w:pPr>
              <w:jc w:val="center"/>
            </w:pPr>
          </w:p>
        </w:tc>
      </w:tr>
      <w:tr w14:paraId="794CE5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042A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F585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1861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BE943">
            <w:pPr>
              <w:jc w:val="center"/>
            </w:pPr>
            <w:r>
              <w:rPr>
                <w:rFonts w:ascii="宋体" w:hAnsi="宋体" w:eastAsia="宋体"/>
                <w:sz w:val="16"/>
              </w:rPr>
              <w:t>设备购置费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A2A46">
            <w:pPr>
              <w:jc w:val="center"/>
            </w:pPr>
            <w:r>
              <w:rPr>
                <w:rFonts w:ascii="宋体" w:hAnsi="宋体" w:eastAsia="宋体"/>
                <w:sz w:val="16"/>
              </w:rPr>
              <w:t>&lt;=17.9万元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B6E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47F81">
            <w:pPr>
              <w:jc w:val="center"/>
            </w:pPr>
            <w:r>
              <w:rPr>
                <w:rFonts w:ascii="宋体" w:hAnsi="宋体" w:eastAsia="宋体"/>
                <w:sz w:val="16"/>
              </w:rPr>
              <w:t>1.32万元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8B2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C7B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96F2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BF089">
            <w:pPr>
              <w:jc w:val="center"/>
            </w:pPr>
            <w:r>
              <w:rPr>
                <w:rFonts w:ascii="宋体" w:hAnsi="宋体" w:eastAsia="宋体"/>
                <w:sz w:val="16"/>
              </w:rPr>
              <w:t>=15.21万元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95DB1">
            <w:pPr>
              <w:jc w:val="center"/>
            </w:pPr>
            <w:r>
              <w:rPr>
                <w:rFonts w:ascii="宋体" w:hAnsi="宋体" w:eastAsia="宋体"/>
                <w:sz w:val="16"/>
              </w:rPr>
              <w:t>6.24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FC8DE">
            <w:pPr>
              <w:jc w:val="center"/>
            </w:pPr>
            <w:r>
              <w:rPr>
                <w:rFonts w:ascii="宋体" w:hAnsi="宋体" w:eastAsia="宋体"/>
                <w:sz w:val="16"/>
              </w:rPr>
              <w:t>偏差原因：项目设备购置实施政府采购，实现了资金结余。采取的措施：下年度做好市场价格调研，尽量提高预算的精准度。</w:t>
            </w:r>
          </w:p>
        </w:tc>
      </w:tr>
      <w:tr w14:paraId="584741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5C50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7512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8E75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840E7">
            <w:pPr>
              <w:jc w:val="center"/>
            </w:pPr>
            <w:r>
              <w:rPr>
                <w:rFonts w:ascii="宋体" w:hAnsi="宋体" w:eastAsia="宋体"/>
                <w:sz w:val="16"/>
              </w:rPr>
              <w:t>问题整改落实率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0A1D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FE4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5257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0E750">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B43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D0C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F9828">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B8C3E">
            <w:pPr>
              <w:jc w:val="center"/>
            </w:pPr>
            <w:r>
              <w:rPr>
                <w:rFonts w:ascii="宋体" w:hAnsi="宋体" w:eastAsia="宋体"/>
                <w:sz w:val="16"/>
              </w:rPr>
              <w:t>26.05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2CFAC2">
            <w:pPr>
              <w:jc w:val="center"/>
            </w:pPr>
            <w:r>
              <w:rPr>
                <w:rFonts w:ascii="宋体" w:hAnsi="宋体" w:eastAsia="宋体"/>
                <w:sz w:val="16"/>
              </w:rPr>
              <w:t>偏差原因：根据巡视条例，巡察发现问题整改为6个月，本年度第二、三轮巡察还处于整改期限内，故整改率偏低。采取的措施：下年度合理编制绩效指标。</w:t>
            </w:r>
          </w:p>
        </w:tc>
      </w:tr>
      <w:tr w14:paraId="7A3E141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59A95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CF41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57B2E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B9173">
            <w:pPr>
              <w:jc w:val="center"/>
            </w:pPr>
            <w:r>
              <w:rPr>
                <w:rFonts w:ascii="宋体" w:hAnsi="宋体" w:eastAsia="宋体"/>
                <w:sz w:val="16"/>
              </w:rPr>
              <w:t>92.22分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947295B"/>
        </w:tc>
      </w:tr>
    </w:tbl>
    <w:p w14:paraId="1ABDE70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6A477702">
        <w:tblPrEx>
          <w:tblCellMar>
            <w:top w:w="0" w:type="dxa"/>
            <w:left w:w="108" w:type="dxa"/>
            <w:bottom w:w="0" w:type="dxa"/>
            <w:right w:w="108" w:type="dxa"/>
          </w:tblCellMar>
        </w:tblPrEx>
        <w:tc>
          <w:tcPr>
            <w:tcW w:w="8848" w:type="dxa"/>
            <w:gridSpan w:val="14"/>
            <w:vAlign w:val="center"/>
          </w:tcPr>
          <w:p w14:paraId="1BF204FA">
            <w:pPr>
              <w:jc w:val="center"/>
            </w:pPr>
            <w:r>
              <w:rPr>
                <w:rFonts w:ascii="宋体" w:hAnsi="宋体" w:eastAsia="宋体"/>
                <w:sz w:val="24"/>
              </w:rPr>
              <w:t>项目支出绩效自评表</w:t>
            </w:r>
          </w:p>
        </w:tc>
      </w:tr>
      <w:tr w14:paraId="54F0AC36">
        <w:tblPrEx>
          <w:tblCellMar>
            <w:top w:w="0" w:type="dxa"/>
            <w:left w:w="108" w:type="dxa"/>
            <w:bottom w:w="0" w:type="dxa"/>
            <w:right w:w="108" w:type="dxa"/>
          </w:tblCellMar>
        </w:tblPrEx>
        <w:tc>
          <w:tcPr>
            <w:tcW w:w="8848" w:type="dxa"/>
            <w:gridSpan w:val="14"/>
            <w:vAlign w:val="center"/>
          </w:tcPr>
          <w:p w14:paraId="5C479B54">
            <w:pPr>
              <w:jc w:val="center"/>
            </w:pPr>
            <w:r>
              <w:rPr>
                <w:rFonts w:ascii="宋体" w:hAnsi="宋体" w:eastAsia="宋体"/>
                <w:sz w:val="24"/>
              </w:rPr>
              <w:t>(2024年度)</w:t>
            </w:r>
          </w:p>
        </w:tc>
      </w:tr>
      <w:tr w14:paraId="47DCA57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28EF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6EFE25B">
            <w:pPr>
              <w:jc w:val="center"/>
            </w:pPr>
            <w:r>
              <w:rPr>
                <w:rFonts w:ascii="宋体" w:hAnsi="宋体" w:eastAsia="宋体"/>
                <w:sz w:val="16"/>
              </w:rPr>
              <w:t>留置场所配套附属设施建设项目</w:t>
            </w:r>
          </w:p>
        </w:tc>
      </w:tr>
      <w:tr w14:paraId="1E5BCFF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0A76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B291BC">
            <w:pPr>
              <w:jc w:val="center"/>
            </w:pPr>
            <w:r>
              <w:rPr>
                <w:rFonts w:ascii="宋体" w:hAnsi="宋体" w:eastAsia="宋体"/>
                <w:sz w:val="16"/>
              </w:rPr>
              <w:t>中共喀什地区纪律检查委员会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BF62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2F28532">
            <w:pPr>
              <w:jc w:val="center"/>
            </w:pPr>
            <w:r>
              <w:rPr>
                <w:rFonts w:ascii="宋体" w:hAnsi="宋体" w:eastAsia="宋体"/>
                <w:sz w:val="16"/>
              </w:rPr>
              <w:t>中共喀什地区纪律检查委员会</w:t>
            </w:r>
          </w:p>
        </w:tc>
      </w:tr>
      <w:tr w14:paraId="5954CDB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0EECB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3ED5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1ACC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F81D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BAEE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55AE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5FA6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852D7">
            <w:pPr>
              <w:jc w:val="center"/>
            </w:pPr>
            <w:r>
              <w:rPr>
                <w:rFonts w:ascii="宋体" w:hAnsi="宋体" w:eastAsia="宋体"/>
                <w:sz w:val="16"/>
              </w:rPr>
              <w:t>得分</w:t>
            </w:r>
          </w:p>
        </w:tc>
      </w:tr>
      <w:tr w14:paraId="3092EC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C9122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EB9E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E0F95">
            <w:pPr>
              <w:jc w:val="center"/>
            </w:pPr>
            <w:r>
              <w:rPr>
                <w:rFonts w:ascii="宋体" w:hAnsi="宋体" w:eastAsia="宋体"/>
                <w:sz w:val="16"/>
              </w:rPr>
              <w:t>260.00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BF780">
            <w:pPr>
              <w:jc w:val="center"/>
            </w:pPr>
            <w:r>
              <w:rPr>
                <w:rFonts w:ascii="宋体" w:hAnsi="宋体" w:eastAsia="宋体"/>
                <w:sz w:val="16"/>
              </w:rPr>
              <w:t>183.37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BF746">
            <w:pPr>
              <w:jc w:val="center"/>
            </w:pPr>
            <w:r>
              <w:rPr>
                <w:rFonts w:ascii="宋体" w:hAnsi="宋体" w:eastAsia="宋体"/>
                <w:sz w:val="16"/>
              </w:rPr>
              <w:t>183.37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04BCD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26DD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5C090">
            <w:pPr>
              <w:jc w:val="center"/>
            </w:pPr>
            <w:r>
              <w:rPr>
                <w:rFonts w:ascii="宋体" w:hAnsi="宋体" w:eastAsia="宋体"/>
                <w:sz w:val="16"/>
              </w:rPr>
              <w:t>10.00分</w:t>
            </w:r>
          </w:p>
        </w:tc>
      </w:tr>
      <w:tr w14:paraId="7B8C60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07395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53C9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4407D">
            <w:pPr>
              <w:jc w:val="center"/>
            </w:pPr>
            <w:r>
              <w:rPr>
                <w:rFonts w:ascii="宋体" w:hAnsi="宋体" w:eastAsia="宋体"/>
                <w:sz w:val="16"/>
              </w:rPr>
              <w:t>260.00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9703C">
            <w:pPr>
              <w:jc w:val="center"/>
            </w:pPr>
            <w:r>
              <w:rPr>
                <w:rFonts w:ascii="宋体" w:hAnsi="宋体" w:eastAsia="宋体"/>
                <w:sz w:val="16"/>
              </w:rPr>
              <w:t>183.37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F02F5">
            <w:pPr>
              <w:jc w:val="center"/>
            </w:pPr>
            <w:r>
              <w:rPr>
                <w:rFonts w:ascii="宋体" w:hAnsi="宋体" w:eastAsia="宋体"/>
                <w:sz w:val="16"/>
              </w:rPr>
              <w:t>183.37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53C1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9FDC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B1E0B">
            <w:pPr>
              <w:jc w:val="center"/>
            </w:pPr>
            <w:r>
              <w:rPr>
                <w:rFonts w:ascii="宋体" w:hAnsi="宋体" w:eastAsia="宋体"/>
                <w:sz w:val="16"/>
              </w:rPr>
              <w:t>—</w:t>
            </w:r>
          </w:p>
        </w:tc>
      </w:tr>
      <w:tr w14:paraId="0F86B0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76789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9803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8BF1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8FC6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232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BF29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4437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5894E">
            <w:pPr>
              <w:jc w:val="center"/>
            </w:pPr>
            <w:r>
              <w:rPr>
                <w:rFonts w:ascii="宋体" w:hAnsi="宋体" w:eastAsia="宋体"/>
                <w:sz w:val="16"/>
              </w:rPr>
              <w:t>—</w:t>
            </w:r>
          </w:p>
        </w:tc>
      </w:tr>
      <w:tr w14:paraId="17E1CDF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CDB7C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CE43A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EB265E">
            <w:pPr>
              <w:jc w:val="center"/>
            </w:pPr>
            <w:r>
              <w:rPr>
                <w:rFonts w:ascii="宋体" w:hAnsi="宋体" w:eastAsia="宋体"/>
                <w:sz w:val="16"/>
              </w:rPr>
              <w:t>实际完成情况</w:t>
            </w:r>
          </w:p>
        </w:tc>
      </w:tr>
      <w:tr w14:paraId="10DD3A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9F976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F4B61E">
            <w:pPr>
              <w:jc w:val="both"/>
            </w:pPr>
            <w:r>
              <w:rPr>
                <w:rFonts w:ascii="宋体" w:hAnsi="宋体" w:eastAsia="宋体"/>
                <w:sz w:val="16"/>
              </w:rPr>
              <w:t>根据自治区、地区纪委监委有关留置场所建设指示及《地委财经领导小组第二次会议纪要》（喀财经〔2018〕2号）文件精神；2018年以来，我单位陆续实施阵地建设项目和留置场所建设附属配套实施建设。根据项目实施节点，2024年我单位配套附属设施建设项目改造费用183.37万元。通过项目的实施，达到建设功能完善、设施齐全、安全达标、管理规范留置场所的要求，从而提高办案质量安全，有效整治作风顽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AC66B81">
            <w:pPr>
              <w:jc w:val="both"/>
            </w:pPr>
            <w:r>
              <w:rPr>
                <w:rFonts w:ascii="宋体" w:hAnsi="宋体" w:eastAsia="宋体"/>
                <w:sz w:val="16"/>
              </w:rPr>
              <w:t>留置场所附属配套设施建设项目为跨年度项目，根据项目节点，2024年我单位陆续完成了项目的绿化带工程，并完成整个项目的结算审核，按照审核结果及项目合同约定支付项目工程款183.37万元，资金支付至整个项目的97%,目前项目建设完成，达到了建设功能完善、设施齐全、安全达标、管理规范留置场所的要求。场地已经投入使用，有效保障了办案、审查调查、留置等各项工作的顺利开展，提高办案质量安全，有效整治作风顽疾。</w:t>
            </w:r>
          </w:p>
        </w:tc>
      </w:tr>
      <w:tr w14:paraId="70F5DB9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B08E6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9BE6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BAFC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CB3E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7E50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6470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E48E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F2D9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3FF7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A9A9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E6B0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B800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7FCFD">
            <w:pPr>
              <w:jc w:val="center"/>
            </w:pPr>
            <w:r>
              <w:rPr>
                <w:rFonts w:ascii="宋体" w:hAnsi="宋体" w:eastAsia="宋体"/>
                <w:sz w:val="16"/>
              </w:rPr>
              <w:t>偏差原因分析及改进措施</w:t>
            </w:r>
          </w:p>
        </w:tc>
      </w:tr>
      <w:tr w14:paraId="225E583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08B91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004E1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B9BF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98A60">
            <w:pPr>
              <w:jc w:val="center"/>
            </w:pPr>
            <w:r>
              <w:rPr>
                <w:rFonts w:ascii="宋体" w:hAnsi="宋体" w:eastAsia="宋体"/>
                <w:sz w:val="16"/>
              </w:rPr>
              <w:t>留置场所建设附属配套建设项目占地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E6A87">
            <w:pPr>
              <w:jc w:val="center"/>
            </w:pPr>
            <w:r>
              <w:rPr>
                <w:rFonts w:ascii="宋体" w:hAnsi="宋体" w:eastAsia="宋体"/>
                <w:sz w:val="16"/>
              </w:rPr>
              <w:t>&gt;=20.50亩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C26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36D3F">
            <w:pPr>
              <w:jc w:val="center"/>
            </w:pPr>
            <w:r>
              <w:rPr>
                <w:rFonts w:ascii="宋体" w:hAnsi="宋体" w:eastAsia="宋体"/>
                <w:sz w:val="16"/>
              </w:rPr>
              <w:t>=20.5亩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3CE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607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3ECD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0E524">
            <w:pPr>
              <w:jc w:val="center"/>
            </w:pPr>
            <w:r>
              <w:rPr>
                <w:rFonts w:ascii="宋体" w:hAnsi="宋体" w:eastAsia="宋体"/>
                <w:sz w:val="16"/>
              </w:rPr>
              <w:t>=20.5亩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4AB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A330D">
            <w:pPr>
              <w:jc w:val="center"/>
            </w:pPr>
          </w:p>
        </w:tc>
      </w:tr>
      <w:tr w14:paraId="07A7E4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8D73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B8AAE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57A75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0303F">
            <w:pPr>
              <w:jc w:val="center"/>
            </w:pPr>
            <w:r>
              <w:rPr>
                <w:rFonts w:ascii="宋体" w:hAnsi="宋体" w:eastAsia="宋体"/>
                <w:sz w:val="16"/>
              </w:rPr>
              <w:t>竣工验收合格率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D7B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981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14B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478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C76C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126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F59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7197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28F70">
            <w:pPr>
              <w:jc w:val="center"/>
            </w:pPr>
          </w:p>
        </w:tc>
      </w:tr>
      <w:tr w14:paraId="04E364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4219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DA4C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A44A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68E99">
            <w:pPr>
              <w:jc w:val="center"/>
            </w:pPr>
            <w:r>
              <w:rPr>
                <w:rFonts w:ascii="宋体" w:hAnsi="宋体" w:eastAsia="宋体"/>
                <w:sz w:val="16"/>
              </w:rPr>
              <w:t>项目资金支付率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A50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656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442E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5F2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C0D6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B3C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B2D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4451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2AA3D">
            <w:pPr>
              <w:jc w:val="center"/>
            </w:pPr>
          </w:p>
        </w:tc>
      </w:tr>
      <w:tr w14:paraId="70CFDF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227D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8A01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10CB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5368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6A194">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60A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4995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CC8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764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431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5D004">
            <w:pPr>
              <w:jc w:val="center"/>
            </w:pPr>
            <w:r>
              <w:rPr>
                <w:rFonts w:ascii="宋体" w:hAnsi="宋体" w:eastAsia="宋体"/>
                <w:sz w:val="16"/>
              </w:rPr>
              <w:t>=2024年6月30日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8418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54B45">
            <w:pPr>
              <w:jc w:val="center"/>
            </w:pPr>
          </w:p>
        </w:tc>
      </w:tr>
      <w:tr w14:paraId="23645E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7E65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D275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5841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D70F9">
            <w:pPr>
              <w:jc w:val="center"/>
            </w:pPr>
            <w:r>
              <w:rPr>
                <w:rFonts w:ascii="宋体" w:hAnsi="宋体" w:eastAsia="宋体"/>
                <w:sz w:val="16"/>
              </w:rPr>
              <w:t>资金节约率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356A1">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C80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55B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E7E6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40A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3E12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D302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D087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78AB0B">
            <w:pPr>
              <w:jc w:val="center"/>
            </w:pPr>
          </w:p>
        </w:tc>
      </w:tr>
      <w:tr w14:paraId="76E37D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10CF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E550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3450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869A9">
            <w:pPr>
              <w:jc w:val="center"/>
            </w:pPr>
            <w:r>
              <w:rPr>
                <w:rFonts w:ascii="宋体" w:hAnsi="宋体" w:eastAsia="宋体"/>
                <w:sz w:val="16"/>
              </w:rPr>
              <w:t>业务保障能力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8F08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917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AA86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BA49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8DF9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D0A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D62C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58F5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BF944">
            <w:pPr>
              <w:jc w:val="center"/>
            </w:pPr>
          </w:p>
        </w:tc>
      </w:tr>
      <w:tr w14:paraId="79682F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D366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2A92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EC29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B41A1">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1EFC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409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CF89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7B1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69C7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63C1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C667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C359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3E119">
            <w:pPr>
              <w:jc w:val="center"/>
            </w:pPr>
          </w:p>
        </w:tc>
      </w:tr>
      <w:tr w14:paraId="2BFAAE5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1530C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2728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E2AF7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F741E">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012008A"/>
        </w:tc>
      </w:tr>
    </w:tbl>
    <w:p w14:paraId="59FDC6FE">
      <w:r>
        <w:br w:type="page"/>
      </w:r>
    </w:p>
    <w:tbl>
      <w:tblPr>
        <w:tblStyle w:val="9"/>
        <w:tblW w:w="0" w:type="auto"/>
        <w:tblInd w:w="0" w:type="dxa"/>
        <w:tblLayout w:type="autofit"/>
        <w:tblCellMar>
          <w:top w:w="0" w:type="dxa"/>
          <w:left w:w="108" w:type="dxa"/>
          <w:bottom w:w="0" w:type="dxa"/>
          <w:right w:w="108" w:type="dxa"/>
        </w:tblCellMar>
      </w:tblPr>
      <w:tblGrid>
        <w:gridCol w:w="629"/>
        <w:gridCol w:w="623"/>
        <w:gridCol w:w="623"/>
        <w:gridCol w:w="623"/>
        <w:gridCol w:w="776"/>
        <w:gridCol w:w="623"/>
        <w:gridCol w:w="631"/>
        <w:gridCol w:w="626"/>
        <w:gridCol w:w="623"/>
        <w:gridCol w:w="623"/>
        <w:gridCol w:w="776"/>
        <w:gridCol w:w="632"/>
        <w:gridCol w:w="619"/>
        <w:gridCol w:w="633"/>
      </w:tblGrid>
      <w:tr w14:paraId="70532596">
        <w:tblPrEx>
          <w:tblCellMar>
            <w:top w:w="0" w:type="dxa"/>
            <w:left w:w="108" w:type="dxa"/>
            <w:bottom w:w="0" w:type="dxa"/>
            <w:right w:w="108" w:type="dxa"/>
          </w:tblCellMar>
        </w:tblPrEx>
        <w:tc>
          <w:tcPr>
            <w:tcW w:w="8848" w:type="dxa"/>
            <w:gridSpan w:val="14"/>
            <w:vAlign w:val="center"/>
          </w:tcPr>
          <w:p w14:paraId="6BA66C67">
            <w:pPr>
              <w:jc w:val="center"/>
            </w:pPr>
            <w:r>
              <w:rPr>
                <w:rFonts w:ascii="宋体" w:hAnsi="宋体" w:eastAsia="宋体"/>
                <w:sz w:val="24"/>
              </w:rPr>
              <w:t>项目支出绩效自评表</w:t>
            </w:r>
          </w:p>
        </w:tc>
      </w:tr>
      <w:tr w14:paraId="31C94E57">
        <w:tblPrEx>
          <w:tblCellMar>
            <w:top w:w="0" w:type="dxa"/>
            <w:left w:w="108" w:type="dxa"/>
            <w:bottom w:w="0" w:type="dxa"/>
            <w:right w:w="108" w:type="dxa"/>
          </w:tblCellMar>
        </w:tblPrEx>
        <w:tc>
          <w:tcPr>
            <w:tcW w:w="8848" w:type="dxa"/>
            <w:gridSpan w:val="14"/>
            <w:vAlign w:val="center"/>
          </w:tcPr>
          <w:p w14:paraId="38312675">
            <w:pPr>
              <w:jc w:val="center"/>
            </w:pPr>
            <w:r>
              <w:rPr>
                <w:rFonts w:ascii="宋体" w:hAnsi="宋体" w:eastAsia="宋体"/>
                <w:sz w:val="24"/>
              </w:rPr>
              <w:t>(2024年度)</w:t>
            </w:r>
          </w:p>
        </w:tc>
      </w:tr>
      <w:tr w14:paraId="36F5A0B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EE41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AF50B7C">
            <w:pPr>
              <w:jc w:val="center"/>
            </w:pPr>
            <w:r>
              <w:rPr>
                <w:rFonts w:ascii="宋体" w:hAnsi="宋体" w:eastAsia="宋体"/>
                <w:sz w:val="16"/>
              </w:rPr>
              <w:t>纪检监察干部业务能力提升项目</w:t>
            </w:r>
          </w:p>
        </w:tc>
      </w:tr>
      <w:tr w14:paraId="22A8A3B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545E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D0FB9B">
            <w:pPr>
              <w:jc w:val="center"/>
            </w:pPr>
            <w:r>
              <w:rPr>
                <w:rFonts w:ascii="宋体" w:hAnsi="宋体" w:eastAsia="宋体"/>
                <w:sz w:val="16"/>
              </w:rPr>
              <w:t>中共喀什地区纪律检查委员会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AEB7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1F0EC3">
            <w:pPr>
              <w:jc w:val="center"/>
            </w:pPr>
            <w:r>
              <w:rPr>
                <w:rFonts w:ascii="宋体" w:hAnsi="宋体" w:eastAsia="宋体"/>
                <w:sz w:val="16"/>
              </w:rPr>
              <w:t>中共喀什地区纪律检查委员会</w:t>
            </w:r>
          </w:p>
        </w:tc>
      </w:tr>
      <w:tr w14:paraId="57E7CCF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B0610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5CCC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27A7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EDD6A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728D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46BF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5E38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634CC">
            <w:pPr>
              <w:jc w:val="center"/>
            </w:pPr>
            <w:r>
              <w:rPr>
                <w:rFonts w:ascii="宋体" w:hAnsi="宋体" w:eastAsia="宋体"/>
                <w:sz w:val="16"/>
              </w:rPr>
              <w:t>得分</w:t>
            </w:r>
          </w:p>
        </w:tc>
      </w:tr>
      <w:tr w14:paraId="7345EE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8FD98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0331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F0209">
            <w:pPr>
              <w:jc w:val="center"/>
            </w:pPr>
            <w:r>
              <w:rPr>
                <w:rFonts w:ascii="宋体" w:hAnsi="宋体" w:eastAsia="宋体"/>
                <w:sz w:val="16"/>
              </w:rPr>
              <w:t>110.67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286CD">
            <w:pPr>
              <w:jc w:val="center"/>
            </w:pPr>
            <w:r>
              <w:rPr>
                <w:rFonts w:ascii="宋体" w:hAnsi="宋体" w:eastAsia="宋体"/>
                <w:sz w:val="16"/>
              </w:rPr>
              <w:t>110.67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52439">
            <w:pPr>
              <w:jc w:val="center"/>
            </w:pPr>
            <w:r>
              <w:rPr>
                <w:rFonts w:ascii="宋体" w:hAnsi="宋体" w:eastAsia="宋体"/>
                <w:sz w:val="16"/>
              </w:rPr>
              <w:t>110.42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E796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EB5283">
            <w:pPr>
              <w:jc w:val="center"/>
            </w:pPr>
            <w:r>
              <w:rPr>
                <w:rFonts w:ascii="宋体" w:hAnsi="宋体" w:eastAsia="宋体"/>
                <w:sz w:val="16"/>
              </w:rPr>
              <w:t>99.8%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D1440">
            <w:pPr>
              <w:jc w:val="center"/>
            </w:pPr>
            <w:r>
              <w:rPr>
                <w:rFonts w:ascii="宋体" w:hAnsi="宋体" w:eastAsia="宋体"/>
                <w:sz w:val="16"/>
              </w:rPr>
              <w:t>10.00分</w:t>
            </w:r>
          </w:p>
        </w:tc>
      </w:tr>
      <w:tr w14:paraId="71C73D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B605E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64BB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3E13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9589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B3CF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7C9D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0937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58F5F">
            <w:pPr>
              <w:jc w:val="center"/>
            </w:pPr>
            <w:r>
              <w:rPr>
                <w:rFonts w:ascii="宋体" w:hAnsi="宋体" w:eastAsia="宋体"/>
                <w:sz w:val="16"/>
              </w:rPr>
              <w:t>—</w:t>
            </w:r>
          </w:p>
        </w:tc>
      </w:tr>
      <w:tr w14:paraId="19FAB6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2D603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B2D42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1FFA90">
            <w:pPr>
              <w:jc w:val="center"/>
            </w:pPr>
            <w:r>
              <w:rPr>
                <w:rFonts w:ascii="宋体" w:hAnsi="宋体" w:eastAsia="宋体"/>
                <w:sz w:val="16"/>
              </w:rPr>
              <w:t>110.67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9385F5">
            <w:pPr>
              <w:jc w:val="center"/>
            </w:pPr>
            <w:r>
              <w:rPr>
                <w:rFonts w:ascii="宋体" w:hAnsi="宋体" w:eastAsia="宋体"/>
                <w:sz w:val="16"/>
              </w:rPr>
              <w:t>110.67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BF798">
            <w:pPr>
              <w:jc w:val="center"/>
            </w:pPr>
            <w:r>
              <w:rPr>
                <w:rFonts w:ascii="宋体" w:hAnsi="宋体" w:eastAsia="宋体"/>
                <w:sz w:val="16"/>
              </w:rPr>
              <w:t>110.42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50BE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5E19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32E06">
            <w:pPr>
              <w:jc w:val="center"/>
            </w:pPr>
            <w:r>
              <w:rPr>
                <w:rFonts w:ascii="宋体" w:hAnsi="宋体" w:eastAsia="宋体"/>
                <w:sz w:val="16"/>
              </w:rPr>
              <w:t>—</w:t>
            </w:r>
          </w:p>
        </w:tc>
      </w:tr>
      <w:tr w14:paraId="0AAC15C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9699B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E3942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75D721">
            <w:pPr>
              <w:jc w:val="center"/>
            </w:pPr>
            <w:r>
              <w:rPr>
                <w:rFonts w:ascii="宋体" w:hAnsi="宋体" w:eastAsia="宋体"/>
                <w:sz w:val="16"/>
              </w:rPr>
              <w:t>实际完成情况</w:t>
            </w:r>
          </w:p>
        </w:tc>
      </w:tr>
      <w:tr w14:paraId="3742E8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BFC23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8F180F">
            <w:pPr>
              <w:jc w:val="both"/>
            </w:pPr>
            <w:r>
              <w:rPr>
                <w:rFonts w:ascii="宋体" w:hAnsi="宋体" w:eastAsia="宋体"/>
                <w:sz w:val="16"/>
              </w:rPr>
              <w:t>为更好</w:t>
            </w:r>
            <w:r>
              <w:rPr>
                <w:rFonts w:hint="eastAsia" w:ascii="宋体" w:hAnsi="宋体"/>
                <w:sz w:val="16"/>
                <w:lang w:eastAsia="zh-CN"/>
              </w:rPr>
              <w:t>地</w:t>
            </w:r>
            <w:r>
              <w:rPr>
                <w:rFonts w:ascii="宋体" w:hAnsi="宋体" w:eastAsia="宋体"/>
                <w:sz w:val="16"/>
              </w:rPr>
              <w:t>开展纪检监察工作，提升纪检监察干部业务水平及工作能力，通过与援疆省市对接，2024年我单位预计举办2期纪检监察专业培训班，对新担任监察官、乡镇纪检监察干部、派驻（派出）机构纪检监察干部、纪检监察业务骨干等进行业务培训。通过各项业务培训学习，提升喀什地区纪检监察干部的业务能力和综合素质，提高履职效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CF66E1">
            <w:pPr>
              <w:jc w:val="both"/>
            </w:pPr>
            <w:r>
              <w:rPr>
                <w:rFonts w:ascii="宋体" w:hAnsi="宋体" w:eastAsia="宋体"/>
                <w:sz w:val="16"/>
              </w:rPr>
              <w:t>2024年以来，根据地区纪委监委培训实施计划及方案，我单位组织实施了纪检监察中山大学培训班和山东大学培训班各一期，产生培训费用110.42万元，参训人员包含地区纪委监委本级及县市纪委监委干部，学员能够严格按照管理制度，严格遵守纪律，按时参加每一堂课，取得了较好的成绩。通过培训的开展，增长了纪检监察业务知识，开拓了</w:t>
            </w:r>
            <w:r>
              <w:rPr>
                <w:rFonts w:hint="eastAsia" w:ascii="宋体" w:hAnsi="宋体"/>
                <w:sz w:val="16"/>
                <w:lang w:eastAsia="zh-CN"/>
              </w:rPr>
              <w:t>视野</w:t>
            </w:r>
            <w:r>
              <w:rPr>
                <w:rFonts w:ascii="宋体" w:hAnsi="宋体" w:eastAsia="宋体"/>
                <w:sz w:val="16"/>
              </w:rPr>
              <w:t>，有效提升喀什地区纪检监察干部的业务能力，综合素质和履职效能。</w:t>
            </w:r>
          </w:p>
        </w:tc>
      </w:tr>
      <w:tr w14:paraId="50085A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11CCD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130B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863C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0038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CB12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88BC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44F0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F604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72BA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D336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94DC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6D0B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913A1">
            <w:pPr>
              <w:jc w:val="center"/>
            </w:pPr>
            <w:r>
              <w:rPr>
                <w:rFonts w:ascii="宋体" w:hAnsi="宋体" w:eastAsia="宋体"/>
                <w:sz w:val="16"/>
              </w:rPr>
              <w:t>偏差原因分析及改进措施</w:t>
            </w:r>
          </w:p>
        </w:tc>
      </w:tr>
      <w:tr w14:paraId="4D4F57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85E13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552CC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5B6D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7AA7F">
            <w:pPr>
              <w:jc w:val="center"/>
            </w:pPr>
            <w:r>
              <w:rPr>
                <w:rFonts w:ascii="宋体" w:hAnsi="宋体" w:eastAsia="宋体"/>
                <w:sz w:val="16"/>
              </w:rPr>
              <w:t>办理培训班期次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2FBDB">
            <w:pPr>
              <w:jc w:val="center"/>
            </w:pPr>
            <w:r>
              <w:rPr>
                <w:rFonts w:ascii="宋体" w:hAnsi="宋体" w:eastAsia="宋体"/>
                <w:sz w:val="16"/>
              </w:rPr>
              <w:t>&gt;=2期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3CB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97C31">
            <w:pPr>
              <w:jc w:val="center"/>
            </w:pPr>
            <w:r>
              <w:rPr>
                <w:rFonts w:ascii="宋体" w:hAnsi="宋体" w:eastAsia="宋体"/>
                <w:sz w:val="16"/>
              </w:rPr>
              <w:t>2期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24F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4DB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9AC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69EE6">
            <w:pPr>
              <w:jc w:val="center"/>
            </w:pPr>
            <w:r>
              <w:rPr>
                <w:rFonts w:ascii="宋体" w:hAnsi="宋体" w:eastAsia="宋体"/>
                <w:sz w:val="16"/>
              </w:rPr>
              <w:t>=2期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218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4BFB0">
            <w:pPr>
              <w:jc w:val="center"/>
            </w:pPr>
          </w:p>
        </w:tc>
      </w:tr>
      <w:tr w14:paraId="40ABA4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6B91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5B826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05CE3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59D0D">
            <w:pPr>
              <w:jc w:val="center"/>
            </w:pPr>
            <w:r>
              <w:rPr>
                <w:rFonts w:ascii="宋体" w:hAnsi="宋体" w:eastAsia="宋体"/>
                <w:sz w:val="16"/>
              </w:rPr>
              <w:t>培训出勤率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70B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45E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7D9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B48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52AC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BD63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C0A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3BBD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57F7A">
            <w:pPr>
              <w:jc w:val="center"/>
            </w:pPr>
          </w:p>
        </w:tc>
      </w:tr>
      <w:tr w14:paraId="54C08F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46B6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E339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A88D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DDCE4">
            <w:pPr>
              <w:jc w:val="center"/>
            </w:pPr>
            <w:r>
              <w:rPr>
                <w:rFonts w:ascii="宋体" w:hAnsi="宋体" w:eastAsia="宋体"/>
                <w:sz w:val="16"/>
              </w:rPr>
              <w:t>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5F2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4D8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5B0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5BA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81E1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568C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7C8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36EC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B9505">
            <w:pPr>
              <w:jc w:val="center"/>
            </w:pPr>
          </w:p>
        </w:tc>
      </w:tr>
      <w:tr w14:paraId="1DC197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46BB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789B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9D0B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8D5E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C5B99">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ADB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CFE9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60F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108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12A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BE636">
            <w:pPr>
              <w:jc w:val="center"/>
            </w:pPr>
            <w:r>
              <w:rPr>
                <w:rFonts w:ascii="宋体" w:hAnsi="宋体" w:eastAsia="宋体"/>
                <w:sz w:val="16"/>
              </w:rPr>
              <w:t>=2024年11月29日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E51E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49C69">
            <w:pPr>
              <w:jc w:val="center"/>
            </w:pPr>
          </w:p>
        </w:tc>
      </w:tr>
      <w:tr w14:paraId="74F063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9C23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B92D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4733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E8716">
            <w:pPr>
              <w:jc w:val="center"/>
            </w:pPr>
            <w:r>
              <w:rPr>
                <w:rFonts w:ascii="宋体" w:hAnsi="宋体" w:eastAsia="宋体"/>
                <w:sz w:val="16"/>
              </w:rPr>
              <w:t>每期培训班平均支出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6CB91">
            <w:pPr>
              <w:jc w:val="center"/>
            </w:pPr>
            <w:r>
              <w:rPr>
                <w:rFonts w:ascii="宋体" w:hAnsi="宋体" w:eastAsia="宋体"/>
                <w:sz w:val="16"/>
              </w:rPr>
              <w:t>&lt;=55.34万元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9EF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FBC3D">
            <w:pPr>
              <w:jc w:val="center"/>
            </w:pPr>
            <w:r>
              <w:rPr>
                <w:rFonts w:ascii="宋体" w:hAnsi="宋体" w:eastAsia="宋体"/>
                <w:sz w:val="16"/>
              </w:rPr>
              <w:t>70.16万元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96DD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C57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582D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2EC3C">
            <w:pPr>
              <w:jc w:val="center"/>
            </w:pPr>
            <w:r>
              <w:rPr>
                <w:rFonts w:ascii="宋体" w:hAnsi="宋体" w:eastAsia="宋体"/>
                <w:sz w:val="16"/>
              </w:rPr>
              <w:t>=55.21万元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C60E2">
            <w:pPr>
              <w:jc w:val="center"/>
            </w:pPr>
            <w:r>
              <w:rPr>
                <w:rFonts w:ascii="宋体" w:hAnsi="宋体" w:eastAsia="宋体"/>
                <w:sz w:val="16"/>
              </w:rPr>
              <w:t>19.88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6A681">
            <w:pPr>
              <w:jc w:val="center"/>
            </w:pPr>
            <w:r>
              <w:rPr>
                <w:rFonts w:ascii="宋体" w:hAnsi="宋体" w:eastAsia="宋体"/>
                <w:sz w:val="16"/>
              </w:rPr>
              <w:t>偏差原因：根据培训项目实际产生支付相关费用，出现资金结余。采取措施：积极与援疆省市对接，将结余资金退回援疆指挥部。</w:t>
            </w:r>
          </w:p>
        </w:tc>
      </w:tr>
      <w:tr w14:paraId="476D4B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9BA8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5F9D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41B4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A7C84">
            <w:pPr>
              <w:jc w:val="center"/>
            </w:pPr>
            <w:r>
              <w:rPr>
                <w:rFonts w:ascii="宋体" w:hAnsi="宋体" w:eastAsia="宋体"/>
                <w:sz w:val="16"/>
              </w:rPr>
              <w:t>培训人员纪检监察履职效能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91D9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1CF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32EC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76F1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E106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704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F65B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EFB4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D88A2">
            <w:pPr>
              <w:jc w:val="center"/>
            </w:pPr>
          </w:p>
        </w:tc>
      </w:tr>
      <w:tr w14:paraId="380BFF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6479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C394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E112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ED847">
            <w:pPr>
              <w:jc w:val="center"/>
            </w:pPr>
            <w:r>
              <w:rPr>
                <w:rFonts w:ascii="宋体" w:hAnsi="宋体" w:eastAsia="宋体"/>
                <w:sz w:val="16"/>
              </w:rPr>
              <w:t>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8352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EAE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0F64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1FD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5D3F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9D8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BF07D">
            <w:pPr>
              <w:jc w:val="center"/>
            </w:pPr>
            <w:r>
              <w:rPr>
                <w:rFonts w:ascii="宋体" w:hAnsi="宋体" w:eastAsia="宋体"/>
                <w:sz w:val="16"/>
              </w:rPr>
              <w:t>=95.85%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E0C1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E7180">
            <w:pPr>
              <w:jc w:val="center"/>
            </w:pPr>
            <w:r>
              <w:rPr>
                <w:rFonts w:ascii="宋体" w:hAnsi="宋体" w:eastAsia="宋体"/>
                <w:sz w:val="16"/>
              </w:rPr>
              <w:t>偏差原因：满意度调查实际值为97.07%，高于预期指标。采取的措施：下年度相似项目合理编制绩效指标。</w:t>
            </w:r>
          </w:p>
        </w:tc>
      </w:tr>
      <w:tr w14:paraId="33806A9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054B5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3315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5A484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3DD5D">
            <w:pPr>
              <w:jc w:val="center"/>
            </w:pPr>
            <w:r>
              <w:rPr>
                <w:rFonts w:ascii="宋体" w:hAnsi="宋体" w:eastAsia="宋体"/>
                <w:sz w:val="16"/>
              </w:rPr>
              <w:t>99.88分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C60444A"/>
        </w:tc>
      </w:tr>
    </w:tbl>
    <w:p w14:paraId="44489B70">
      <w:r>
        <w:br w:type="page"/>
      </w:r>
    </w:p>
    <w:tbl>
      <w:tblPr>
        <w:tblStyle w:val="9"/>
        <w:tblW w:w="0" w:type="auto"/>
        <w:tblInd w:w="0" w:type="dxa"/>
        <w:tblLayout w:type="autofit"/>
        <w:tblCellMar>
          <w:top w:w="0" w:type="dxa"/>
          <w:left w:w="108" w:type="dxa"/>
          <w:bottom w:w="0" w:type="dxa"/>
          <w:right w:w="108" w:type="dxa"/>
        </w:tblCellMar>
      </w:tblPr>
      <w:tblGrid>
        <w:gridCol w:w="627"/>
        <w:gridCol w:w="618"/>
        <w:gridCol w:w="618"/>
        <w:gridCol w:w="618"/>
        <w:gridCol w:w="696"/>
        <w:gridCol w:w="618"/>
        <w:gridCol w:w="776"/>
        <w:gridCol w:w="622"/>
        <w:gridCol w:w="618"/>
        <w:gridCol w:w="618"/>
        <w:gridCol w:w="776"/>
        <w:gridCol w:w="631"/>
        <w:gridCol w:w="597"/>
        <w:gridCol w:w="627"/>
      </w:tblGrid>
      <w:tr w14:paraId="5ECFCD52">
        <w:tblPrEx>
          <w:tblCellMar>
            <w:top w:w="0" w:type="dxa"/>
            <w:left w:w="108" w:type="dxa"/>
            <w:bottom w:w="0" w:type="dxa"/>
            <w:right w:w="108" w:type="dxa"/>
          </w:tblCellMar>
        </w:tblPrEx>
        <w:tc>
          <w:tcPr>
            <w:tcW w:w="8848" w:type="dxa"/>
            <w:gridSpan w:val="14"/>
            <w:vAlign w:val="center"/>
          </w:tcPr>
          <w:p w14:paraId="52298F0E">
            <w:pPr>
              <w:jc w:val="center"/>
            </w:pPr>
            <w:r>
              <w:rPr>
                <w:rFonts w:ascii="宋体" w:hAnsi="宋体" w:eastAsia="宋体"/>
                <w:sz w:val="24"/>
              </w:rPr>
              <w:t>项目支出绩效自评表</w:t>
            </w:r>
          </w:p>
        </w:tc>
      </w:tr>
      <w:tr w14:paraId="0298D751">
        <w:tblPrEx>
          <w:tblCellMar>
            <w:top w:w="0" w:type="dxa"/>
            <w:left w:w="108" w:type="dxa"/>
            <w:bottom w:w="0" w:type="dxa"/>
            <w:right w:w="108" w:type="dxa"/>
          </w:tblCellMar>
        </w:tblPrEx>
        <w:tc>
          <w:tcPr>
            <w:tcW w:w="8848" w:type="dxa"/>
            <w:gridSpan w:val="14"/>
            <w:vAlign w:val="center"/>
          </w:tcPr>
          <w:p w14:paraId="07A175EC">
            <w:pPr>
              <w:jc w:val="center"/>
            </w:pPr>
            <w:r>
              <w:rPr>
                <w:rFonts w:ascii="宋体" w:hAnsi="宋体" w:eastAsia="宋体"/>
                <w:sz w:val="24"/>
              </w:rPr>
              <w:t>(2024年度)</w:t>
            </w:r>
          </w:p>
        </w:tc>
      </w:tr>
      <w:tr w14:paraId="569B2A8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6779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3F6E9DD">
            <w:pPr>
              <w:jc w:val="center"/>
            </w:pPr>
            <w:r>
              <w:rPr>
                <w:rFonts w:ascii="宋体" w:hAnsi="宋体" w:eastAsia="宋体"/>
                <w:sz w:val="16"/>
              </w:rPr>
              <w:t>2024年度自治区援疆干部人才南疆工作补贴项目</w:t>
            </w:r>
          </w:p>
        </w:tc>
      </w:tr>
      <w:tr w14:paraId="6902421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4909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AF23EC">
            <w:pPr>
              <w:jc w:val="center"/>
            </w:pPr>
            <w:r>
              <w:rPr>
                <w:rFonts w:ascii="宋体" w:hAnsi="宋体" w:eastAsia="宋体"/>
                <w:sz w:val="16"/>
              </w:rPr>
              <w:t>中共喀什地区纪律检查委员会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FA52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A7A64FA">
            <w:pPr>
              <w:jc w:val="center"/>
            </w:pPr>
            <w:r>
              <w:rPr>
                <w:rFonts w:ascii="宋体" w:hAnsi="宋体" w:eastAsia="宋体"/>
                <w:sz w:val="16"/>
              </w:rPr>
              <w:t>中共喀什地区纪律检查委员会</w:t>
            </w:r>
          </w:p>
        </w:tc>
      </w:tr>
      <w:tr w14:paraId="73EC124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1D43C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3F85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1FBD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A98F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ACCD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FF07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C982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EFFF2">
            <w:pPr>
              <w:jc w:val="center"/>
            </w:pPr>
            <w:r>
              <w:rPr>
                <w:rFonts w:ascii="宋体" w:hAnsi="宋体" w:eastAsia="宋体"/>
                <w:sz w:val="16"/>
              </w:rPr>
              <w:t>得分</w:t>
            </w:r>
          </w:p>
        </w:tc>
      </w:tr>
      <w:tr w14:paraId="0CE7F3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6FF78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B0F6F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82CC46">
            <w:pPr>
              <w:jc w:val="center"/>
            </w:pPr>
            <w:r>
              <w:rPr>
                <w:rFonts w:ascii="宋体" w:hAnsi="宋体" w:eastAsia="宋体"/>
                <w:sz w:val="16"/>
              </w:rPr>
              <w:t>4.32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BA142">
            <w:pPr>
              <w:jc w:val="center"/>
            </w:pPr>
            <w:r>
              <w:rPr>
                <w:rFonts w:ascii="宋体" w:hAnsi="宋体" w:eastAsia="宋体"/>
                <w:sz w:val="16"/>
              </w:rPr>
              <w:t>4.32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6DCB4">
            <w:pPr>
              <w:jc w:val="center"/>
            </w:pPr>
            <w:r>
              <w:rPr>
                <w:rFonts w:ascii="宋体" w:hAnsi="宋体" w:eastAsia="宋体"/>
                <w:sz w:val="16"/>
              </w:rPr>
              <w:t>3.84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70A5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0AE59">
            <w:pPr>
              <w:jc w:val="center"/>
            </w:pPr>
            <w:r>
              <w:rPr>
                <w:rFonts w:ascii="宋体" w:hAnsi="宋体" w:eastAsia="宋体"/>
                <w:sz w:val="16"/>
              </w:rPr>
              <w:t>88.9%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CC65B">
            <w:pPr>
              <w:jc w:val="center"/>
            </w:pPr>
            <w:r>
              <w:rPr>
                <w:rFonts w:ascii="宋体" w:hAnsi="宋体" w:eastAsia="宋体"/>
                <w:sz w:val="16"/>
              </w:rPr>
              <w:t>7.22分</w:t>
            </w:r>
          </w:p>
        </w:tc>
      </w:tr>
      <w:tr w14:paraId="7568D8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95519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D673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067D0A">
            <w:pPr>
              <w:jc w:val="center"/>
            </w:pPr>
            <w:r>
              <w:rPr>
                <w:rFonts w:ascii="宋体" w:hAnsi="宋体" w:eastAsia="宋体"/>
                <w:sz w:val="16"/>
              </w:rPr>
              <w:t>4.32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F72AF8">
            <w:pPr>
              <w:jc w:val="center"/>
            </w:pPr>
            <w:r>
              <w:rPr>
                <w:rFonts w:ascii="宋体" w:hAnsi="宋体" w:eastAsia="宋体"/>
                <w:sz w:val="16"/>
              </w:rPr>
              <w:t>4.32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3DEED">
            <w:pPr>
              <w:jc w:val="center"/>
            </w:pPr>
            <w:r>
              <w:rPr>
                <w:rFonts w:ascii="宋体" w:hAnsi="宋体" w:eastAsia="宋体"/>
                <w:sz w:val="16"/>
              </w:rPr>
              <w:t>3.84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EE40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4EB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8FA8C">
            <w:pPr>
              <w:jc w:val="center"/>
            </w:pPr>
            <w:r>
              <w:rPr>
                <w:rFonts w:ascii="宋体" w:hAnsi="宋体" w:eastAsia="宋体"/>
                <w:sz w:val="16"/>
              </w:rPr>
              <w:t>—</w:t>
            </w:r>
          </w:p>
        </w:tc>
      </w:tr>
      <w:tr w14:paraId="36AD12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9B50E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7050A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6BBB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E2B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4E7E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46C83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DB1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35A29">
            <w:pPr>
              <w:jc w:val="center"/>
            </w:pPr>
            <w:r>
              <w:rPr>
                <w:rFonts w:ascii="宋体" w:hAnsi="宋体" w:eastAsia="宋体"/>
                <w:sz w:val="16"/>
              </w:rPr>
              <w:t>—</w:t>
            </w:r>
          </w:p>
        </w:tc>
      </w:tr>
      <w:tr w14:paraId="1220E69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1DA9F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27536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99DE50C">
            <w:pPr>
              <w:jc w:val="center"/>
            </w:pPr>
            <w:r>
              <w:rPr>
                <w:rFonts w:ascii="宋体" w:hAnsi="宋体" w:eastAsia="宋体"/>
                <w:sz w:val="16"/>
              </w:rPr>
              <w:t>实际完成情况</w:t>
            </w:r>
          </w:p>
        </w:tc>
      </w:tr>
      <w:tr w14:paraId="02DD85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9EFA7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D465AE">
            <w:pPr>
              <w:jc w:val="both"/>
            </w:pPr>
            <w:r>
              <w:rPr>
                <w:rFonts w:ascii="宋体" w:hAnsi="宋体" w:eastAsia="宋体"/>
                <w:sz w:val="16"/>
              </w:rPr>
              <w:t>为增强援疆人才的归属感，为喀什地区纪检监察事业传送经验，为我单位3名援疆干部拨付南疆工作补贴4.32万元，有效促进喀什纪检监察更好的发展。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017651">
            <w:pPr>
              <w:jc w:val="both"/>
            </w:pPr>
            <w:r>
              <w:rPr>
                <w:rFonts w:ascii="宋体" w:hAnsi="宋体" w:eastAsia="宋体"/>
                <w:sz w:val="16"/>
              </w:rPr>
              <w:t>2024年以来，为了充分体现对援疆干部人才的关心厚爱，喀什地区财政按照《自治区援疆干部人才南疆地区补贴资金管理暂行办法》为我单位拨付2024年度援疆干部人才南疆工作补贴4.32万元。我单位根据3名援疆干部职务职级按标准每月足额发放全年援疆干部人才南疆补贴0.32万元，全年共计3.84万元。通过项目的实施，进一步增强了各位援疆干部的归属感，激发了他们建设新疆、奉献新疆的干事创业热情。从而更好地为喀什地区纪检监察事业传经送宝，促进喀什纪检监察事业更好</w:t>
            </w:r>
            <w:r>
              <w:rPr>
                <w:rFonts w:hint="eastAsia" w:ascii="宋体" w:hAnsi="宋体"/>
                <w:sz w:val="16"/>
                <w:lang w:eastAsia="zh-CN"/>
              </w:rPr>
              <w:t>地</w:t>
            </w:r>
            <w:r>
              <w:rPr>
                <w:rFonts w:ascii="宋体" w:hAnsi="宋体" w:eastAsia="宋体"/>
                <w:sz w:val="16"/>
              </w:rPr>
              <w:t>发展。</w:t>
            </w:r>
          </w:p>
        </w:tc>
      </w:tr>
      <w:tr w14:paraId="499A8C4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48962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E1F7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936B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F366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DC26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C052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D4FE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4D59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2C1C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0AE9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6D6A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AB78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80673D">
            <w:pPr>
              <w:jc w:val="center"/>
            </w:pPr>
            <w:r>
              <w:rPr>
                <w:rFonts w:ascii="宋体" w:hAnsi="宋体" w:eastAsia="宋体"/>
                <w:sz w:val="16"/>
              </w:rPr>
              <w:t>偏差原因分析及改进措施</w:t>
            </w:r>
          </w:p>
        </w:tc>
      </w:tr>
      <w:tr w14:paraId="357FEB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91479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14AF4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D39AB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F15D1">
            <w:pPr>
              <w:jc w:val="center"/>
            </w:pPr>
            <w:r>
              <w:rPr>
                <w:rFonts w:ascii="宋体" w:hAnsi="宋体" w:eastAsia="宋体"/>
                <w:sz w:val="16"/>
              </w:rPr>
              <w:t>援疆干部人数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93E00">
            <w:pPr>
              <w:jc w:val="center"/>
            </w:pPr>
            <w:r>
              <w:rPr>
                <w:rFonts w:ascii="宋体" w:hAnsi="宋体" w:eastAsia="宋体"/>
                <w:sz w:val="16"/>
              </w:rPr>
              <w:t>&gt;=3人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840C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756A7">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822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32E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29E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1EE14">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2C1E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6F67B">
            <w:pPr>
              <w:jc w:val="center"/>
            </w:pPr>
          </w:p>
        </w:tc>
      </w:tr>
      <w:tr w14:paraId="457846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F507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D7D1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1C8B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B4198">
            <w:pPr>
              <w:jc w:val="center"/>
            </w:pPr>
            <w:r>
              <w:rPr>
                <w:rFonts w:ascii="宋体" w:hAnsi="宋体" w:eastAsia="宋体"/>
                <w:sz w:val="16"/>
              </w:rPr>
              <w:t>发放补助月数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5D1D2">
            <w:pPr>
              <w:jc w:val="center"/>
            </w:pPr>
            <w:r>
              <w:rPr>
                <w:rFonts w:ascii="宋体" w:hAnsi="宋体" w:eastAsia="宋体"/>
                <w:sz w:val="16"/>
              </w:rPr>
              <w:t>&gt;=12个月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0111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FDD0D">
            <w:pPr>
              <w:jc w:val="center"/>
            </w:pPr>
            <w:r>
              <w:rPr>
                <w:rFonts w:ascii="宋体" w:hAnsi="宋体" w:eastAsia="宋体"/>
                <w:sz w:val="16"/>
              </w:rPr>
              <w:t>=8个月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5565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A08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403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159F4">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A778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60685">
            <w:pPr>
              <w:jc w:val="center"/>
            </w:pPr>
          </w:p>
        </w:tc>
      </w:tr>
      <w:tr w14:paraId="67B650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A740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BC7C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5D90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94A9C">
            <w:pPr>
              <w:jc w:val="center"/>
            </w:pPr>
            <w:r>
              <w:rPr>
                <w:rFonts w:ascii="宋体" w:hAnsi="宋体" w:eastAsia="宋体"/>
                <w:sz w:val="16"/>
              </w:rPr>
              <w:t>补助发放覆盖率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1E2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5A7C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39E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656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A5AE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D29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95C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2152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A1B1E">
            <w:pPr>
              <w:jc w:val="center"/>
            </w:pPr>
          </w:p>
        </w:tc>
      </w:tr>
      <w:tr w14:paraId="71AC49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02A5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0CEA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307B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3025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35F88">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C020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5892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B64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9C5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85F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72FDC">
            <w:pPr>
              <w:jc w:val="center"/>
            </w:pPr>
            <w:r>
              <w:rPr>
                <w:rFonts w:ascii="宋体" w:hAnsi="宋体" w:eastAsia="宋体"/>
                <w:sz w:val="16"/>
              </w:rPr>
              <w:t>2024年12月6日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2E10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E3B353">
            <w:pPr>
              <w:jc w:val="center"/>
            </w:pPr>
          </w:p>
        </w:tc>
      </w:tr>
      <w:tr w14:paraId="4C0E3E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EA63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C051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F7DF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C93F8">
            <w:pPr>
              <w:jc w:val="center"/>
            </w:pPr>
            <w:r>
              <w:rPr>
                <w:rFonts w:ascii="宋体" w:hAnsi="宋体" w:eastAsia="宋体"/>
                <w:sz w:val="16"/>
              </w:rPr>
              <w:t>月人均发放金额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AA1CA">
            <w:pPr>
              <w:jc w:val="center"/>
            </w:pPr>
            <w:r>
              <w:rPr>
                <w:rFonts w:ascii="宋体" w:hAnsi="宋体" w:eastAsia="宋体"/>
                <w:sz w:val="16"/>
              </w:rPr>
              <w:t>&lt;=0.12万元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A6A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5B534">
            <w:pPr>
              <w:jc w:val="center"/>
            </w:pPr>
            <w:r>
              <w:rPr>
                <w:rFonts w:ascii="宋体" w:hAnsi="宋体" w:eastAsia="宋体"/>
                <w:sz w:val="16"/>
              </w:rPr>
              <w:t>=0.11万元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4908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85F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11A5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BB658">
            <w:pPr>
              <w:jc w:val="center"/>
            </w:pPr>
            <w:r>
              <w:rPr>
                <w:rFonts w:ascii="宋体" w:hAnsi="宋体" w:eastAsia="宋体"/>
                <w:sz w:val="16"/>
              </w:rPr>
              <w:t>=0.11万元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F38BE">
            <w:pPr>
              <w:jc w:val="center"/>
            </w:pPr>
            <w:r>
              <w:rPr>
                <w:rFonts w:ascii="宋体" w:hAnsi="宋体" w:eastAsia="宋体"/>
                <w:sz w:val="16"/>
              </w:rPr>
              <w:t>15.84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9D130">
            <w:pPr>
              <w:jc w:val="center"/>
            </w:pPr>
            <w:r>
              <w:rPr>
                <w:rFonts w:ascii="宋体" w:hAnsi="宋体" w:eastAsia="宋体"/>
                <w:sz w:val="16"/>
              </w:rPr>
              <w:t>偏差原因：项目资金根据援疆人员职务职级标准足额进行发放至2024年12月，实际月人均发放金额为0.11万元。改进措施：按照职务职级足额发放相关费用。</w:t>
            </w:r>
          </w:p>
        </w:tc>
      </w:tr>
      <w:tr w14:paraId="790505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8B88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17FD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A211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8BDD0">
            <w:pPr>
              <w:jc w:val="center"/>
            </w:pPr>
            <w:r>
              <w:rPr>
                <w:rFonts w:ascii="宋体" w:hAnsi="宋体" w:eastAsia="宋体"/>
                <w:sz w:val="16"/>
              </w:rPr>
              <w:t>履职保障能力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B806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960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4390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1F85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3B55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825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D133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6C88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DE3C46">
            <w:pPr>
              <w:jc w:val="center"/>
            </w:pPr>
          </w:p>
        </w:tc>
      </w:tr>
      <w:tr w14:paraId="3C7907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4A23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469E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0154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A43C6">
            <w:pPr>
              <w:jc w:val="center"/>
            </w:pPr>
            <w:r>
              <w:rPr>
                <w:rFonts w:ascii="宋体" w:hAnsi="宋体" w:eastAsia="宋体"/>
                <w:sz w:val="16"/>
              </w:rPr>
              <w:t>对援疆干部指导的满意度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2F312">
            <w:pPr>
              <w:jc w:val="center"/>
            </w:pPr>
            <w:r>
              <w:rPr>
                <w:rFonts w:ascii="宋体" w:hAnsi="宋体" w:eastAsia="宋体"/>
                <w:sz w:val="16"/>
              </w:rPr>
              <w:t>&gt;=99%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04E3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C4797">
            <w:pPr>
              <w:jc w:val="center"/>
            </w:pPr>
            <w:r>
              <w:rPr>
                <w:rFonts w:ascii="宋体" w:hAnsi="宋体" w:eastAsia="宋体"/>
                <w:sz w:val="16"/>
              </w:rPr>
              <w:t>=98.49%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8B1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D944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DF6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5D0F3">
            <w:pPr>
              <w:jc w:val="center"/>
            </w:pPr>
            <w:r>
              <w:rPr>
                <w:rFonts w:ascii="宋体" w:hAnsi="宋体" w:eastAsia="宋体"/>
                <w:sz w:val="16"/>
              </w:rPr>
              <w:t>=98.86%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7421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F2ACB">
            <w:pPr>
              <w:jc w:val="center"/>
            </w:pPr>
            <w:r>
              <w:rPr>
                <w:rFonts w:ascii="宋体" w:hAnsi="宋体" w:eastAsia="宋体"/>
                <w:sz w:val="16"/>
              </w:rPr>
              <w:t>偏差原因：满意度指标年初设置较低导致指标实际完成值超出预期指标。改进措施：以后年度根据指标实际情况设置绩效目标值。</w:t>
            </w:r>
          </w:p>
        </w:tc>
      </w:tr>
      <w:tr w14:paraId="79ABEBF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1CAD1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54E1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01348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6E044">
            <w:pPr>
              <w:jc w:val="center"/>
            </w:pPr>
            <w:r>
              <w:rPr>
                <w:rFonts w:ascii="宋体" w:hAnsi="宋体" w:eastAsia="宋体"/>
                <w:sz w:val="16"/>
              </w:rPr>
              <w:t>93.06分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7F40DD3"/>
        </w:tc>
      </w:tr>
    </w:tbl>
    <w:p w14:paraId="4D2BE3E2">
      <w:r>
        <w:br w:type="page"/>
      </w:r>
    </w:p>
    <w:p w14:paraId="31B365B5">
      <w:pPr>
        <w:spacing w:line="640" w:lineRule="exact"/>
        <w:ind w:firstLine="640"/>
        <w:jc w:val="both"/>
        <w:outlineLvl w:val="2"/>
      </w:pPr>
      <w:r>
        <w:rPr>
          <w:rFonts w:ascii="黑体" w:hAnsi="黑体" w:eastAsia="黑体"/>
          <w:sz w:val="32"/>
        </w:rPr>
        <w:t>十二、其他需说明的事项</w:t>
      </w:r>
    </w:p>
    <w:p w14:paraId="44B74174">
      <w:pPr>
        <w:spacing w:line="580" w:lineRule="exact"/>
        <w:ind w:firstLine="640"/>
        <w:jc w:val="both"/>
      </w:pPr>
      <w:r>
        <w:rPr>
          <w:rFonts w:ascii="仿宋_GB2312" w:hAnsi="仿宋_GB2312" w:eastAsia="仿宋_GB2312"/>
          <w:b w:val="0"/>
          <w:sz w:val="32"/>
        </w:rPr>
        <w:t>本年</w:t>
      </w:r>
      <w:r>
        <w:rPr>
          <w:rFonts w:hint="eastAsia" w:ascii="仿宋_GB2312" w:hAnsi="仿宋_GB2312" w:eastAsia="仿宋_GB2312"/>
          <w:b w:val="0"/>
          <w:sz w:val="32"/>
          <w:lang w:val="en-US" w:eastAsia="zh-CN"/>
        </w:rPr>
        <w:t>涉密</w:t>
      </w:r>
      <w:r>
        <w:rPr>
          <w:rFonts w:ascii="仿宋_GB2312" w:hAnsi="仿宋_GB2312" w:eastAsia="仿宋_GB2312"/>
          <w:b w:val="0"/>
          <w:sz w:val="32"/>
        </w:rPr>
        <w:t>项目10个，全年预算数3073.22万元，全年执行数3073.22万元。</w:t>
      </w:r>
      <w:bookmarkStart w:id="0" w:name="_GoBack"/>
      <w:bookmarkEnd w:id="0"/>
    </w:p>
    <w:p w14:paraId="792700CA">
      <w:r>
        <w:br w:type="page"/>
      </w:r>
    </w:p>
    <w:p w14:paraId="0543F8F0">
      <w:pPr>
        <w:spacing w:line="240" w:lineRule="auto"/>
        <w:jc w:val="center"/>
        <w:outlineLvl w:val="1"/>
      </w:pPr>
      <w:r>
        <w:rPr>
          <w:rFonts w:ascii="黑体" w:hAnsi="黑体" w:eastAsia="黑体"/>
          <w:sz w:val="32"/>
        </w:rPr>
        <w:t>第三部分 专业名词解释</w:t>
      </w:r>
    </w:p>
    <w:p w14:paraId="0B76504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490163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9FBE7E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4051C8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607BC5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9B5752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7CDEFEC">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FCCDB2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09884C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489DDB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B473182">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1D4E829">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40D00B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2277EC3">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3525B97">
      <w:r>
        <w:br w:type="page"/>
      </w:r>
    </w:p>
    <w:p w14:paraId="26861B34">
      <w:pPr>
        <w:spacing w:line="240" w:lineRule="auto"/>
        <w:jc w:val="center"/>
        <w:outlineLvl w:val="1"/>
      </w:pPr>
      <w:r>
        <w:rPr>
          <w:rFonts w:ascii="黑体" w:hAnsi="黑体" w:eastAsia="黑体"/>
          <w:sz w:val="32"/>
        </w:rPr>
        <w:t>第四部分 部门决算报表（见附表）</w:t>
      </w:r>
    </w:p>
    <w:p w14:paraId="1E2BA017">
      <w:pPr>
        <w:spacing w:line="240" w:lineRule="auto"/>
        <w:ind w:firstLine="640"/>
        <w:jc w:val="both"/>
      </w:pPr>
      <w:r>
        <w:rPr>
          <w:rFonts w:ascii="仿宋_GB2312" w:hAnsi="仿宋_GB2312" w:eastAsia="仿宋_GB2312"/>
          <w:b w:val="0"/>
          <w:sz w:val="32"/>
        </w:rPr>
        <w:t>一、《收入支出决算总表》</w:t>
      </w:r>
    </w:p>
    <w:p w14:paraId="17C251E3">
      <w:pPr>
        <w:spacing w:line="240" w:lineRule="auto"/>
        <w:ind w:firstLine="640"/>
        <w:jc w:val="both"/>
      </w:pPr>
      <w:r>
        <w:rPr>
          <w:rFonts w:ascii="仿宋_GB2312" w:hAnsi="仿宋_GB2312" w:eastAsia="仿宋_GB2312"/>
          <w:b w:val="0"/>
          <w:sz w:val="32"/>
        </w:rPr>
        <w:t>二、《收入决算表》</w:t>
      </w:r>
    </w:p>
    <w:p w14:paraId="297C54E3">
      <w:pPr>
        <w:spacing w:line="240" w:lineRule="auto"/>
        <w:ind w:firstLine="640"/>
        <w:jc w:val="both"/>
      </w:pPr>
      <w:r>
        <w:rPr>
          <w:rFonts w:ascii="仿宋_GB2312" w:hAnsi="仿宋_GB2312" w:eastAsia="仿宋_GB2312"/>
          <w:b w:val="0"/>
          <w:sz w:val="32"/>
        </w:rPr>
        <w:t>三、《支出决算表》</w:t>
      </w:r>
    </w:p>
    <w:p w14:paraId="6DCD73E6">
      <w:pPr>
        <w:spacing w:line="240" w:lineRule="auto"/>
        <w:ind w:firstLine="640"/>
        <w:jc w:val="both"/>
      </w:pPr>
      <w:r>
        <w:rPr>
          <w:rFonts w:ascii="仿宋_GB2312" w:hAnsi="仿宋_GB2312" w:eastAsia="仿宋_GB2312"/>
          <w:b w:val="0"/>
          <w:sz w:val="32"/>
        </w:rPr>
        <w:t>四、《财政拨款收入支出决算总表》</w:t>
      </w:r>
    </w:p>
    <w:p w14:paraId="32091AE5">
      <w:pPr>
        <w:spacing w:line="240" w:lineRule="auto"/>
        <w:ind w:firstLine="640"/>
        <w:jc w:val="both"/>
      </w:pPr>
      <w:r>
        <w:rPr>
          <w:rFonts w:ascii="仿宋_GB2312" w:hAnsi="仿宋_GB2312" w:eastAsia="仿宋_GB2312"/>
          <w:b w:val="0"/>
          <w:sz w:val="32"/>
        </w:rPr>
        <w:t>五、《一般公共预算财政拨款支出决算表》</w:t>
      </w:r>
    </w:p>
    <w:p w14:paraId="133E52C3">
      <w:pPr>
        <w:spacing w:line="240" w:lineRule="auto"/>
        <w:ind w:firstLine="640"/>
        <w:jc w:val="both"/>
      </w:pPr>
      <w:r>
        <w:rPr>
          <w:rFonts w:ascii="仿宋_GB2312" w:hAnsi="仿宋_GB2312" w:eastAsia="仿宋_GB2312"/>
          <w:b w:val="0"/>
          <w:sz w:val="32"/>
        </w:rPr>
        <w:t>六、《一般公共预算财政拨款基本支出决算表》</w:t>
      </w:r>
    </w:p>
    <w:p w14:paraId="657D4D9A">
      <w:pPr>
        <w:spacing w:line="240" w:lineRule="auto"/>
        <w:ind w:firstLine="640"/>
        <w:jc w:val="both"/>
      </w:pPr>
      <w:r>
        <w:rPr>
          <w:rFonts w:ascii="仿宋_GB2312" w:hAnsi="仿宋_GB2312" w:eastAsia="仿宋_GB2312"/>
          <w:b w:val="0"/>
          <w:sz w:val="32"/>
        </w:rPr>
        <w:t>七、《政府性基金预算财政拨款收入支出决算表》</w:t>
      </w:r>
    </w:p>
    <w:p w14:paraId="2B5A0BB1">
      <w:pPr>
        <w:spacing w:line="240" w:lineRule="auto"/>
        <w:ind w:firstLine="640"/>
        <w:jc w:val="both"/>
      </w:pPr>
      <w:r>
        <w:rPr>
          <w:rFonts w:ascii="仿宋_GB2312" w:hAnsi="仿宋_GB2312" w:eastAsia="仿宋_GB2312"/>
          <w:b w:val="0"/>
          <w:sz w:val="32"/>
        </w:rPr>
        <w:t>八、《国有资本经营预算财政拨款收入支出决算表》</w:t>
      </w:r>
    </w:p>
    <w:p w14:paraId="6E7039C0">
      <w:pPr>
        <w:spacing w:line="240" w:lineRule="auto"/>
        <w:ind w:firstLine="640"/>
        <w:jc w:val="both"/>
      </w:pPr>
      <w:r>
        <w:rPr>
          <w:rFonts w:ascii="仿宋_GB2312" w:hAnsi="仿宋_GB2312" w:eastAsia="仿宋_GB2312"/>
          <w:b w:val="0"/>
          <w:sz w:val="32"/>
        </w:rPr>
        <w:t>九、《财政拨款“三公”经费支出决算表》</w:t>
      </w:r>
    </w:p>
    <w:p w14:paraId="454BA457">
      <w:pPr>
        <w:spacing w:line="240" w:lineRule="auto"/>
        <w:ind w:firstLine="640"/>
        <w:jc w:val="both"/>
      </w:pPr>
    </w:p>
    <w:p w14:paraId="4A5191A3">
      <w:pPr>
        <w:spacing w:line="240" w:lineRule="auto"/>
        <w:ind w:firstLine="640"/>
        <w:jc w:val="both"/>
      </w:pPr>
    </w:p>
    <w:p w14:paraId="5BDF3A7F">
      <w:pPr>
        <w:spacing w:line="240" w:lineRule="auto"/>
        <w:ind w:firstLine="640"/>
        <w:jc w:val="both"/>
      </w:pPr>
    </w:p>
    <w:p w14:paraId="68D97812">
      <w:pPr>
        <w:spacing w:line="240" w:lineRule="auto"/>
        <w:ind w:firstLine="640"/>
        <w:jc w:val="both"/>
      </w:pPr>
    </w:p>
    <w:p w14:paraId="0DFEA93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958F665-0210-4459-B38A-75EE792E834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F95F206E-3B88-48C1-AEF1-ABF4FD551025}"/>
  </w:font>
  <w:font w:name="方正小标宋_GBK">
    <w:panose1 w:val="02000000000000000000"/>
    <w:charset w:val="86"/>
    <w:family w:val="script"/>
    <w:pitch w:val="default"/>
    <w:sig w:usb0="A00002BF" w:usb1="38CF7CFA" w:usb2="00082016" w:usb3="00000000" w:csb0="00040001" w:csb1="00000000"/>
    <w:embedRegular r:id="rId3" w:fontKey="{17C121D7-B24D-4191-BB33-BF50E445FD45}"/>
  </w:font>
  <w:font w:name="楷体_GB2312">
    <w:altName w:val="楷体"/>
    <w:panose1 w:val="02010609030101010101"/>
    <w:charset w:val="86"/>
    <w:family w:val="auto"/>
    <w:pitch w:val="default"/>
    <w:sig w:usb0="00000000" w:usb1="00000000" w:usb2="00000000" w:usb3="00000000" w:csb0="00040000" w:csb1="00000000"/>
    <w:embedRegular r:id="rId4" w:fontKey="{23CB08E4-5D31-4CD9-9DDE-5C6CBBF8737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6974B8"/>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8D6C75"/>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6926</Words>
  <Characters>7944</Characters>
  <Lines>0</Lines>
  <Paragraphs>0</Paragraphs>
  <TotalTime>4</TotalTime>
  <ScaleCrop>false</ScaleCrop>
  <LinksUpToDate>false</LinksUpToDate>
  <CharactersWithSpaces>7952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2025-09-29T02:42:30Z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