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中共喀什地委党史办公室2024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5937F5D">
      <w:r>
        <w:br w:type="page"/>
      </w:r>
    </w:p>
    <w:p w14:paraId="3A77E87A">
      <w:pPr>
        <w:spacing w:line="640" w:lineRule="exact"/>
        <w:jc w:val="center"/>
        <w:outlineLvl w:val="1"/>
      </w:pPr>
      <w:r>
        <w:rPr>
          <w:rFonts w:ascii="黑体" w:hAnsi="黑体" w:eastAsia="黑体"/>
          <w:sz w:val="32"/>
        </w:rPr>
        <w:t>第一部分 单位概况</w:t>
      </w:r>
    </w:p>
    <w:p w14:paraId="43C18CC8">
      <w:pPr>
        <w:spacing w:line="640" w:lineRule="exact"/>
        <w:ind w:firstLine="640"/>
        <w:jc w:val="both"/>
        <w:outlineLvl w:val="2"/>
      </w:pPr>
      <w:r>
        <w:rPr>
          <w:rFonts w:ascii="黑体" w:hAnsi="黑体" w:eastAsia="黑体"/>
          <w:sz w:val="32"/>
        </w:rPr>
        <w:t>一、主要职能</w:t>
      </w:r>
    </w:p>
    <w:p w14:paraId="627FABA1">
      <w:pPr>
        <w:spacing w:line="580" w:lineRule="exact"/>
        <w:ind w:firstLine="640"/>
        <w:jc w:val="both"/>
      </w:pPr>
      <w:r>
        <w:rPr>
          <w:rFonts w:ascii="仿宋_GB2312" w:hAnsi="仿宋_GB2312" w:eastAsia="仿宋_GB2312"/>
          <w:sz w:val="32"/>
        </w:rPr>
        <w:t>地委史志办承担着贯彻执行党和国家及自治区有关党史、地方志工作的方针、政策和法规，组织、指导、督促和检查党史、地方志工作；拟定党史、地方志工作规划和编纂方案；组织编辑地方党史书籍、党史资料，组织编纂喀什地方志书、地方综合年鉴，并做好出版工作；搜集、保存党史、地方志文献和资料，组织整理旧史、旧志，推动党史、地方志理论研究；组织开发利用党史、地方志资源。运用党史、地方志资源和研究成果，为喀什地区的改革开放和现代化建设服务</w:t>
      </w:r>
      <w:r>
        <w:rPr>
          <w:rFonts w:hint="eastAsia" w:ascii="仿宋_GB2312" w:hAnsi="仿宋_GB2312" w:eastAsia="仿宋_GB2312"/>
          <w:sz w:val="32"/>
          <w:lang w:eastAsia="zh-CN"/>
        </w:rPr>
        <w:t>的职责</w:t>
      </w:r>
      <w:r>
        <w:rPr>
          <w:rFonts w:ascii="仿宋_GB2312" w:hAnsi="仿宋_GB2312" w:eastAsia="仿宋_GB2312"/>
          <w:sz w:val="32"/>
        </w:rPr>
        <w:t>。</w:t>
      </w:r>
    </w:p>
    <w:p w14:paraId="0287295B">
      <w:pPr>
        <w:spacing w:line="640" w:lineRule="exact"/>
        <w:ind w:firstLine="640"/>
        <w:jc w:val="both"/>
        <w:outlineLvl w:val="2"/>
      </w:pPr>
      <w:r>
        <w:rPr>
          <w:rFonts w:ascii="黑体" w:hAnsi="黑体" w:eastAsia="黑体"/>
          <w:sz w:val="32"/>
        </w:rPr>
        <w:t>二、机构设置及人员情况</w:t>
      </w:r>
    </w:p>
    <w:p w14:paraId="4F418A31">
      <w:pPr>
        <w:spacing w:line="580" w:lineRule="exact"/>
        <w:ind w:firstLine="640"/>
        <w:jc w:val="both"/>
      </w:pPr>
      <w:r>
        <w:rPr>
          <w:rFonts w:ascii="仿宋_GB2312" w:hAnsi="仿宋_GB2312" w:eastAsia="仿宋_GB2312"/>
          <w:sz w:val="32"/>
        </w:rPr>
        <w:t>中共喀什地委党史办公室2024年度，实有人数23人，其中：在职人员9人，减少1人；离休人员0人，增加0人；退休人员14人,增加4人。</w:t>
      </w:r>
    </w:p>
    <w:p w14:paraId="522BF3DA">
      <w:pPr>
        <w:spacing w:line="580" w:lineRule="exact"/>
        <w:ind w:firstLine="640"/>
        <w:jc w:val="both"/>
      </w:pPr>
      <w:r>
        <w:rPr>
          <w:rFonts w:ascii="仿宋_GB2312" w:hAnsi="仿宋_GB2312" w:eastAsia="仿宋_GB2312"/>
          <w:sz w:val="32"/>
        </w:rPr>
        <w:t>中共喀什地委党史办公室无下属预算单位，下设4个科室，分别是：办公室、党史工作科、地方志工作科、综合年鉴科。</w:t>
      </w:r>
    </w:p>
    <w:p w14:paraId="75C9764B">
      <w:r>
        <w:br w:type="page"/>
      </w:r>
    </w:p>
    <w:p w14:paraId="16C400CB">
      <w:pPr>
        <w:spacing w:line="240" w:lineRule="auto"/>
        <w:jc w:val="center"/>
        <w:outlineLvl w:val="1"/>
      </w:pPr>
      <w:r>
        <w:rPr>
          <w:rFonts w:ascii="黑体" w:hAnsi="黑体" w:eastAsia="黑体"/>
          <w:sz w:val="32"/>
        </w:rPr>
        <w:t>第二部分 部门决算情况说明</w:t>
      </w:r>
    </w:p>
    <w:p w14:paraId="4DBBE8D7">
      <w:pPr>
        <w:spacing w:line="640" w:lineRule="exact"/>
        <w:ind w:firstLine="640"/>
        <w:jc w:val="both"/>
        <w:outlineLvl w:val="2"/>
      </w:pPr>
      <w:r>
        <w:rPr>
          <w:rFonts w:ascii="黑体" w:hAnsi="黑体" w:eastAsia="黑体"/>
          <w:sz w:val="32"/>
        </w:rPr>
        <w:t>一、收入支出决算总体情况说明</w:t>
      </w:r>
    </w:p>
    <w:p w14:paraId="1E2EC018">
      <w:pPr>
        <w:spacing w:line="580" w:lineRule="exact"/>
        <w:ind w:firstLine="640"/>
        <w:jc w:val="both"/>
      </w:pPr>
      <w:r>
        <w:rPr>
          <w:rFonts w:ascii="仿宋_GB2312" w:hAnsi="仿宋_GB2312" w:eastAsia="仿宋_GB2312"/>
          <w:b/>
          <w:sz w:val="32"/>
        </w:rPr>
        <w:t>2024年度收入总计391.93万元，</w:t>
      </w:r>
      <w:r>
        <w:rPr>
          <w:rFonts w:ascii="仿宋_GB2312" w:hAnsi="仿宋_GB2312" w:eastAsia="仿宋_GB2312"/>
          <w:b w:val="0"/>
          <w:sz w:val="32"/>
        </w:rPr>
        <w:t>其中：本年收入合计391.93万元，使用非财政拨款结余（含专用结余）0.00万元，年初结转和结余0.00万元。</w:t>
      </w:r>
    </w:p>
    <w:p w14:paraId="4B317B52">
      <w:pPr>
        <w:spacing w:line="580" w:lineRule="exact"/>
        <w:ind w:firstLine="640"/>
        <w:jc w:val="both"/>
      </w:pPr>
      <w:r>
        <w:rPr>
          <w:rFonts w:ascii="仿宋_GB2312" w:hAnsi="仿宋_GB2312" w:eastAsia="仿宋_GB2312"/>
          <w:b/>
          <w:sz w:val="32"/>
        </w:rPr>
        <w:t>2024年度支出总计391.93万元，</w:t>
      </w:r>
      <w:r>
        <w:rPr>
          <w:rFonts w:ascii="仿宋_GB2312" w:hAnsi="仿宋_GB2312" w:eastAsia="仿宋_GB2312"/>
          <w:b w:val="0"/>
          <w:sz w:val="32"/>
        </w:rPr>
        <w:t>其中：本年支出合计391.93万元，结余分配0.00万元，年末结转和结余0.00万元。</w:t>
      </w:r>
    </w:p>
    <w:p w14:paraId="7B9A3BAB">
      <w:pPr>
        <w:spacing w:line="580" w:lineRule="exact"/>
        <w:ind w:firstLine="640"/>
        <w:jc w:val="both"/>
      </w:pPr>
      <w:r>
        <w:rPr>
          <w:rFonts w:ascii="仿宋_GB2312" w:hAnsi="仿宋_GB2312" w:eastAsia="仿宋_GB2312"/>
          <w:b w:val="0"/>
          <w:sz w:val="32"/>
        </w:rPr>
        <w:t>收入支出总体与上年相比，减少121.47万元，下降23.66%，主要原因是：一是本年度在职人员减少，相关人员经费减少；二是减少《喀什年鉴（2022）》《喀什年鉴（2023）》项目资金；三是《史志鉴工作》、《喀什地区扶贫志》、《喀什地区全面小康志》编纂项目资金较上年减少。</w:t>
      </w:r>
    </w:p>
    <w:p w14:paraId="15421785">
      <w:pPr>
        <w:spacing w:line="640" w:lineRule="exact"/>
        <w:ind w:firstLine="640"/>
        <w:jc w:val="both"/>
        <w:outlineLvl w:val="2"/>
      </w:pPr>
      <w:r>
        <w:rPr>
          <w:rFonts w:ascii="黑体" w:hAnsi="黑体" w:eastAsia="黑体"/>
          <w:sz w:val="32"/>
        </w:rPr>
        <w:t>二、收入决算情况说明</w:t>
      </w:r>
    </w:p>
    <w:p w14:paraId="4F8DB065">
      <w:pPr>
        <w:spacing w:line="580" w:lineRule="exact"/>
        <w:ind w:firstLine="640"/>
        <w:jc w:val="both"/>
      </w:pPr>
      <w:r>
        <w:rPr>
          <w:rFonts w:ascii="仿宋_GB2312" w:hAnsi="仿宋_GB2312" w:eastAsia="仿宋_GB2312"/>
          <w:b/>
          <w:sz w:val="32"/>
        </w:rPr>
        <w:t>本年收入391.93万元，</w:t>
      </w:r>
      <w:r>
        <w:rPr>
          <w:rFonts w:ascii="仿宋_GB2312" w:hAnsi="仿宋_GB2312" w:eastAsia="仿宋_GB2312"/>
          <w:b w:val="0"/>
          <w:sz w:val="32"/>
        </w:rPr>
        <w:t>其中：财政拨款收入391.93万元，占100.00%；上级补助收入0.00万元，占0.00%；事业收入0.00万元，占0.00%；经营收入0.00万元，占0.00%；附属单位上缴收入0.00万元，占0.00%；其他收入0.00万元，占0.00%。</w:t>
      </w:r>
    </w:p>
    <w:p w14:paraId="417D34BF">
      <w:pPr>
        <w:spacing w:line="640" w:lineRule="exact"/>
        <w:ind w:firstLine="640"/>
        <w:jc w:val="both"/>
        <w:outlineLvl w:val="2"/>
      </w:pPr>
      <w:r>
        <w:rPr>
          <w:rFonts w:ascii="黑体" w:hAnsi="黑体" w:eastAsia="黑体"/>
          <w:sz w:val="32"/>
        </w:rPr>
        <w:t>三、支出决算情况说明</w:t>
      </w:r>
    </w:p>
    <w:p w14:paraId="696F2F32">
      <w:pPr>
        <w:spacing w:line="580" w:lineRule="exact"/>
        <w:ind w:firstLine="640"/>
        <w:jc w:val="both"/>
      </w:pPr>
      <w:r>
        <w:rPr>
          <w:rFonts w:ascii="仿宋_GB2312" w:hAnsi="仿宋_GB2312" w:eastAsia="仿宋_GB2312"/>
          <w:b/>
          <w:sz w:val="32"/>
        </w:rPr>
        <w:t>本年支出391.93万元，</w:t>
      </w:r>
      <w:r>
        <w:rPr>
          <w:rFonts w:ascii="仿宋_GB2312" w:hAnsi="仿宋_GB2312" w:eastAsia="仿宋_GB2312"/>
          <w:b w:val="0"/>
          <w:sz w:val="32"/>
        </w:rPr>
        <w:t>其中：基本支出292.00万元，占74.50%；项目支出99.93万元，占25.50%；上缴上级支出0.00万元，占0.00%；经营支出0.00万元，占0.00%；对附属单位补助支出0.00万元，占0.00%。</w:t>
      </w:r>
    </w:p>
    <w:p w14:paraId="7384179C">
      <w:pPr>
        <w:spacing w:line="640" w:lineRule="exact"/>
        <w:ind w:firstLine="640"/>
        <w:jc w:val="both"/>
        <w:outlineLvl w:val="2"/>
      </w:pPr>
      <w:r>
        <w:rPr>
          <w:rFonts w:ascii="黑体" w:hAnsi="黑体" w:eastAsia="黑体"/>
          <w:sz w:val="32"/>
        </w:rPr>
        <w:t>四、财政拨款收入支出决算总体情况说明</w:t>
      </w:r>
    </w:p>
    <w:p w14:paraId="056B6DE5">
      <w:pPr>
        <w:spacing w:line="580" w:lineRule="exact"/>
        <w:ind w:firstLine="640"/>
        <w:jc w:val="both"/>
      </w:pPr>
      <w:r>
        <w:rPr>
          <w:rFonts w:ascii="仿宋_GB2312" w:hAnsi="仿宋_GB2312" w:eastAsia="仿宋_GB2312"/>
          <w:b/>
          <w:sz w:val="32"/>
        </w:rPr>
        <w:t>2024年度财政拨款收入总计391.93万元，</w:t>
      </w:r>
      <w:r>
        <w:rPr>
          <w:rFonts w:ascii="仿宋_GB2312" w:hAnsi="仿宋_GB2312" w:eastAsia="仿宋_GB2312"/>
          <w:b w:val="0"/>
          <w:sz w:val="32"/>
        </w:rPr>
        <w:t>其中：年初财政拨款结转和结余0.00万元，本年财政拨款收入391.93万元。</w:t>
      </w:r>
      <w:r>
        <w:rPr>
          <w:rFonts w:ascii="仿宋_GB2312" w:hAnsi="仿宋_GB2312" w:eastAsia="仿宋_GB2312"/>
          <w:b/>
          <w:sz w:val="32"/>
        </w:rPr>
        <w:t>财政拨款支出总计391.93万元，</w:t>
      </w:r>
      <w:r>
        <w:rPr>
          <w:rFonts w:ascii="仿宋_GB2312" w:hAnsi="仿宋_GB2312" w:eastAsia="仿宋_GB2312"/>
          <w:b w:val="0"/>
          <w:sz w:val="32"/>
        </w:rPr>
        <w:t>其中：年末财政拨款结转和结余0.00万元，本年财政拨款支出391.93万元。</w:t>
      </w:r>
    </w:p>
    <w:p w14:paraId="4CC8250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121.47万元，下降23.66%，主要原因是：一是本年度在职人员减少，相关人员经费减少；二是减少《喀什年鉴（2022）》《喀什年鉴（2023）》项目资金；三是《史志鉴工作》、《喀什地区扶贫志》、《喀什地区全面小康志》编纂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年初预算数474.62万元，决算数391.93万元，预决算差异率-17.42%，主要原因是：《史志鉴工作》、《喀什地区扶贫志》、《喀什地区全面小康志》编纂项目资金未执行完，年中调减经费，导致预决算存在差异。</w:t>
      </w:r>
    </w:p>
    <w:p w14:paraId="7796592D">
      <w:pPr>
        <w:spacing w:line="640" w:lineRule="exact"/>
        <w:ind w:firstLine="640"/>
        <w:jc w:val="both"/>
        <w:outlineLvl w:val="2"/>
      </w:pPr>
      <w:r>
        <w:rPr>
          <w:rFonts w:ascii="黑体" w:hAnsi="黑体" w:eastAsia="黑体"/>
          <w:sz w:val="32"/>
        </w:rPr>
        <w:t>五、一般公共预算财政拨款支出决算情况说明</w:t>
      </w:r>
    </w:p>
    <w:p w14:paraId="14FCE427">
      <w:pPr>
        <w:spacing w:line="640" w:lineRule="exact"/>
        <w:ind w:firstLine="640"/>
        <w:jc w:val="both"/>
        <w:outlineLvl w:val="3"/>
      </w:pPr>
      <w:r>
        <w:rPr>
          <w:rFonts w:ascii="楷体_GB2312" w:hAnsi="楷体_GB2312" w:eastAsia="楷体_GB2312"/>
          <w:b/>
          <w:sz w:val="32"/>
        </w:rPr>
        <w:t>（一）一般公共预算财政拨款支出决算总体情况</w:t>
      </w:r>
    </w:p>
    <w:p w14:paraId="1DEF65E4">
      <w:pPr>
        <w:spacing w:line="580" w:lineRule="exact"/>
        <w:ind w:firstLine="640"/>
        <w:jc w:val="both"/>
      </w:pPr>
      <w:r>
        <w:rPr>
          <w:rFonts w:ascii="仿宋_GB2312" w:hAnsi="仿宋_GB2312" w:eastAsia="仿宋_GB2312"/>
          <w:b/>
          <w:sz w:val="32"/>
        </w:rPr>
        <w:t>2024年度一般公共预算财政拨款支出391.93万元，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121.47万元，下降23.66%，主要原因是：一是本年度在职人员减少，相关人员经费减少；二是减少《喀什年鉴（2022）》《喀什年鉴（2023）》项目资金；三是《史志鉴工作》、《喀什地区扶贫志》、《喀什地区全面小康志》编纂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年初预算数474.62万元，决算数391.93万元，预决算差异率-17.42%，主要原因是：《史志鉴工作》、《喀什地区扶贫志》、《喀什地区全面小康志》编纂项目资金未执行完，年中调减经费，导致预决算存在差异。</w:t>
      </w:r>
    </w:p>
    <w:p w14:paraId="232DBC19">
      <w:pPr>
        <w:spacing w:line="640" w:lineRule="exact"/>
        <w:ind w:firstLine="640"/>
        <w:jc w:val="both"/>
        <w:outlineLvl w:val="3"/>
      </w:pPr>
      <w:r>
        <w:rPr>
          <w:rFonts w:ascii="楷体_GB2312" w:hAnsi="楷体_GB2312" w:eastAsia="楷体_GB2312"/>
          <w:b/>
          <w:sz w:val="32"/>
        </w:rPr>
        <w:t>（二）一般公共预算财政拨款支出决算结构情况</w:t>
      </w:r>
    </w:p>
    <w:p w14:paraId="361A6A3E">
      <w:pPr>
        <w:spacing w:line="580" w:lineRule="exact"/>
        <w:ind w:firstLine="640"/>
        <w:jc w:val="both"/>
      </w:pPr>
      <w:r>
        <w:rPr>
          <w:rFonts w:ascii="仿宋_GB2312" w:hAnsi="仿宋_GB2312" w:eastAsia="仿宋_GB2312"/>
          <w:b w:val="0"/>
          <w:sz w:val="32"/>
        </w:rPr>
        <w:t>1.一般公共服务支出(类)284.02万元,占72.47%。</w:t>
      </w:r>
    </w:p>
    <w:p w14:paraId="16D47943">
      <w:pPr>
        <w:spacing w:line="580" w:lineRule="exact"/>
        <w:ind w:firstLine="640"/>
        <w:jc w:val="both"/>
      </w:pPr>
      <w:r>
        <w:rPr>
          <w:rFonts w:ascii="仿宋_GB2312" w:hAnsi="仿宋_GB2312" w:eastAsia="仿宋_GB2312"/>
          <w:b w:val="0"/>
          <w:sz w:val="32"/>
        </w:rPr>
        <w:t>2.社会保障和就业支出(类)78.35万元,占19.99%。</w:t>
      </w:r>
    </w:p>
    <w:p w14:paraId="2419F911">
      <w:pPr>
        <w:spacing w:line="580" w:lineRule="exact"/>
        <w:ind w:firstLine="640"/>
        <w:jc w:val="both"/>
      </w:pPr>
      <w:r>
        <w:rPr>
          <w:rFonts w:ascii="仿宋_GB2312" w:hAnsi="仿宋_GB2312" w:eastAsia="仿宋_GB2312"/>
          <w:b w:val="0"/>
          <w:sz w:val="32"/>
        </w:rPr>
        <w:t>3.卫生健康支出(类)11.70万元,占2.99%。</w:t>
      </w:r>
    </w:p>
    <w:p w14:paraId="7AACEC1C">
      <w:pPr>
        <w:spacing w:line="580" w:lineRule="exact"/>
        <w:ind w:firstLine="640"/>
        <w:jc w:val="both"/>
      </w:pPr>
      <w:r>
        <w:rPr>
          <w:rFonts w:ascii="仿宋_GB2312" w:hAnsi="仿宋_GB2312" w:eastAsia="仿宋_GB2312"/>
          <w:b w:val="0"/>
          <w:sz w:val="32"/>
        </w:rPr>
        <w:t>4.住房保障支出(类)17.87万元,占4.56%。</w:t>
      </w:r>
    </w:p>
    <w:p w14:paraId="235CFCBC">
      <w:pPr>
        <w:spacing w:line="640" w:lineRule="exact"/>
        <w:ind w:firstLine="640"/>
        <w:jc w:val="both"/>
        <w:outlineLvl w:val="3"/>
      </w:pPr>
      <w:r>
        <w:rPr>
          <w:rFonts w:ascii="楷体_GB2312" w:hAnsi="楷体_GB2312" w:eastAsia="楷体_GB2312"/>
          <w:b/>
          <w:sz w:val="32"/>
        </w:rPr>
        <w:t>（三）一般公共预算财政拨款支出决算具体情况</w:t>
      </w:r>
    </w:p>
    <w:p w14:paraId="7A6C1080">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1.一般公共服务支出(类)党委办公厅（室）及相关机构事务(款)行政运行(项):支出决算数为184.09万元，比上年决算增加21.11万元，增长12.95%,主要原因是：本年在职人员工资调增，导致相关人员经费较上年有所增加。</w:t>
      </w:r>
    </w:p>
    <w:p w14:paraId="0FF9B361">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2.一般公共服务支出(类)党委办公厅（室）及相关机构事务(款)一般行政管理事务(项):支出决算数为99.87万元，比上年决算减少190.28万元，下降65.58%,主要原因是：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《史志鉴工作》、《喀什地区扶贫志》、《喀什地区全面小康志》编纂项目资金较上年减少。</w:t>
      </w:r>
    </w:p>
    <w:p w14:paraId="542D838B">
      <w:pPr>
        <w:spacing w:line="580" w:lineRule="exact"/>
        <w:ind w:firstLine="640"/>
        <w:jc w:val="both"/>
        <w:rPr>
          <w:rFonts w:hint="default" w:eastAsia="仿宋_GB2312"/>
          <w:lang w:val="en-US" w:eastAsia="zh-CN"/>
        </w:rPr>
      </w:pPr>
      <w:r>
        <w:rPr>
          <w:rFonts w:ascii="仿宋_GB2312" w:hAnsi="仿宋_GB2312" w:eastAsia="仿宋_GB2312"/>
          <w:b w:val="0"/>
          <w:sz w:val="32"/>
        </w:rPr>
        <w:t>3.一般公共服务支出(类)党委办公厅（室）及相关机构事务(款)其他党委办公厅（室）及相关机构事务支出(项):支出决算数为0.06万元，比上年决算增加0.06万元，增长100.00%,主要原因是：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w:t>
      </w:r>
      <w:r>
        <w:rPr>
          <w:rFonts w:hint="eastAsia" w:ascii="仿宋_GB2312" w:hAnsi="仿宋_GB2312" w:eastAsia="仿宋_GB2312"/>
          <w:b w:val="0"/>
          <w:sz w:val="32"/>
          <w:lang w:val="en-US" w:eastAsia="zh-CN"/>
        </w:rPr>
        <w:t>信息</w:t>
      </w:r>
      <w:r>
        <w:rPr>
          <w:rFonts w:ascii="仿宋_GB2312" w:hAnsi="仿宋_GB2312" w:eastAsia="仿宋_GB2312"/>
          <w:b w:val="0"/>
          <w:sz w:val="32"/>
        </w:rPr>
        <w:t>建设项目从其他支出科目调整至其他党委办公厅（室）及相关机构事务支出科目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p>
    <w:p w14:paraId="59C59F5C">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4.社会保障和就业支出(类)行政事业单位养老支出(款)行政单位离退休(项):支出决算数为18.07万元，比上年决算增加5.61万元，增长45.02%,主要原因是：本年退休人员增加，退休费支出增加。</w:t>
      </w:r>
    </w:p>
    <w:p w14:paraId="4FAA5A6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21.36万元，比上年决算增加1.67万元，增长8.48%,主要原因是：本年在职人员工资基数调增，养老缴费基数上涨，相应支出增加。</w:t>
      </w:r>
    </w:p>
    <w:p w14:paraId="448201C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6.社会保障和就业支出(类)行政事业单位养老支出(款)机关事业单位职业年金缴费支出(项):支出决算数为38.91万元，比上年决算增加38.91万元，增长100.00%,主要原因是：本年新增退休人员，职业年金缴费支出增加。</w:t>
      </w:r>
    </w:p>
    <w:p w14:paraId="00251130">
      <w:pPr>
        <w:spacing w:line="580" w:lineRule="exact"/>
        <w:ind w:firstLine="640"/>
        <w:jc w:val="both"/>
      </w:pPr>
      <w:r>
        <w:rPr>
          <w:rFonts w:ascii="仿宋_GB2312" w:hAnsi="仿宋_GB2312" w:eastAsia="仿宋_GB2312"/>
          <w:b w:val="0"/>
          <w:sz w:val="32"/>
        </w:rPr>
        <w:t>7.卫生健康支出(类)行政事业单位医疗(款)行政单位医疗(项):支出决算数为9.04万元，比上年决算增加0.67万元，增长8.00%,主要原因是：本年在职人员工资基数调增，医疗缴费基数上涨，相应支出增加。</w:t>
      </w:r>
    </w:p>
    <w:p w14:paraId="67601B4D">
      <w:pPr>
        <w:spacing w:line="580" w:lineRule="exact"/>
        <w:ind w:firstLine="640"/>
        <w:jc w:val="both"/>
      </w:pPr>
      <w:r>
        <w:rPr>
          <w:rFonts w:ascii="仿宋_GB2312" w:hAnsi="仿宋_GB2312" w:eastAsia="仿宋_GB2312"/>
          <w:b w:val="0"/>
          <w:sz w:val="32"/>
        </w:rPr>
        <w:t>8.卫生健康支出(类)行政事业单位医疗(款)公务员医疗补助(项):支出决算数为2.66万元，比上年决算增加0.20万元，增长8.13%,主要原因是：本年在职人员工资基数调增，医疗缴费基数上涨，相应支出增加。</w:t>
      </w:r>
    </w:p>
    <w:p w14:paraId="072BE984">
      <w:pPr>
        <w:spacing w:line="580" w:lineRule="exact"/>
        <w:ind w:firstLine="640"/>
        <w:jc w:val="both"/>
      </w:pPr>
      <w:r>
        <w:rPr>
          <w:rFonts w:ascii="仿宋_GB2312" w:hAnsi="仿宋_GB2312" w:eastAsia="仿宋_GB2312"/>
          <w:b w:val="0"/>
          <w:sz w:val="32"/>
        </w:rPr>
        <w:t>9.住房保障支出(类)住房改革支出(款)住房公积金(项):支出决算数为17.87万元，比上年决算增加1.66万元，增长10.24%,主要原因是：本年在职人员工资基数调增，公积金缴费基数上涨，相应支出增加。</w:t>
      </w:r>
    </w:p>
    <w:p w14:paraId="3B05B203">
      <w:pPr>
        <w:spacing w:line="580" w:lineRule="exact"/>
        <w:ind w:firstLine="640"/>
        <w:jc w:val="both"/>
      </w:pPr>
      <w:r>
        <w:rPr>
          <w:rFonts w:ascii="仿宋_GB2312" w:hAnsi="仿宋_GB2312" w:eastAsia="仿宋_GB2312"/>
          <w:b w:val="0"/>
          <w:sz w:val="32"/>
        </w:rPr>
        <w:t>10.其他支出(类)其他支出(款)其他支出(项):支出决算数为0.00万元，比上年决算减少1.08万元，下降100.00%,主要原因是：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w:t>
      </w:r>
      <w:r>
        <w:rPr>
          <w:rFonts w:hint="eastAsia" w:ascii="仿宋_GB2312" w:hAnsi="仿宋_GB2312" w:eastAsia="仿宋_GB2312"/>
          <w:b w:val="0"/>
          <w:sz w:val="32"/>
          <w:lang w:val="en-US" w:eastAsia="zh-CN"/>
        </w:rPr>
        <w:t>信息</w:t>
      </w:r>
      <w:r>
        <w:rPr>
          <w:rFonts w:ascii="仿宋_GB2312" w:hAnsi="仿宋_GB2312" w:eastAsia="仿宋_GB2312"/>
          <w:b w:val="0"/>
          <w:sz w:val="32"/>
        </w:rPr>
        <w:t>建设项目从其他支出科目调整至其他党委办公厅（室）及相关</w:t>
      </w:r>
      <w:bookmarkStart w:id="0" w:name="_GoBack"/>
      <w:bookmarkEnd w:id="0"/>
      <w:r>
        <w:rPr>
          <w:rFonts w:ascii="仿宋_GB2312" w:hAnsi="仿宋_GB2312" w:eastAsia="仿宋_GB2312"/>
          <w:b w:val="0"/>
          <w:sz w:val="32"/>
        </w:rPr>
        <w:t>机构事务支出科目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r>
        <w:rPr>
          <w:rFonts w:ascii="仿宋_GB2312" w:hAnsi="仿宋_GB2312" w:eastAsia="仿宋_GB2312"/>
          <w:b w:val="0"/>
          <w:sz w:val="32"/>
        </w:rPr>
        <w:t>。</w:t>
      </w:r>
    </w:p>
    <w:p w14:paraId="6938378A">
      <w:pPr>
        <w:spacing w:line="640" w:lineRule="exact"/>
        <w:ind w:firstLine="640"/>
        <w:jc w:val="both"/>
        <w:outlineLvl w:val="2"/>
      </w:pPr>
      <w:r>
        <w:rPr>
          <w:rFonts w:ascii="黑体" w:hAnsi="黑体" w:eastAsia="黑体"/>
          <w:sz w:val="32"/>
        </w:rPr>
        <w:t>六、一般公共预算财政拨款基本支出决算情况说明</w:t>
      </w:r>
    </w:p>
    <w:p w14:paraId="6E407DFF">
      <w:pPr>
        <w:spacing w:line="580" w:lineRule="exact"/>
        <w:ind w:firstLine="640"/>
        <w:jc w:val="both"/>
      </w:pPr>
      <w:r>
        <w:rPr>
          <w:rFonts w:ascii="仿宋_GB2312" w:hAnsi="仿宋_GB2312" w:eastAsia="仿宋_GB2312"/>
          <w:b w:val="0"/>
          <w:sz w:val="32"/>
        </w:rPr>
        <w:t>2024年度一般公共预算财政拨款基本支出292.00万元，其中：</w:t>
      </w:r>
      <w:r>
        <w:rPr>
          <w:rFonts w:ascii="仿宋_GB2312" w:hAnsi="仿宋_GB2312" w:eastAsia="仿宋_GB2312"/>
          <w:b/>
          <w:sz w:val="32"/>
        </w:rPr>
        <w:t>人员经费280.03万元，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w:t>
      </w:r>
    </w:p>
    <w:p w14:paraId="57F11176">
      <w:pPr>
        <w:spacing w:line="580" w:lineRule="exact"/>
        <w:ind w:firstLine="640"/>
        <w:jc w:val="both"/>
      </w:pPr>
      <w:r>
        <w:rPr>
          <w:rFonts w:ascii="仿宋_GB2312" w:hAnsi="仿宋_GB2312" w:eastAsia="仿宋_GB2312"/>
          <w:b/>
          <w:sz w:val="32"/>
        </w:rPr>
        <w:t>公用经费11.97万元，</w:t>
      </w:r>
      <w:r>
        <w:rPr>
          <w:rFonts w:ascii="仿宋_GB2312" w:hAnsi="仿宋_GB2312" w:eastAsia="仿宋_GB2312"/>
          <w:b w:val="0"/>
          <w:sz w:val="32"/>
        </w:rPr>
        <w:t>包括：办公费、水费、电费、邮电费、差旅费、维修（护）费、专用材料费、劳务费、委托业务费、工会经费、公务用车运行维护费、其他交通费用、其他商品和服务支出。</w:t>
      </w:r>
    </w:p>
    <w:p w14:paraId="4D878E98">
      <w:pPr>
        <w:spacing w:line="640" w:lineRule="exact"/>
        <w:ind w:firstLine="640"/>
        <w:jc w:val="both"/>
        <w:outlineLvl w:val="2"/>
      </w:pPr>
      <w:r>
        <w:rPr>
          <w:rFonts w:ascii="黑体" w:hAnsi="黑体" w:eastAsia="黑体"/>
          <w:sz w:val="32"/>
        </w:rPr>
        <w:t>七、政府性基金预算财政拨款收入支出决算情况说明</w:t>
      </w:r>
    </w:p>
    <w:p w14:paraId="3B66340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EC7CD2E">
      <w:pPr>
        <w:spacing w:line="640" w:lineRule="exact"/>
        <w:ind w:firstLine="640"/>
        <w:jc w:val="both"/>
        <w:outlineLvl w:val="2"/>
      </w:pPr>
      <w:r>
        <w:rPr>
          <w:rFonts w:ascii="黑体" w:hAnsi="黑体" w:eastAsia="黑体"/>
          <w:sz w:val="32"/>
        </w:rPr>
        <w:t>八、国有资本经营预算财政拨款收入支出决算情况说明</w:t>
      </w:r>
    </w:p>
    <w:p w14:paraId="004B7D0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B0E18B">
      <w:pPr>
        <w:spacing w:line="640" w:lineRule="exact"/>
        <w:ind w:firstLine="640"/>
        <w:jc w:val="both"/>
        <w:outlineLvl w:val="2"/>
      </w:pPr>
      <w:r>
        <w:rPr>
          <w:rFonts w:ascii="黑体" w:hAnsi="黑体" w:eastAsia="黑体"/>
          <w:sz w:val="32"/>
        </w:rPr>
        <w:t>九、财政拨款“三公”经费支出决算情况说明</w:t>
      </w:r>
    </w:p>
    <w:p w14:paraId="21FD6469">
      <w:pPr>
        <w:spacing w:line="580" w:lineRule="exact"/>
        <w:ind w:firstLine="640"/>
        <w:jc w:val="both"/>
      </w:pPr>
      <w:r>
        <w:rPr>
          <w:rFonts w:ascii="仿宋_GB2312" w:hAnsi="仿宋_GB2312" w:eastAsia="仿宋_GB2312"/>
          <w:b/>
          <w:sz w:val="32"/>
        </w:rPr>
        <w:t>2024年度财政拨款“三公”经费支出1.05万元，</w:t>
      </w:r>
      <w:r>
        <w:rPr>
          <w:rFonts w:ascii="仿宋_GB2312" w:hAnsi="仿宋_GB2312" w:eastAsia="仿宋_GB2312"/>
          <w:b w:val="0"/>
          <w:sz w:val="32"/>
        </w:rPr>
        <w:t>比上年增加0.37万元，增长54.41%，主要原因是：本年因地区扶贫志及县市扶贫志评审会需求，用车次数增加，燃油费增加，导致公务用车运行维护费较上年增加。其中：因公出国（境）费支出0.00万元，占0.00%，比上年增加0.00万元，增长0.00%，主要原因是：2023年与2024年均未安排因公出国（境）费支出。公务用车购置及运行维护费支出1.05万元，占100.00%，比上年增加0.37万元，增长54.41%，主要原因是：本年因地区扶贫志及县市扶贫志评审会需求，用车次数增加，燃油费增加，导致公务用车运行维护费较上年增加。公务接待费支出0.00万元，占0.00%，比上年增加0.00万元，增长0.00%，主要原因是：2023年与2024年均未安排公务接待费支出。</w:t>
      </w:r>
    </w:p>
    <w:p w14:paraId="53616188">
      <w:pPr>
        <w:spacing w:line="580" w:lineRule="exact"/>
        <w:ind w:firstLine="640"/>
        <w:jc w:val="both"/>
      </w:pPr>
      <w:r>
        <w:rPr>
          <w:rFonts w:ascii="仿宋_GB2312" w:hAnsi="仿宋_GB2312" w:eastAsia="仿宋_GB2312"/>
          <w:b/>
          <w:sz w:val="32"/>
        </w:rPr>
        <w:t>具体情况如下：</w:t>
      </w:r>
    </w:p>
    <w:p w14:paraId="5AF7A9C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EA7AEA">
      <w:pPr>
        <w:spacing w:line="580" w:lineRule="exact"/>
        <w:ind w:firstLine="640"/>
        <w:jc w:val="both"/>
      </w:pPr>
      <w:r>
        <w:rPr>
          <w:rFonts w:ascii="仿宋_GB2312" w:hAnsi="仿宋_GB2312" w:eastAsia="仿宋_GB2312"/>
          <w:b w:val="0"/>
          <w:sz w:val="32"/>
        </w:rPr>
        <w:t>公务用车购置及运行维护费1.05万元，其中：公务用车购置费0.00万元，公务用车运行维护费1.05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9F8A8D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A4407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万元，决算数1.05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1.05万元，决算数1.05万元，预决算差异率0.00%，主要原因是：严格按照预算执行，预决算无差异。公务接待费全年预算数0.00万元，决算数0.00万元，预决算差异率0.00%，主要原因是：本单位无公务接待费。</w:t>
      </w:r>
    </w:p>
    <w:p w14:paraId="62075F27">
      <w:pPr>
        <w:spacing w:line="640" w:lineRule="exact"/>
        <w:ind w:firstLine="640"/>
        <w:jc w:val="both"/>
        <w:outlineLvl w:val="2"/>
      </w:pPr>
      <w:r>
        <w:rPr>
          <w:rFonts w:ascii="黑体" w:hAnsi="黑体" w:eastAsia="黑体"/>
          <w:sz w:val="32"/>
        </w:rPr>
        <w:t>十、其他重要事项的情况说明</w:t>
      </w:r>
    </w:p>
    <w:p w14:paraId="2FBC1D79">
      <w:pPr>
        <w:spacing w:line="640" w:lineRule="exact"/>
        <w:ind w:firstLine="640"/>
        <w:jc w:val="both"/>
        <w:outlineLvl w:val="3"/>
      </w:pPr>
      <w:r>
        <w:rPr>
          <w:rFonts w:ascii="楷体_GB2312" w:hAnsi="楷体_GB2312" w:eastAsia="楷体_GB2312"/>
          <w:b/>
          <w:sz w:val="32"/>
        </w:rPr>
        <w:t>（一）机关运行经费及公用经费支出情况</w:t>
      </w:r>
    </w:p>
    <w:p w14:paraId="712C1D51">
      <w:pPr>
        <w:spacing w:line="580" w:lineRule="exact"/>
        <w:ind w:firstLine="640"/>
        <w:jc w:val="both"/>
      </w:pPr>
      <w:r>
        <w:rPr>
          <w:rFonts w:ascii="仿宋_GB2312" w:hAnsi="仿宋_GB2312" w:eastAsia="仿宋_GB2312"/>
          <w:b w:val="0"/>
          <w:sz w:val="32"/>
        </w:rPr>
        <w:t>2024年度中共喀什地委党史办公室（行政单位和参照公务员法管理事业单位）机关运行经费支出11.97万元，比上年增加3.78万元，增长46.15%，主要原因是：本年业务量增加，办公经费增加。</w:t>
      </w:r>
    </w:p>
    <w:p w14:paraId="26E2665A">
      <w:pPr>
        <w:spacing w:line="640" w:lineRule="exact"/>
        <w:ind w:firstLine="640"/>
        <w:jc w:val="both"/>
        <w:outlineLvl w:val="3"/>
      </w:pPr>
      <w:r>
        <w:rPr>
          <w:rFonts w:ascii="楷体_GB2312" w:hAnsi="楷体_GB2312" w:eastAsia="楷体_GB2312"/>
          <w:b/>
          <w:sz w:val="32"/>
        </w:rPr>
        <w:t>（二）政府采购情况</w:t>
      </w:r>
    </w:p>
    <w:p w14:paraId="065F52A0">
      <w:pPr>
        <w:spacing w:line="580" w:lineRule="exact"/>
        <w:ind w:firstLine="640"/>
        <w:jc w:val="both"/>
      </w:pPr>
      <w:r>
        <w:rPr>
          <w:rFonts w:ascii="仿宋_GB2312" w:hAnsi="仿宋_GB2312" w:eastAsia="仿宋_GB2312"/>
          <w:b w:val="0"/>
          <w:sz w:val="32"/>
        </w:rPr>
        <w:t>2024年度政府采购支出总额24.30万元，其中：政府采购货物支出4.87万元、政府采购工程支出0.00万元、政府采购服务支出19.43万元。</w:t>
      </w:r>
    </w:p>
    <w:p w14:paraId="4FA09CB8">
      <w:pPr>
        <w:spacing w:line="580" w:lineRule="exact"/>
        <w:ind w:firstLine="640"/>
        <w:jc w:val="both"/>
      </w:pPr>
      <w:r>
        <w:rPr>
          <w:rFonts w:ascii="仿宋_GB2312" w:hAnsi="仿宋_GB2312" w:eastAsia="仿宋_GB2312"/>
          <w:b w:val="0"/>
          <w:sz w:val="32"/>
        </w:rPr>
        <w:t>授予中小企业合同金额24.30万元，占政府采购支出总额的100.00%，其中：授予小微企业合同金额24.30万元，占政府采购支出总额的100.00%。</w:t>
      </w:r>
    </w:p>
    <w:p w14:paraId="013342F0">
      <w:pPr>
        <w:spacing w:line="640" w:lineRule="exact"/>
        <w:ind w:firstLine="640"/>
        <w:jc w:val="both"/>
        <w:outlineLvl w:val="3"/>
      </w:pPr>
      <w:r>
        <w:rPr>
          <w:rFonts w:ascii="楷体_GB2312" w:hAnsi="楷体_GB2312" w:eastAsia="楷体_GB2312"/>
          <w:b/>
          <w:sz w:val="32"/>
        </w:rPr>
        <w:t>（三）国有资产占用情况说明</w:t>
      </w:r>
    </w:p>
    <w:p w14:paraId="6B0BA002">
      <w:pPr>
        <w:spacing w:line="580" w:lineRule="exact"/>
        <w:ind w:firstLine="640"/>
        <w:jc w:val="both"/>
      </w:pPr>
      <w:r>
        <w:rPr>
          <w:rFonts w:ascii="仿宋_GB2312" w:hAnsi="仿宋_GB2312" w:eastAsia="仿宋_GB2312"/>
          <w:b w:val="0"/>
          <w:sz w:val="32"/>
        </w:rPr>
        <w:t>截至2024年12月31日，房屋0.00平方米，价值0.00万元。车辆1辆，价值18.87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6A8F089">
      <w:pPr>
        <w:spacing w:line="640" w:lineRule="exact"/>
        <w:ind w:firstLine="640"/>
        <w:jc w:val="both"/>
        <w:outlineLvl w:val="2"/>
      </w:pPr>
      <w:r>
        <w:rPr>
          <w:rFonts w:ascii="黑体" w:hAnsi="黑体" w:eastAsia="黑体"/>
          <w:sz w:val="32"/>
        </w:rPr>
        <w:t>十一、预算绩效的情况说明</w:t>
      </w:r>
    </w:p>
    <w:p w14:paraId="7107F58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417.90万元，实际执行总额391.93万元；预算绩效评价项目3个，全年预算数118.80万元，全年执行数94.86万元。预算绩效管理取得的成效：一是强化组织协调：成立了由单位领导牵头，各业务科室骨干参与的项目专项工作小组，明确职责分工，定期召开项目推进会，及时沟通项目进展、解决问题，确保各项工作有序推进。二是规范流程管理：在史志鉴工作项目启动之初，制定详细计划和任务目标，确保项目的合理性和可行性；加强对项目参与人员的培训，提高项目质量，定期对资金支付流程进行优化，确保资金支付工作的持续改进。发现的问题及原因：一是绩效管理目标不明确：项目绩效目标和各项指标的理解、认识不到位，导致项目绩效目标不够明确、不够细化量化，缺乏可衡量性。二是绩效跟踪和评估不足：在项目执行过程中，可能缺乏有效的绩效跟踪和评估机制，无法及时发现和纠正偏差。三是绩效管理意识薄弱：项目科室人员对绩效管理的重视程度不够，缺乏绩效管理理念和专业知识；四是在项目实施的前期，对相关方面调查研究和综合论证做的还不够，导致绩效目标值设立的不够合理。下一步改进措施：一是优化预算编制：在预算编制过程中，要充分考虑项目的实际情况和需求，确保预算资金与实际支出相匹配。同时，要加强对预算编制的审核和监督，确保预算的合理性和科学性。二是加强绩效管理培训：提高科室项目人员对绩效管理的重视程度和专业知识水平。可以组织相关培训和学习活动，加强绩效管理理念和方法的普及和推广。三是完善绩效跟踪和评估机制：建立有效的绩效跟踪和评估机制，对项目执行过程中的各项绩效指标进行实时跟踪和评估。对于发现的问题和偏差，要及时采取纠正措施，确保项目能够如期保质保量完成绩效目标。四是强化绩效结果应用：将绩效评价结果与预算安排和政策调整挂钩，增强预算统筹能力，优化预算管理流程。对于绩效评价结果优秀的项目，可以给予适当的奖励和激励；对于绩效评价结果较差的项目，要采取相应的惩罚和整改措施。具体附整体支出绩效自评表，项目支出绩效自评表和评价报告。</w:t>
      </w:r>
    </w:p>
    <w:p w14:paraId="38AB57C4">
      <w:r>
        <w:br w:type="page"/>
      </w:r>
    </w:p>
    <w:tbl>
      <w:tblPr>
        <w:tblStyle w:val="9"/>
        <w:tblW w:w="0" w:type="auto"/>
        <w:tblInd w:w="0" w:type="dxa"/>
        <w:tblLayout w:type="autofit"/>
        <w:tblCellMar>
          <w:top w:w="0" w:type="dxa"/>
          <w:left w:w="108" w:type="dxa"/>
          <w:bottom w:w="0" w:type="dxa"/>
          <w:right w:w="108" w:type="dxa"/>
        </w:tblCellMar>
      </w:tblPr>
      <w:tblGrid>
        <w:gridCol w:w="954"/>
        <w:gridCol w:w="955"/>
        <w:gridCol w:w="1416"/>
        <w:gridCol w:w="965"/>
        <w:gridCol w:w="965"/>
        <w:gridCol w:w="945"/>
        <w:gridCol w:w="965"/>
        <w:gridCol w:w="950"/>
        <w:gridCol w:w="945"/>
      </w:tblGrid>
      <w:tr w14:paraId="064494EE">
        <w:tblPrEx>
          <w:tblCellMar>
            <w:top w:w="0" w:type="dxa"/>
            <w:left w:w="108" w:type="dxa"/>
            <w:bottom w:w="0" w:type="dxa"/>
            <w:right w:w="108" w:type="dxa"/>
          </w:tblCellMar>
        </w:tblPrEx>
        <w:tc>
          <w:tcPr>
            <w:tcW w:w="8847" w:type="dxa"/>
            <w:gridSpan w:val="9"/>
            <w:vAlign w:val="center"/>
          </w:tcPr>
          <w:p w14:paraId="60F95E17">
            <w:pPr>
              <w:jc w:val="center"/>
            </w:pPr>
            <w:r>
              <w:rPr>
                <w:rFonts w:ascii="宋体" w:hAnsi="宋体" w:eastAsia="宋体"/>
                <w:sz w:val="24"/>
              </w:rPr>
              <w:t>单位整体支出绩效自评表</w:t>
            </w:r>
          </w:p>
        </w:tc>
      </w:tr>
      <w:tr w14:paraId="4CC27C75">
        <w:tblPrEx>
          <w:tblCellMar>
            <w:top w:w="0" w:type="dxa"/>
            <w:left w:w="108" w:type="dxa"/>
            <w:bottom w:w="0" w:type="dxa"/>
            <w:right w:w="108" w:type="dxa"/>
          </w:tblCellMar>
        </w:tblPrEx>
        <w:tc>
          <w:tcPr>
            <w:tcW w:w="8847" w:type="dxa"/>
            <w:gridSpan w:val="9"/>
            <w:vAlign w:val="center"/>
          </w:tcPr>
          <w:p w14:paraId="6C0389D0">
            <w:pPr>
              <w:jc w:val="center"/>
            </w:pPr>
            <w:r>
              <w:rPr>
                <w:rFonts w:ascii="宋体" w:hAnsi="宋体" w:eastAsia="宋体"/>
                <w:sz w:val="24"/>
              </w:rPr>
              <w:t>（2024年度）</w:t>
            </w:r>
          </w:p>
        </w:tc>
      </w:tr>
      <w:tr w14:paraId="1B98FA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FD20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39B3D1">
            <w:pPr>
              <w:jc w:val="center"/>
            </w:pPr>
            <w:r>
              <w:rPr>
                <w:rFonts w:ascii="宋体" w:hAnsi="宋体" w:eastAsia="宋体"/>
                <w:sz w:val="16"/>
              </w:rPr>
              <w:t>中共喀什地委党史办公室</w:t>
            </w:r>
          </w:p>
        </w:tc>
      </w:tr>
      <w:tr w14:paraId="6E1AE7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5A65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95C3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F4D3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6C05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EA26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6CFD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1054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C26D5">
            <w:pPr>
              <w:jc w:val="center"/>
            </w:pPr>
            <w:r>
              <w:rPr>
                <w:rFonts w:ascii="宋体" w:hAnsi="宋体" w:eastAsia="宋体"/>
                <w:sz w:val="16"/>
              </w:rPr>
              <w:t>得分</w:t>
            </w:r>
          </w:p>
        </w:tc>
      </w:tr>
      <w:tr w14:paraId="70D75B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1D1D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5C5C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E92CF">
            <w:pPr>
              <w:jc w:val="center"/>
            </w:pPr>
            <w:r>
              <w:rPr>
                <w:rFonts w:ascii="宋体" w:hAnsi="宋体" w:eastAsia="宋体"/>
                <w:sz w:val="16"/>
              </w:rPr>
              <w:t>474.62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3E068">
            <w:pPr>
              <w:jc w:val="center"/>
            </w:pPr>
            <w:r>
              <w:rPr>
                <w:rFonts w:ascii="宋体" w:hAnsi="宋体" w:eastAsia="宋体"/>
                <w:sz w:val="16"/>
              </w:rPr>
              <w:t>417.90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224B0">
            <w:pPr>
              <w:jc w:val="center"/>
            </w:pPr>
            <w:r>
              <w:rPr>
                <w:rFonts w:ascii="宋体" w:hAnsi="宋体" w:eastAsia="宋体"/>
                <w:sz w:val="16"/>
              </w:rPr>
              <w:t>391.93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FD3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D3EC0">
            <w:pPr>
              <w:jc w:val="center"/>
            </w:pPr>
            <w:r>
              <w:rPr>
                <w:rFonts w:ascii="宋体" w:hAnsi="宋体" w:eastAsia="宋体"/>
                <w:sz w:val="16"/>
              </w:rPr>
              <w:t>93.79%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DCA86">
            <w:pPr>
              <w:jc w:val="center"/>
            </w:pPr>
            <w:r>
              <w:rPr>
                <w:rFonts w:ascii="宋体" w:hAnsi="宋体" w:eastAsia="宋体"/>
                <w:sz w:val="16"/>
              </w:rPr>
              <w:t>9.38</w:t>
            </w:r>
          </w:p>
        </w:tc>
      </w:tr>
      <w:tr w14:paraId="575C1A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F94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120D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021A6">
            <w:pPr>
              <w:jc w:val="center"/>
            </w:pPr>
            <w:r>
              <w:rPr>
                <w:rFonts w:ascii="宋体" w:hAnsi="宋体" w:eastAsia="宋体"/>
                <w:sz w:val="16"/>
              </w:rPr>
              <w:t>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1625C">
            <w:pPr>
              <w:jc w:val="center"/>
            </w:pPr>
            <w:r>
              <w:rPr>
                <w:rFonts w:ascii="宋体" w:hAnsi="宋体" w:eastAsia="宋体"/>
                <w:sz w:val="16"/>
              </w:rPr>
              <w:t>16.99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82AD4">
            <w:pPr>
              <w:jc w:val="center"/>
            </w:pPr>
            <w:r>
              <w:rPr>
                <w:rFonts w:ascii="宋体" w:hAnsi="宋体" w:eastAsia="宋体"/>
                <w:sz w:val="16"/>
              </w:rPr>
              <w:t>14.96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EFC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99DC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0655">
            <w:pPr>
              <w:jc w:val="center"/>
            </w:pPr>
            <w:r>
              <w:rPr>
                <w:rFonts w:ascii="宋体" w:hAnsi="宋体" w:eastAsia="宋体"/>
                <w:sz w:val="16"/>
              </w:rPr>
              <w:t>—</w:t>
            </w:r>
          </w:p>
        </w:tc>
      </w:tr>
      <w:tr w14:paraId="3DECF9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2120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0CA3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4BE89">
            <w:pPr>
              <w:jc w:val="center"/>
            </w:pPr>
            <w:r>
              <w:rPr>
                <w:rFonts w:ascii="宋体" w:hAnsi="宋体" w:eastAsia="宋体"/>
                <w:sz w:val="16"/>
              </w:rPr>
              <w:t>473.88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93D1A">
            <w:pPr>
              <w:jc w:val="center"/>
            </w:pPr>
            <w:r>
              <w:rPr>
                <w:rFonts w:ascii="宋体" w:hAnsi="宋体" w:eastAsia="宋体"/>
                <w:sz w:val="16"/>
              </w:rPr>
              <w:t>400.91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62718">
            <w:pPr>
              <w:jc w:val="center"/>
            </w:pPr>
            <w:r>
              <w:rPr>
                <w:rFonts w:ascii="宋体" w:hAnsi="宋体" w:eastAsia="宋体"/>
                <w:sz w:val="16"/>
              </w:rPr>
              <w:t>376.97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3BD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9618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2A145">
            <w:pPr>
              <w:jc w:val="center"/>
            </w:pPr>
            <w:r>
              <w:rPr>
                <w:rFonts w:ascii="宋体" w:hAnsi="宋体" w:eastAsia="宋体"/>
                <w:sz w:val="16"/>
              </w:rPr>
              <w:t>—</w:t>
            </w:r>
          </w:p>
        </w:tc>
      </w:tr>
      <w:tr w14:paraId="6EF315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552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AABF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A6C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69C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7F9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317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9D11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D7252">
            <w:pPr>
              <w:jc w:val="center"/>
            </w:pPr>
            <w:r>
              <w:rPr>
                <w:rFonts w:ascii="宋体" w:hAnsi="宋体" w:eastAsia="宋体"/>
                <w:sz w:val="16"/>
              </w:rPr>
              <w:t>—</w:t>
            </w:r>
          </w:p>
        </w:tc>
      </w:tr>
      <w:tr w14:paraId="2E3F1C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FAB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373A6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7D70A9">
            <w:pPr>
              <w:jc w:val="center"/>
            </w:pPr>
            <w:r>
              <w:rPr>
                <w:rFonts w:ascii="宋体" w:hAnsi="宋体" w:eastAsia="宋体"/>
                <w:sz w:val="16"/>
              </w:rPr>
              <w:t>实际完成情况</w:t>
            </w:r>
          </w:p>
        </w:tc>
      </w:tr>
      <w:tr w14:paraId="1EFC06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DD74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B88CA1">
            <w:pPr>
              <w:jc w:val="both"/>
            </w:pPr>
            <w:r>
              <w:rPr>
                <w:rFonts w:ascii="宋体" w:hAnsi="宋体" w:eastAsia="宋体"/>
                <w:sz w:val="16"/>
              </w:rPr>
              <w:t>根据地委史志办组织编纂喀什地方志、地方综合年鉴，并做好出版工作等职责，2024年本部门重点做好《喀什年鉴（2023）》出版印刷工作；《喀什年鉴（2024）》征稿、编纂、出版（申请到书号）；《喀什地区志（1991-2020）》印刷工作；《喀什地区扶贫志》《喀什地区全面小康志》两志全部定稿；编纂《新疆年鉴（2024）》-喀什地区部分供稿；做好县市报送年鉴审读工作；认真落实自治区党史和文献研究院、自治区地方志编纂委员会及地委、行署交办的其他工作任务，发挥史志、存史、育人作用，为地区各级党政及社会各界提供准确可靠的地情资料。</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28A8BB">
            <w:pPr>
              <w:jc w:val="both"/>
            </w:pPr>
            <w:r>
              <w:rPr>
                <w:rFonts w:ascii="宋体" w:hAnsi="宋体" w:eastAsia="宋体"/>
                <w:sz w:val="16"/>
              </w:rPr>
              <w:t>2024年度，地委史志办完成了《喀什年鉴2023》出版印刷及发放工作；完成了《喀什年鉴2024》编纂、出版（书号申请到位）；于10月顺利召开《喀什地区扶贫志》《喀什地区全面小康志》评审会并形成定稿；完成《新疆年鉴2024》《新疆全面小康志》-喀什地区供稿工作；同时完成各县市报送年鉴12部、扶贫志稿4部审核工作。发挥了本部门职能作用，为地区各级党政及社会各界提供准确可靠的地情资料服务工作。</w:t>
            </w:r>
          </w:p>
        </w:tc>
      </w:tr>
      <w:tr w14:paraId="70317F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D60B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5D93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608B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F703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EF9B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A8EC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DA77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FD20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45E63">
            <w:pPr>
              <w:jc w:val="center"/>
            </w:pPr>
            <w:r>
              <w:rPr>
                <w:rFonts w:ascii="宋体" w:hAnsi="宋体" w:eastAsia="宋体"/>
                <w:sz w:val="16"/>
              </w:rPr>
              <w:t>得分</w:t>
            </w:r>
          </w:p>
        </w:tc>
      </w:tr>
      <w:tr w14:paraId="42D2C6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F757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E30E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9FF63">
            <w:pPr>
              <w:jc w:val="center"/>
            </w:pPr>
            <w:r>
              <w:rPr>
                <w:rFonts w:ascii="宋体" w:hAnsi="宋体" w:eastAsia="宋体"/>
                <w:sz w:val="16"/>
              </w:rPr>
              <w:t>出版印刷《喀什年鉴（2023）》卷数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D4FA5">
            <w:pPr>
              <w:jc w:val="center"/>
            </w:pPr>
            <w:r>
              <w:rPr>
                <w:rFonts w:ascii="宋体" w:hAnsi="宋体" w:eastAsia="宋体"/>
                <w:sz w:val="16"/>
              </w:rPr>
              <w:t>&gt;=1卷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6A915">
            <w:pPr>
              <w:jc w:val="center"/>
            </w:pPr>
            <w:r>
              <w:rPr>
                <w:rFonts w:ascii="宋体" w:hAnsi="宋体" w:eastAsia="宋体"/>
                <w:sz w:val="16"/>
              </w:rPr>
              <w:t>地委史志办2024年重点工作谋划报告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C61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8D93">
            <w:pPr>
              <w:jc w:val="center"/>
            </w:pPr>
            <w:r>
              <w:rPr>
                <w:rFonts w:ascii="宋体" w:hAnsi="宋体" w:eastAsia="宋体"/>
                <w:sz w:val="16"/>
              </w:rPr>
              <w:t>1卷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96F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8BB61">
            <w:pPr>
              <w:jc w:val="center"/>
            </w:pPr>
            <w:r>
              <w:rPr>
                <w:rFonts w:ascii="宋体" w:hAnsi="宋体" w:eastAsia="宋体"/>
                <w:sz w:val="16"/>
              </w:rPr>
              <w:t>20</w:t>
            </w:r>
          </w:p>
        </w:tc>
      </w:tr>
      <w:tr w14:paraId="203A86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7DD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AAF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31E11">
            <w:pPr>
              <w:jc w:val="center"/>
            </w:pPr>
            <w:r>
              <w:rPr>
                <w:rFonts w:ascii="宋体" w:hAnsi="宋体" w:eastAsia="宋体"/>
                <w:sz w:val="16"/>
              </w:rPr>
              <w:t>编纂出版《喀什年鉴（2024）》卷数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61A5D">
            <w:pPr>
              <w:jc w:val="center"/>
            </w:pPr>
            <w:r>
              <w:rPr>
                <w:rFonts w:ascii="宋体" w:hAnsi="宋体" w:eastAsia="宋体"/>
                <w:sz w:val="16"/>
              </w:rPr>
              <w:t>&gt;=1卷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8081F">
            <w:pPr>
              <w:jc w:val="center"/>
            </w:pPr>
            <w:r>
              <w:rPr>
                <w:rFonts w:ascii="宋体" w:hAnsi="宋体" w:eastAsia="宋体"/>
                <w:sz w:val="16"/>
              </w:rPr>
              <w:t>地委史志办2024年重点工作谋划报告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48C5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7FC83">
            <w:pPr>
              <w:jc w:val="center"/>
            </w:pPr>
            <w:r>
              <w:rPr>
                <w:rFonts w:ascii="宋体" w:hAnsi="宋体" w:eastAsia="宋体"/>
                <w:sz w:val="16"/>
              </w:rPr>
              <w:t>1卷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FE3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BD32D">
            <w:pPr>
              <w:jc w:val="center"/>
            </w:pPr>
            <w:r>
              <w:rPr>
                <w:rFonts w:ascii="宋体" w:hAnsi="宋体" w:eastAsia="宋体"/>
                <w:sz w:val="16"/>
              </w:rPr>
              <w:t>20</w:t>
            </w:r>
          </w:p>
        </w:tc>
      </w:tr>
      <w:tr w14:paraId="213254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58E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6A4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0768E">
            <w:pPr>
              <w:jc w:val="center"/>
            </w:pPr>
            <w:r>
              <w:rPr>
                <w:rFonts w:ascii="宋体" w:hAnsi="宋体" w:eastAsia="宋体"/>
                <w:sz w:val="16"/>
              </w:rPr>
              <w:t>《喀什地区扶贫志》形成定稿部数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719B8">
            <w:pPr>
              <w:jc w:val="center"/>
            </w:pPr>
            <w:r>
              <w:rPr>
                <w:rFonts w:ascii="宋体" w:hAnsi="宋体" w:eastAsia="宋体"/>
                <w:sz w:val="16"/>
              </w:rPr>
              <w:t>&gt;=1部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69B47">
            <w:pPr>
              <w:jc w:val="center"/>
            </w:pPr>
            <w:r>
              <w:rPr>
                <w:rFonts w:ascii="宋体" w:hAnsi="宋体" w:eastAsia="宋体"/>
                <w:sz w:val="16"/>
              </w:rPr>
              <w:t>地委史志办2024年重点工作谋划报告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5ABC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0C32B">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CD6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9EF4">
            <w:pPr>
              <w:jc w:val="center"/>
            </w:pPr>
            <w:r>
              <w:rPr>
                <w:rFonts w:ascii="宋体" w:hAnsi="宋体" w:eastAsia="宋体"/>
                <w:sz w:val="16"/>
              </w:rPr>
              <w:t>20</w:t>
            </w:r>
          </w:p>
        </w:tc>
      </w:tr>
      <w:tr w14:paraId="265455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119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684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03BF3">
            <w:pPr>
              <w:jc w:val="center"/>
            </w:pPr>
            <w:r>
              <w:rPr>
                <w:rFonts w:ascii="宋体" w:hAnsi="宋体" w:eastAsia="宋体"/>
                <w:sz w:val="16"/>
              </w:rPr>
              <w:t>出版印刷《喀什地区志（1991-2020）》部数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FFFB3">
            <w:pPr>
              <w:jc w:val="center"/>
            </w:pPr>
            <w:r>
              <w:rPr>
                <w:rFonts w:ascii="宋体" w:hAnsi="宋体" w:eastAsia="宋体"/>
                <w:sz w:val="16"/>
              </w:rPr>
              <w:t>&gt;=1部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AF583">
            <w:pPr>
              <w:jc w:val="center"/>
            </w:pPr>
            <w:r>
              <w:rPr>
                <w:rFonts w:ascii="宋体" w:hAnsi="宋体" w:eastAsia="宋体"/>
                <w:sz w:val="16"/>
              </w:rPr>
              <w:t>地委史志办2024年重点工作谋划报告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15F0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876BA">
            <w:pPr>
              <w:jc w:val="center"/>
            </w:pPr>
            <w:r>
              <w:rPr>
                <w:rFonts w:ascii="宋体" w:hAnsi="宋体" w:eastAsia="宋体"/>
                <w:sz w:val="16"/>
              </w:rPr>
              <w:t>0部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BC31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7BD5D">
            <w:pPr>
              <w:jc w:val="center"/>
            </w:pPr>
            <w:r>
              <w:rPr>
                <w:rFonts w:ascii="宋体" w:hAnsi="宋体" w:eastAsia="宋体"/>
                <w:sz w:val="16"/>
              </w:rPr>
              <w:t>0</w:t>
            </w:r>
          </w:p>
        </w:tc>
      </w:tr>
      <w:tr w14:paraId="0AC93C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6BC0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72BF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891D">
            <w:pPr>
              <w:jc w:val="center"/>
            </w:pPr>
            <w:r>
              <w:rPr>
                <w:rFonts w:ascii="宋体" w:hAnsi="宋体" w:eastAsia="宋体"/>
                <w:sz w:val="16"/>
              </w:rPr>
              <w:t>《喀什地区全面小康志》形成定稿</w:t>
            </w:r>
            <w:r>
              <w:rPr>
                <w:rFonts w:hint="eastAsia" w:ascii="宋体" w:hAnsi="宋体"/>
                <w:sz w:val="16"/>
                <w:lang w:eastAsia="zh-CN"/>
              </w:rPr>
              <w:t>部署</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6A7A1">
            <w:pPr>
              <w:jc w:val="center"/>
            </w:pPr>
            <w:r>
              <w:rPr>
                <w:rFonts w:ascii="宋体" w:hAnsi="宋体" w:eastAsia="宋体"/>
                <w:sz w:val="16"/>
              </w:rPr>
              <w:t>&gt;=1部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A9716">
            <w:pPr>
              <w:jc w:val="center"/>
            </w:pPr>
            <w:r>
              <w:rPr>
                <w:rFonts w:ascii="宋体" w:hAnsi="宋体" w:eastAsia="宋体"/>
                <w:sz w:val="16"/>
              </w:rPr>
              <w:t>地委史志办2024年重点工作谋划报告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10EC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A8D93">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D2D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2DDBF">
            <w:pPr>
              <w:jc w:val="center"/>
            </w:pPr>
            <w:r>
              <w:rPr>
                <w:rFonts w:ascii="宋体" w:hAnsi="宋体" w:eastAsia="宋体"/>
                <w:sz w:val="16"/>
              </w:rPr>
              <w:t>15</w:t>
            </w:r>
          </w:p>
        </w:tc>
      </w:tr>
    </w:tbl>
    <w:p w14:paraId="4242EA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1066F0C">
        <w:tblPrEx>
          <w:tblCellMar>
            <w:top w:w="0" w:type="dxa"/>
            <w:left w:w="108" w:type="dxa"/>
            <w:bottom w:w="0" w:type="dxa"/>
            <w:right w:w="108" w:type="dxa"/>
          </w:tblCellMar>
        </w:tblPrEx>
        <w:tc>
          <w:tcPr>
            <w:tcW w:w="8848" w:type="dxa"/>
            <w:gridSpan w:val="14"/>
            <w:vAlign w:val="center"/>
          </w:tcPr>
          <w:p w14:paraId="1A52198C">
            <w:pPr>
              <w:jc w:val="center"/>
            </w:pPr>
            <w:r>
              <w:rPr>
                <w:rFonts w:ascii="宋体" w:hAnsi="宋体" w:eastAsia="宋体"/>
                <w:sz w:val="24"/>
              </w:rPr>
              <w:t>项目支出绩效自评表</w:t>
            </w:r>
          </w:p>
        </w:tc>
      </w:tr>
      <w:tr w14:paraId="776B1A8E">
        <w:tblPrEx>
          <w:tblCellMar>
            <w:top w:w="0" w:type="dxa"/>
            <w:left w:w="108" w:type="dxa"/>
            <w:bottom w:w="0" w:type="dxa"/>
            <w:right w:w="108" w:type="dxa"/>
          </w:tblCellMar>
        </w:tblPrEx>
        <w:tc>
          <w:tcPr>
            <w:tcW w:w="8848" w:type="dxa"/>
            <w:gridSpan w:val="14"/>
            <w:vAlign w:val="center"/>
          </w:tcPr>
          <w:p w14:paraId="3DB1AF06">
            <w:pPr>
              <w:jc w:val="center"/>
            </w:pPr>
            <w:r>
              <w:rPr>
                <w:rFonts w:ascii="宋体" w:hAnsi="宋体" w:eastAsia="宋体"/>
                <w:sz w:val="24"/>
              </w:rPr>
              <w:t>(2024年度)</w:t>
            </w:r>
          </w:p>
        </w:tc>
      </w:tr>
      <w:tr w14:paraId="0D30CD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DC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FD515D">
            <w:pPr>
              <w:jc w:val="center"/>
            </w:pPr>
            <w:r>
              <w:rPr>
                <w:rFonts w:ascii="宋体" w:hAnsi="宋体" w:eastAsia="宋体"/>
                <w:sz w:val="16"/>
              </w:rPr>
              <w:t>《喀什地区全面小康志》编纂项目</w:t>
            </w:r>
          </w:p>
        </w:tc>
      </w:tr>
      <w:tr w14:paraId="152DDB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BD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F95B7">
            <w:pPr>
              <w:jc w:val="center"/>
            </w:pPr>
            <w:r>
              <w:rPr>
                <w:rFonts w:ascii="宋体" w:hAnsi="宋体" w:eastAsia="宋体"/>
                <w:sz w:val="16"/>
              </w:rPr>
              <w:t>中共喀什地委党史办公室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8B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684F0">
            <w:pPr>
              <w:jc w:val="center"/>
            </w:pPr>
            <w:r>
              <w:rPr>
                <w:rFonts w:ascii="宋体" w:hAnsi="宋体" w:eastAsia="宋体"/>
                <w:sz w:val="16"/>
              </w:rPr>
              <w:t>中共喀什地委党史办公室</w:t>
            </w:r>
          </w:p>
        </w:tc>
      </w:tr>
      <w:tr w14:paraId="645E40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936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80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2FA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E5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0E0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D53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202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8532">
            <w:pPr>
              <w:jc w:val="center"/>
            </w:pPr>
            <w:r>
              <w:rPr>
                <w:rFonts w:ascii="宋体" w:hAnsi="宋体" w:eastAsia="宋体"/>
                <w:sz w:val="16"/>
              </w:rPr>
              <w:t>得分</w:t>
            </w:r>
          </w:p>
        </w:tc>
      </w:tr>
      <w:tr w14:paraId="49F6D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104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2C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58417">
            <w:pPr>
              <w:jc w:val="center"/>
            </w:pPr>
            <w:r>
              <w:rPr>
                <w:rFonts w:ascii="宋体" w:hAnsi="宋体" w:eastAsia="宋体"/>
                <w:sz w:val="16"/>
              </w:rPr>
              <w:t>54.43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6E45B">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DC657">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D14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1AC2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69D6">
            <w:pPr>
              <w:jc w:val="center"/>
            </w:pPr>
            <w:r>
              <w:rPr>
                <w:rFonts w:ascii="宋体" w:hAnsi="宋体" w:eastAsia="宋体"/>
                <w:sz w:val="16"/>
              </w:rPr>
              <w:t>10.00分</w:t>
            </w:r>
          </w:p>
        </w:tc>
      </w:tr>
      <w:tr w14:paraId="0D703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F8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10E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5DC07">
            <w:pPr>
              <w:jc w:val="center"/>
            </w:pPr>
            <w:r>
              <w:rPr>
                <w:rFonts w:ascii="宋体" w:hAnsi="宋体" w:eastAsia="宋体"/>
                <w:sz w:val="16"/>
              </w:rPr>
              <w:t>54.43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24623">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0F5AF">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303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D0F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6BD6">
            <w:pPr>
              <w:jc w:val="center"/>
            </w:pPr>
            <w:r>
              <w:rPr>
                <w:rFonts w:ascii="宋体" w:hAnsi="宋体" w:eastAsia="宋体"/>
                <w:sz w:val="16"/>
              </w:rPr>
              <w:t>—</w:t>
            </w:r>
          </w:p>
        </w:tc>
      </w:tr>
      <w:tr w14:paraId="0A7D5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D3A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B8B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270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715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1D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18D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94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C5C1">
            <w:pPr>
              <w:jc w:val="center"/>
            </w:pPr>
            <w:r>
              <w:rPr>
                <w:rFonts w:ascii="宋体" w:hAnsi="宋体" w:eastAsia="宋体"/>
                <w:sz w:val="16"/>
              </w:rPr>
              <w:t>—</w:t>
            </w:r>
          </w:p>
        </w:tc>
      </w:tr>
      <w:tr w14:paraId="1F5423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3CB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67A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4CC66D">
            <w:pPr>
              <w:jc w:val="center"/>
            </w:pPr>
            <w:r>
              <w:rPr>
                <w:rFonts w:ascii="宋体" w:hAnsi="宋体" w:eastAsia="宋体"/>
                <w:sz w:val="16"/>
              </w:rPr>
              <w:t>实际完成情况</w:t>
            </w:r>
          </w:p>
        </w:tc>
      </w:tr>
      <w:tr w14:paraId="6712A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775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A2904F">
            <w:pPr>
              <w:jc w:val="both"/>
            </w:pPr>
            <w:r>
              <w:rPr>
                <w:rFonts w:ascii="宋体" w:hAnsi="宋体" w:eastAsia="宋体"/>
                <w:sz w:val="16"/>
              </w:rPr>
              <w:t>2024年做好《喀什地区全面小康志》初稿报送审读机构审读2家（地区审读中心、自治区地方志编委会）、召开评审会1次，形成定稿1项，字数控制在130万字,成书后将书籍发放至地区领导及各承编单位，发挥志书资政、存史、育人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786C46">
            <w:pPr>
              <w:jc w:val="both"/>
            </w:pPr>
            <w:r>
              <w:rPr>
                <w:rFonts w:ascii="宋体" w:hAnsi="宋体" w:eastAsia="宋体"/>
                <w:sz w:val="16"/>
              </w:rPr>
              <w:t>2024年，中共喀什地委党史办公室按照合同约定做好《喀什地区全面小康志》的送审并顺利通过审读程序，于2024年10月召开评审会，并修改完善形成定稿。以上工作的完成，将会有效促进地方志地情资料资政、存史、育人发挥服务作用。进一步坚定喀什各族群众</w:t>
            </w:r>
            <w:r>
              <w:rPr>
                <w:rFonts w:hint="eastAsia" w:ascii="宋体" w:hAnsi="宋体"/>
                <w:sz w:val="16"/>
                <w:lang w:eastAsia="zh-CN"/>
              </w:rPr>
              <w:t>感党恩、听党话、跟党走</w:t>
            </w:r>
            <w:r>
              <w:rPr>
                <w:rFonts w:ascii="宋体" w:hAnsi="宋体" w:eastAsia="宋体"/>
                <w:sz w:val="16"/>
              </w:rPr>
              <w:t>的信心决心，不断增强对中华民族的认同感和自豪感，振奋各族群众奋进新征程、建功新时代的精气神。</w:t>
            </w:r>
          </w:p>
        </w:tc>
      </w:tr>
      <w:tr w14:paraId="48F6E6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4FFD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0A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3A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69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60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1D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C6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62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04D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74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018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18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107CD">
            <w:pPr>
              <w:jc w:val="center"/>
            </w:pPr>
            <w:r>
              <w:rPr>
                <w:rFonts w:ascii="宋体" w:hAnsi="宋体" w:eastAsia="宋体"/>
                <w:sz w:val="16"/>
              </w:rPr>
              <w:t>偏差原因分析及改进措施</w:t>
            </w:r>
          </w:p>
        </w:tc>
      </w:tr>
      <w:tr w14:paraId="45A4BB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7E7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EE8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C3D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6D1C">
            <w:pPr>
              <w:jc w:val="center"/>
            </w:pPr>
            <w:r>
              <w:rPr>
                <w:rFonts w:ascii="宋体" w:hAnsi="宋体" w:eastAsia="宋体"/>
                <w:sz w:val="16"/>
              </w:rPr>
              <w:t>通过审读机构审读数量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655A">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49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0B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B1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57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BD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643A">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93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72139">
            <w:pPr>
              <w:jc w:val="center"/>
            </w:pPr>
          </w:p>
        </w:tc>
      </w:tr>
      <w:tr w14:paraId="262AC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4F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7A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F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76F9">
            <w:pPr>
              <w:jc w:val="center"/>
            </w:pPr>
            <w:r>
              <w:rPr>
                <w:rFonts w:ascii="宋体" w:hAnsi="宋体" w:eastAsia="宋体"/>
                <w:sz w:val="16"/>
              </w:rPr>
              <w:t>召开评审会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3EF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E3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75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54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B9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35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A27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EA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8D2E1">
            <w:pPr>
              <w:jc w:val="center"/>
            </w:pPr>
          </w:p>
        </w:tc>
      </w:tr>
      <w:tr w14:paraId="74298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94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25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9B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22EA">
            <w:pPr>
              <w:jc w:val="center"/>
            </w:pPr>
            <w:r>
              <w:rPr>
                <w:rFonts w:ascii="宋体" w:hAnsi="宋体" w:eastAsia="宋体"/>
                <w:sz w:val="16"/>
              </w:rPr>
              <w:t>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0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8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3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8E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EE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8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8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62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48B8">
            <w:pPr>
              <w:jc w:val="center"/>
            </w:pPr>
          </w:p>
        </w:tc>
      </w:tr>
      <w:tr w14:paraId="3F322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B1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BA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69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4B3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F9E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10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1C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0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74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F0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5416">
            <w:pPr>
              <w:jc w:val="center"/>
            </w:pPr>
            <w:r>
              <w:rPr>
                <w:rFonts w:ascii="宋体" w:hAnsi="宋体" w:eastAsia="宋体"/>
                <w:sz w:val="16"/>
              </w:rPr>
              <w:t>=2024年10月21日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9C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5040E">
            <w:pPr>
              <w:jc w:val="center"/>
            </w:pPr>
          </w:p>
        </w:tc>
      </w:tr>
      <w:tr w14:paraId="37C1D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A73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26FB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FD3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9335">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03F1">
            <w:pPr>
              <w:jc w:val="center"/>
            </w:pPr>
            <w:r>
              <w:rPr>
                <w:rFonts w:ascii="宋体" w:hAnsi="宋体" w:eastAsia="宋体"/>
                <w:sz w:val="16"/>
              </w:rPr>
              <w:t>&lt;=51.03万元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A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CE9C">
            <w:pPr>
              <w:jc w:val="center"/>
            </w:pPr>
            <w:r>
              <w:rPr>
                <w:rFonts w:ascii="宋体" w:hAnsi="宋体" w:eastAsia="宋体"/>
                <w:sz w:val="16"/>
              </w:rPr>
              <w:t>49.57万元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75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1C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18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679F">
            <w:pPr>
              <w:jc w:val="center"/>
            </w:pPr>
            <w:r>
              <w:rPr>
                <w:rFonts w:ascii="宋体" w:hAnsi="宋体" w:eastAsia="宋体"/>
                <w:sz w:val="16"/>
              </w:rPr>
              <w:t>=51.03万元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C6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C42C9">
            <w:pPr>
              <w:jc w:val="center"/>
            </w:pPr>
          </w:p>
        </w:tc>
      </w:tr>
      <w:tr w14:paraId="6C4D1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C1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AE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49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0493">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3514">
            <w:pPr>
              <w:jc w:val="center"/>
            </w:pPr>
            <w:r>
              <w:rPr>
                <w:rFonts w:ascii="宋体" w:hAnsi="宋体" w:eastAsia="宋体"/>
                <w:sz w:val="16"/>
              </w:rPr>
              <w:t>&lt;=0.35万元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2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5B35">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13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F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DC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3EAC">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E1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461D">
            <w:pPr>
              <w:jc w:val="center"/>
            </w:pPr>
          </w:p>
        </w:tc>
      </w:tr>
      <w:tr w14:paraId="2AF0BA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BF9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9E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8A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883A">
            <w:pPr>
              <w:jc w:val="center"/>
            </w:pPr>
            <w:r>
              <w:rPr>
                <w:rFonts w:ascii="宋体" w:hAnsi="宋体" w:eastAsia="宋体"/>
                <w:sz w:val="16"/>
              </w:rPr>
              <w:t>社会各界对喀什地区发展的关注和支持经济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D24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1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829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E4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69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9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589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5C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F555">
            <w:pPr>
              <w:jc w:val="center"/>
            </w:pPr>
          </w:p>
        </w:tc>
      </w:tr>
      <w:tr w14:paraId="5209C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81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24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8C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779E">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D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EB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2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3F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63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16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A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31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6C2E4">
            <w:pPr>
              <w:jc w:val="center"/>
            </w:pPr>
          </w:p>
        </w:tc>
      </w:tr>
      <w:tr w14:paraId="78C9ED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2C7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3B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431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4A298F">
            <w:pPr>
              <w:jc w:val="center"/>
            </w:pPr>
            <w:r>
              <w:rPr>
                <w:rFonts w:ascii="宋体" w:hAnsi="宋体" w:eastAsia="宋体"/>
                <w:sz w:val="16"/>
              </w:rPr>
              <w:t>100分</w:t>
            </w:r>
          </w:p>
        </w:tc>
      </w:tr>
    </w:tbl>
    <w:p w14:paraId="30CB003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32"/>
        <w:gridCol w:w="776"/>
        <w:gridCol w:w="625"/>
        <w:gridCol w:w="696"/>
        <w:gridCol w:w="625"/>
        <w:gridCol w:w="625"/>
        <w:gridCol w:w="625"/>
        <w:gridCol w:w="696"/>
        <w:gridCol w:w="630"/>
        <w:gridCol w:w="619"/>
        <w:gridCol w:w="632"/>
      </w:tblGrid>
      <w:tr w14:paraId="4CFA86C9">
        <w:tblPrEx>
          <w:tblCellMar>
            <w:top w:w="0" w:type="dxa"/>
            <w:left w:w="108" w:type="dxa"/>
            <w:bottom w:w="0" w:type="dxa"/>
            <w:right w:w="108" w:type="dxa"/>
          </w:tblCellMar>
        </w:tblPrEx>
        <w:tc>
          <w:tcPr>
            <w:tcW w:w="8848" w:type="dxa"/>
            <w:gridSpan w:val="14"/>
            <w:vAlign w:val="center"/>
          </w:tcPr>
          <w:p w14:paraId="387B82BC">
            <w:pPr>
              <w:jc w:val="center"/>
            </w:pPr>
            <w:r>
              <w:rPr>
                <w:rFonts w:ascii="宋体" w:hAnsi="宋体" w:eastAsia="宋体"/>
                <w:sz w:val="24"/>
              </w:rPr>
              <w:t>项目支出绩效自评表</w:t>
            </w:r>
          </w:p>
        </w:tc>
      </w:tr>
      <w:tr w14:paraId="349674EC">
        <w:tblPrEx>
          <w:tblCellMar>
            <w:top w:w="0" w:type="dxa"/>
            <w:left w:w="108" w:type="dxa"/>
            <w:bottom w:w="0" w:type="dxa"/>
            <w:right w:w="108" w:type="dxa"/>
          </w:tblCellMar>
        </w:tblPrEx>
        <w:tc>
          <w:tcPr>
            <w:tcW w:w="8848" w:type="dxa"/>
            <w:gridSpan w:val="14"/>
            <w:vAlign w:val="center"/>
          </w:tcPr>
          <w:p w14:paraId="22B0FA9D">
            <w:pPr>
              <w:jc w:val="center"/>
            </w:pPr>
            <w:r>
              <w:rPr>
                <w:rFonts w:ascii="宋体" w:hAnsi="宋体" w:eastAsia="宋体"/>
                <w:sz w:val="24"/>
              </w:rPr>
              <w:t>(2024年度)</w:t>
            </w:r>
          </w:p>
        </w:tc>
      </w:tr>
      <w:tr w14:paraId="2024F4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598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EC573E">
            <w:pPr>
              <w:jc w:val="center"/>
            </w:pPr>
            <w:r>
              <w:rPr>
                <w:rFonts w:ascii="宋体" w:hAnsi="宋体" w:eastAsia="宋体"/>
                <w:sz w:val="16"/>
              </w:rPr>
              <w:t>《喀什地区扶贫志》编纂项目</w:t>
            </w:r>
          </w:p>
        </w:tc>
      </w:tr>
      <w:tr w14:paraId="2A5821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52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251C8">
            <w:pPr>
              <w:jc w:val="center"/>
            </w:pPr>
            <w:r>
              <w:rPr>
                <w:rFonts w:ascii="宋体" w:hAnsi="宋体" w:eastAsia="宋体"/>
                <w:sz w:val="16"/>
              </w:rPr>
              <w:t>中共喀什地委党史办公室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0A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F4AF13">
            <w:pPr>
              <w:jc w:val="center"/>
            </w:pPr>
            <w:r>
              <w:rPr>
                <w:rFonts w:ascii="宋体" w:hAnsi="宋体" w:eastAsia="宋体"/>
                <w:sz w:val="16"/>
              </w:rPr>
              <w:t>中共喀什地委党史办公室</w:t>
            </w:r>
          </w:p>
        </w:tc>
      </w:tr>
      <w:tr w14:paraId="773C84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D62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61E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BF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702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237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70E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EC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F150">
            <w:pPr>
              <w:jc w:val="center"/>
            </w:pPr>
            <w:r>
              <w:rPr>
                <w:rFonts w:ascii="宋体" w:hAnsi="宋体" w:eastAsia="宋体"/>
                <w:sz w:val="16"/>
              </w:rPr>
              <w:t>得分</w:t>
            </w:r>
          </w:p>
        </w:tc>
      </w:tr>
      <w:tr w14:paraId="299B7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4BA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56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577A">
            <w:pPr>
              <w:jc w:val="center"/>
            </w:pPr>
            <w:r>
              <w:rPr>
                <w:rFonts w:ascii="宋体" w:hAnsi="宋体" w:eastAsia="宋体"/>
                <w:sz w:val="16"/>
              </w:rPr>
              <w:t>38.18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619A">
            <w:pPr>
              <w:jc w:val="center"/>
            </w:pPr>
            <w:r>
              <w:rPr>
                <w:rFonts w:ascii="宋体" w:hAnsi="宋体" w:eastAsia="宋体"/>
                <w:sz w:val="16"/>
              </w:rPr>
              <w:t>33.04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DF932">
            <w:pPr>
              <w:jc w:val="center"/>
            </w:pPr>
            <w:r>
              <w:rPr>
                <w:rFonts w:ascii="宋体" w:hAnsi="宋体" w:eastAsia="宋体"/>
                <w:sz w:val="16"/>
              </w:rPr>
              <w:t>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D12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AECCA">
            <w:pPr>
              <w:jc w:val="center"/>
            </w:pPr>
            <w:r>
              <w:rPr>
                <w:rFonts w:ascii="宋体" w:hAnsi="宋体" w:eastAsia="宋体"/>
                <w:sz w:val="16"/>
              </w:rPr>
              <w:t>27.6%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D390">
            <w:pPr>
              <w:jc w:val="center"/>
            </w:pPr>
            <w:r>
              <w:rPr>
                <w:rFonts w:ascii="宋体" w:hAnsi="宋体" w:eastAsia="宋体"/>
                <w:sz w:val="16"/>
              </w:rPr>
              <w:t>0.00分</w:t>
            </w:r>
          </w:p>
        </w:tc>
      </w:tr>
      <w:tr w14:paraId="63141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939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051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77B2F">
            <w:pPr>
              <w:jc w:val="center"/>
            </w:pPr>
            <w:r>
              <w:rPr>
                <w:rFonts w:ascii="宋体" w:hAnsi="宋体" w:eastAsia="宋体"/>
                <w:sz w:val="16"/>
              </w:rPr>
              <w:t>38.18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927C6">
            <w:pPr>
              <w:jc w:val="center"/>
            </w:pPr>
            <w:r>
              <w:rPr>
                <w:rFonts w:ascii="宋体" w:hAnsi="宋体" w:eastAsia="宋体"/>
                <w:sz w:val="16"/>
              </w:rPr>
              <w:t>33.04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E52A2">
            <w:pPr>
              <w:jc w:val="center"/>
            </w:pPr>
            <w:r>
              <w:rPr>
                <w:rFonts w:ascii="宋体" w:hAnsi="宋体" w:eastAsia="宋体"/>
                <w:sz w:val="16"/>
              </w:rPr>
              <w:t>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D2A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677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3F7E">
            <w:pPr>
              <w:jc w:val="center"/>
            </w:pPr>
            <w:r>
              <w:rPr>
                <w:rFonts w:ascii="宋体" w:hAnsi="宋体" w:eastAsia="宋体"/>
                <w:sz w:val="16"/>
              </w:rPr>
              <w:t>—</w:t>
            </w:r>
          </w:p>
        </w:tc>
      </w:tr>
      <w:tr w14:paraId="143D2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73E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F2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43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12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18F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3D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B3E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8BB6">
            <w:pPr>
              <w:jc w:val="center"/>
            </w:pPr>
            <w:r>
              <w:rPr>
                <w:rFonts w:ascii="宋体" w:hAnsi="宋体" w:eastAsia="宋体"/>
                <w:sz w:val="16"/>
              </w:rPr>
              <w:t>—</w:t>
            </w:r>
          </w:p>
        </w:tc>
      </w:tr>
      <w:tr w14:paraId="4BFD7D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9AE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196B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F304CF">
            <w:pPr>
              <w:jc w:val="center"/>
            </w:pPr>
            <w:r>
              <w:rPr>
                <w:rFonts w:ascii="宋体" w:hAnsi="宋体" w:eastAsia="宋体"/>
                <w:sz w:val="16"/>
              </w:rPr>
              <w:t>实际完成情况</w:t>
            </w:r>
          </w:p>
        </w:tc>
      </w:tr>
      <w:tr w14:paraId="1D634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EB0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57443">
            <w:pPr>
              <w:jc w:val="both"/>
            </w:pPr>
            <w:r>
              <w:rPr>
                <w:rFonts w:ascii="宋体" w:hAnsi="宋体" w:eastAsia="宋体"/>
                <w:sz w:val="16"/>
              </w:rPr>
              <w:t>《喀什地区扶贫志》项目分两年实施，2024年做好《喀什地区扶贫志》初审、复审工作1项、形成符合中志办要求的终审稿工作1项，定稿字数控制在60-70万字,确保全国扶贫志丛书按期发行。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90B548">
            <w:pPr>
              <w:jc w:val="both"/>
            </w:pPr>
            <w:r>
              <w:rPr>
                <w:rFonts w:ascii="宋体" w:hAnsi="宋体" w:eastAsia="宋体"/>
                <w:sz w:val="16"/>
              </w:rPr>
              <w:t xml:space="preserve">   该项目实际已完成：通过初审、复审任务1项，业务人员参加培训和</w:t>
            </w:r>
            <w:r>
              <w:rPr>
                <w:rFonts w:hint="eastAsia" w:ascii="宋体" w:hAnsi="宋体"/>
                <w:sz w:val="16"/>
                <w:lang w:eastAsia="zh-CN"/>
              </w:rPr>
              <w:t>评审</w:t>
            </w:r>
            <w:r>
              <w:rPr>
                <w:rFonts w:ascii="宋体" w:hAnsi="宋体" w:eastAsia="宋体"/>
                <w:sz w:val="16"/>
              </w:rPr>
              <w:t>6人次。中共喀什地委党史办公室于2024年10月由自治区地方志编委会组织召开评审会，经过修改完善、形成定稿。以上工作的完成，为下一步打造精品，有效促进地方志地情资料存史、资政作用。</w:t>
            </w:r>
          </w:p>
        </w:tc>
      </w:tr>
      <w:tr w14:paraId="1C9BA2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77F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09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15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73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2F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FC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70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0A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58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50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35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7B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35B03">
            <w:pPr>
              <w:jc w:val="center"/>
            </w:pPr>
            <w:r>
              <w:rPr>
                <w:rFonts w:ascii="宋体" w:hAnsi="宋体" w:eastAsia="宋体"/>
                <w:sz w:val="16"/>
              </w:rPr>
              <w:t>偏差原因分析及改进措施</w:t>
            </w:r>
          </w:p>
        </w:tc>
      </w:tr>
      <w:tr w14:paraId="1376F2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F09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D55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EAB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1A27">
            <w:pPr>
              <w:jc w:val="center"/>
            </w:pPr>
            <w:r>
              <w:rPr>
                <w:rFonts w:ascii="宋体" w:hAnsi="宋体" w:eastAsia="宋体"/>
                <w:sz w:val="16"/>
              </w:rPr>
              <w:t>通过初审、复审任务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589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0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E1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A7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5D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6C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814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C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F6198">
            <w:pPr>
              <w:jc w:val="center"/>
            </w:pPr>
          </w:p>
        </w:tc>
      </w:tr>
      <w:tr w14:paraId="0D6F5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2D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DB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243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CBB4">
            <w:pPr>
              <w:jc w:val="center"/>
            </w:pPr>
            <w:r>
              <w:rPr>
                <w:rFonts w:ascii="宋体" w:hAnsi="宋体" w:eastAsia="宋体"/>
                <w:sz w:val="16"/>
              </w:rPr>
              <w:t>业务人员参加培训和评审会人次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C21C">
            <w:pPr>
              <w:jc w:val="center"/>
            </w:pPr>
            <w:r>
              <w:rPr>
                <w:rFonts w:ascii="宋体" w:hAnsi="宋体" w:eastAsia="宋体"/>
                <w:sz w:val="16"/>
              </w:rPr>
              <w:t>&gt;=6人次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43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FB86">
            <w:pPr>
              <w:jc w:val="center"/>
            </w:pPr>
            <w:r>
              <w:rPr>
                <w:rFonts w:ascii="宋体" w:hAnsi="宋体" w:eastAsia="宋体"/>
                <w:sz w:val="16"/>
              </w:rPr>
              <w: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8C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EA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7E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20F5">
            <w:pPr>
              <w:jc w:val="center"/>
            </w:pPr>
            <w:r>
              <w:rPr>
                <w:rFonts w:ascii="宋体" w:hAnsi="宋体" w:eastAsia="宋体"/>
                <w:sz w:val="16"/>
              </w:rPr>
              <w: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44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4446">
            <w:pPr>
              <w:jc w:val="center"/>
            </w:pPr>
          </w:p>
        </w:tc>
      </w:tr>
      <w:tr w14:paraId="032D6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EE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6A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98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65FE">
            <w:pPr>
              <w:jc w:val="center"/>
            </w:pPr>
            <w:r>
              <w:rPr>
                <w:rFonts w:ascii="宋体" w:hAnsi="宋体" w:eastAsia="宋体"/>
                <w:sz w:val="16"/>
              </w:rPr>
              <w:t>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FE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6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E9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95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3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FB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1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96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7FE9">
            <w:pPr>
              <w:jc w:val="center"/>
            </w:pPr>
          </w:p>
        </w:tc>
      </w:tr>
      <w:tr w14:paraId="3923B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03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E6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B5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19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5E2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6D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D3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10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D9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A0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9447">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06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CA89A">
            <w:pPr>
              <w:jc w:val="center"/>
            </w:pPr>
          </w:p>
        </w:tc>
      </w:tr>
      <w:tr w14:paraId="3DA60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891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C7DE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0E1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FDF4">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C18A">
            <w:pPr>
              <w:jc w:val="center"/>
            </w:pPr>
            <w:r>
              <w:rPr>
                <w:rFonts w:ascii="宋体" w:hAnsi="宋体" w:eastAsia="宋体"/>
                <w:sz w:val="16"/>
              </w:rPr>
              <w:t>&lt;=32.88万元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1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70A9">
            <w:pPr>
              <w:jc w:val="center"/>
            </w:pPr>
            <w:r>
              <w:rPr>
                <w:rFonts w:ascii="宋体" w:hAnsi="宋体" w:eastAsia="宋体"/>
                <w:sz w:val="16"/>
              </w:rPr>
              <w:t>26.901万元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9D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3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1A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2145">
            <w:pPr>
              <w:jc w:val="center"/>
            </w:pPr>
            <w:r>
              <w:rPr>
                <w:rFonts w:ascii="宋体" w:hAnsi="宋体" w:eastAsia="宋体"/>
                <w:sz w:val="16"/>
              </w:rPr>
              <w:t>=8.967万元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65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58DB8">
            <w:pPr>
              <w:jc w:val="center"/>
            </w:pPr>
            <w:r>
              <w:rPr>
                <w:rFonts w:ascii="宋体" w:hAnsi="宋体" w:eastAsia="宋体"/>
                <w:sz w:val="16"/>
              </w:rPr>
              <w:t>该项指标有重大偏差，偏差原因是根据全国扶贫志编纂工作时间及提升质量的相关会议精神（延长交稿时间），喀什地区经过多次对接决定对项目时间进行调整，以确保编纂工作的质量和深度。采取措施：一是根据实际情况调整项目计划；二是优化人力、物力资源分配；三是建立高效沟通机制；四是开展培训和能力提升。</w:t>
            </w:r>
          </w:p>
        </w:tc>
      </w:tr>
      <w:tr w14:paraId="4C2F1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ECB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31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57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C96D">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11BB">
            <w:pPr>
              <w:jc w:val="center"/>
            </w:pPr>
            <w:r>
              <w:rPr>
                <w:rFonts w:ascii="宋体" w:hAnsi="宋体" w:eastAsia="宋体"/>
                <w:sz w:val="16"/>
              </w:rPr>
              <w:t>&lt;=0.16万元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D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4F29">
            <w:pPr>
              <w:jc w:val="center"/>
            </w:pPr>
            <w:r>
              <w:rPr>
                <w:rFonts w:ascii="宋体" w:hAnsi="宋体" w:eastAsia="宋体"/>
                <w:sz w:val="16"/>
              </w:rPr>
              <w: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2F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A1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09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A27D">
            <w:pPr>
              <w:jc w:val="center"/>
            </w:pPr>
            <w:r>
              <w:rPr>
                <w:rFonts w:ascii="宋体" w:hAnsi="宋体" w:eastAsia="宋体"/>
                <w:sz w:val="16"/>
              </w:rPr>
              <w: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58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2861D">
            <w:pPr>
              <w:jc w:val="center"/>
            </w:pPr>
          </w:p>
        </w:tc>
      </w:tr>
      <w:tr w14:paraId="3B81C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56E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E2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D7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E7E5">
            <w:pPr>
              <w:jc w:val="center"/>
            </w:pPr>
            <w:r>
              <w:rPr>
                <w:rFonts w:ascii="宋体" w:hAnsi="宋体" w:eastAsia="宋体"/>
                <w:sz w:val="16"/>
              </w:rPr>
              <w:t>各界人士对喀什地区的经济发展支持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BDC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8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5DD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8C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CB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0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218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3A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43033">
            <w:pPr>
              <w:jc w:val="center"/>
            </w:pPr>
          </w:p>
        </w:tc>
      </w:tr>
      <w:tr w14:paraId="5C53A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97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83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A6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F7D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D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1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8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C9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A1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D8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F7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3E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5BF16">
            <w:pPr>
              <w:jc w:val="center"/>
            </w:pPr>
          </w:p>
        </w:tc>
      </w:tr>
      <w:tr w14:paraId="378DDA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BCB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916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A25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7F8F11">
            <w:pPr>
              <w:jc w:val="center"/>
            </w:pPr>
            <w:r>
              <w:rPr>
                <w:rFonts w:ascii="宋体" w:hAnsi="宋体" w:eastAsia="宋体"/>
                <w:sz w:val="16"/>
              </w:rPr>
              <w:t>80分</w:t>
            </w:r>
          </w:p>
        </w:tc>
      </w:tr>
    </w:tbl>
    <w:p w14:paraId="32A52F2E">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1016"/>
        <w:gridCol w:w="776"/>
        <w:gridCol w:w="591"/>
        <w:gridCol w:w="629"/>
        <w:gridCol w:w="591"/>
        <w:gridCol w:w="591"/>
        <w:gridCol w:w="591"/>
        <w:gridCol w:w="696"/>
        <w:gridCol w:w="626"/>
        <w:gridCol w:w="536"/>
        <w:gridCol w:w="618"/>
      </w:tblGrid>
      <w:tr w14:paraId="630E8289">
        <w:tblPrEx>
          <w:tblCellMar>
            <w:top w:w="0" w:type="dxa"/>
            <w:left w:w="108" w:type="dxa"/>
            <w:bottom w:w="0" w:type="dxa"/>
            <w:right w:w="108" w:type="dxa"/>
          </w:tblCellMar>
        </w:tblPrEx>
        <w:tc>
          <w:tcPr>
            <w:tcW w:w="8848" w:type="dxa"/>
            <w:gridSpan w:val="14"/>
            <w:vAlign w:val="center"/>
          </w:tcPr>
          <w:p w14:paraId="367BBAB9">
            <w:pPr>
              <w:jc w:val="center"/>
            </w:pPr>
            <w:r>
              <w:rPr>
                <w:rFonts w:ascii="宋体" w:hAnsi="宋体" w:eastAsia="宋体"/>
                <w:sz w:val="24"/>
              </w:rPr>
              <w:t>项目支出绩效自评表</w:t>
            </w:r>
          </w:p>
        </w:tc>
      </w:tr>
      <w:tr w14:paraId="5A9022FB">
        <w:tblPrEx>
          <w:tblCellMar>
            <w:top w:w="0" w:type="dxa"/>
            <w:left w:w="108" w:type="dxa"/>
            <w:bottom w:w="0" w:type="dxa"/>
            <w:right w:w="108" w:type="dxa"/>
          </w:tblCellMar>
        </w:tblPrEx>
        <w:tc>
          <w:tcPr>
            <w:tcW w:w="8848" w:type="dxa"/>
            <w:gridSpan w:val="14"/>
            <w:vAlign w:val="center"/>
          </w:tcPr>
          <w:p w14:paraId="31670A93">
            <w:pPr>
              <w:jc w:val="center"/>
            </w:pPr>
            <w:r>
              <w:rPr>
                <w:rFonts w:ascii="宋体" w:hAnsi="宋体" w:eastAsia="宋体"/>
                <w:sz w:val="24"/>
              </w:rPr>
              <w:t>(2024年度)</w:t>
            </w:r>
          </w:p>
        </w:tc>
      </w:tr>
      <w:tr w14:paraId="28E5F6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B58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F1C2C9">
            <w:pPr>
              <w:jc w:val="center"/>
            </w:pPr>
            <w:r>
              <w:rPr>
                <w:rFonts w:ascii="宋体" w:hAnsi="宋体" w:eastAsia="宋体"/>
                <w:sz w:val="16"/>
              </w:rPr>
              <w:t>史志鉴工作项目</w:t>
            </w:r>
          </w:p>
        </w:tc>
      </w:tr>
      <w:tr w14:paraId="53A57C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37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D4120">
            <w:pPr>
              <w:jc w:val="center"/>
            </w:pPr>
            <w:r>
              <w:rPr>
                <w:rFonts w:ascii="宋体" w:hAnsi="宋体" w:eastAsia="宋体"/>
                <w:sz w:val="16"/>
              </w:rPr>
              <w:t>中共喀什地委党史办公室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A0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29B766">
            <w:pPr>
              <w:jc w:val="center"/>
            </w:pPr>
            <w:r>
              <w:rPr>
                <w:rFonts w:ascii="宋体" w:hAnsi="宋体" w:eastAsia="宋体"/>
                <w:sz w:val="16"/>
              </w:rPr>
              <w:t>中共喀什地委党史办公室</w:t>
            </w:r>
          </w:p>
        </w:tc>
      </w:tr>
      <w:tr w14:paraId="23A66F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ACF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9A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4F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99E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AB0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5D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168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A7EC">
            <w:pPr>
              <w:jc w:val="center"/>
            </w:pPr>
            <w:r>
              <w:rPr>
                <w:rFonts w:ascii="宋体" w:hAnsi="宋体" w:eastAsia="宋体"/>
                <w:sz w:val="16"/>
              </w:rPr>
              <w:t>得分</w:t>
            </w:r>
          </w:p>
        </w:tc>
      </w:tr>
      <w:tr w14:paraId="01B51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524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4BF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03585">
            <w:pPr>
              <w:jc w:val="center"/>
            </w:pPr>
            <w:r>
              <w:rPr>
                <w:rFonts w:ascii="宋体" w:hAnsi="宋体" w:eastAsia="宋体"/>
                <w:sz w:val="16"/>
              </w:rPr>
              <w:t>134.69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D9529">
            <w:pPr>
              <w:jc w:val="center"/>
            </w:pPr>
            <w:r>
              <w:rPr>
                <w:rFonts w:ascii="宋体" w:hAnsi="宋体" w:eastAsia="宋体"/>
                <w:sz w:val="16"/>
              </w:rPr>
              <w:t>34.38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ACB7B">
            <w:pPr>
              <w:jc w:val="center"/>
            </w:pPr>
            <w:r>
              <w:rPr>
                <w:rFonts w:ascii="宋体" w:hAnsi="宋体" w:eastAsia="宋体"/>
                <w:sz w:val="16"/>
              </w:rPr>
              <w:t>34.35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DAE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7C884">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FC7E">
            <w:pPr>
              <w:jc w:val="center"/>
            </w:pPr>
            <w:r>
              <w:rPr>
                <w:rFonts w:ascii="宋体" w:hAnsi="宋体" w:eastAsia="宋体"/>
                <w:sz w:val="16"/>
              </w:rPr>
              <w:t>9.98分</w:t>
            </w:r>
          </w:p>
        </w:tc>
      </w:tr>
      <w:tr w14:paraId="5582D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382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6B8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326F1">
            <w:pPr>
              <w:jc w:val="center"/>
            </w:pPr>
            <w:r>
              <w:rPr>
                <w:rFonts w:ascii="宋体" w:hAnsi="宋体" w:eastAsia="宋体"/>
                <w:sz w:val="16"/>
              </w:rPr>
              <w:t>134.69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6541">
            <w:pPr>
              <w:jc w:val="center"/>
            </w:pPr>
            <w:r>
              <w:rPr>
                <w:rFonts w:ascii="宋体" w:hAnsi="宋体" w:eastAsia="宋体"/>
                <w:sz w:val="16"/>
              </w:rPr>
              <w:t>34.38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A0EBB">
            <w:pPr>
              <w:jc w:val="center"/>
            </w:pPr>
            <w:r>
              <w:rPr>
                <w:rFonts w:ascii="宋体" w:hAnsi="宋体" w:eastAsia="宋体"/>
                <w:sz w:val="16"/>
              </w:rPr>
              <w:t>34.35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7AB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8EC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EDBB">
            <w:pPr>
              <w:jc w:val="center"/>
            </w:pPr>
            <w:r>
              <w:rPr>
                <w:rFonts w:ascii="宋体" w:hAnsi="宋体" w:eastAsia="宋体"/>
                <w:sz w:val="16"/>
              </w:rPr>
              <w:t>—</w:t>
            </w:r>
          </w:p>
        </w:tc>
      </w:tr>
      <w:tr w14:paraId="7885B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B5E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7E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D5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9A9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845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F31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B3C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BCDA">
            <w:pPr>
              <w:jc w:val="center"/>
            </w:pPr>
            <w:r>
              <w:rPr>
                <w:rFonts w:ascii="宋体" w:hAnsi="宋体" w:eastAsia="宋体"/>
                <w:sz w:val="16"/>
              </w:rPr>
              <w:t>—</w:t>
            </w:r>
          </w:p>
        </w:tc>
      </w:tr>
      <w:tr w14:paraId="0834E3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0E7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81C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0D395B">
            <w:pPr>
              <w:jc w:val="center"/>
            </w:pPr>
            <w:r>
              <w:rPr>
                <w:rFonts w:ascii="宋体" w:hAnsi="宋体" w:eastAsia="宋体"/>
                <w:sz w:val="16"/>
              </w:rPr>
              <w:t>实际完成情况</w:t>
            </w:r>
          </w:p>
        </w:tc>
      </w:tr>
      <w:tr w14:paraId="396F9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FC7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B278BF">
            <w:pPr>
              <w:jc w:val="both"/>
            </w:pPr>
            <w:r>
              <w:rPr>
                <w:rFonts w:ascii="宋体" w:hAnsi="宋体" w:eastAsia="宋体"/>
                <w:sz w:val="16"/>
              </w:rPr>
              <w:t>根据《地方志工作条例》、《新疆维吾尔自治区实施&lt;地方志工作条例&gt;办法》及部门工作职责，2024年度完成《喀什年鉴（2023）》出版印刷1项；完成《喀什年鉴（2024）》送审、书号申请、通过各级审读机构审读1项；出版印刷的书籍发放到四大班子领导及各承编单位，有效发挥史志办资政、存史、育人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8E5AD6">
            <w:pPr>
              <w:jc w:val="both"/>
            </w:pPr>
            <w:r>
              <w:rPr>
                <w:rFonts w:ascii="宋体" w:hAnsi="宋体" w:eastAsia="宋体"/>
                <w:sz w:val="16"/>
              </w:rPr>
              <w:t>2024年度，中共喀什地委党史办公室一是完成了《喀什年鉴（2023）》出版印刷任务，合计印刷500册，书籍及时发放到领导及各承编单位；二是完成了《喀什年鉴（2024）》送审并通过各级（地区出版物鉴定中心、自治区地方志编委会、出版社）鉴定；三是顺利申请到《喀什年鉴（2024）》书号（ISBN：978-7-5144-6728-4），为2025年印刷做好准备。以上工作的完成，有效促进地方志地情资料资政、存史、育人发挥服务作用。</w:t>
            </w:r>
          </w:p>
        </w:tc>
      </w:tr>
      <w:tr w14:paraId="248960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105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E7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61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CA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55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06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2D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C5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9F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73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C6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83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C6A85">
            <w:pPr>
              <w:jc w:val="center"/>
            </w:pPr>
            <w:r>
              <w:rPr>
                <w:rFonts w:ascii="宋体" w:hAnsi="宋体" w:eastAsia="宋体"/>
                <w:sz w:val="16"/>
              </w:rPr>
              <w:t>偏差原因分析及改进措施</w:t>
            </w:r>
          </w:p>
        </w:tc>
      </w:tr>
      <w:tr w14:paraId="4854F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C4F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4B1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7F0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E288">
            <w:pPr>
              <w:jc w:val="center"/>
            </w:pPr>
            <w:r>
              <w:rPr>
                <w:rFonts w:ascii="宋体" w:hAnsi="宋体" w:eastAsia="宋体"/>
                <w:sz w:val="16"/>
              </w:rPr>
              <w:t>《喀什年鉴2023》出版印刷数量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0969">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48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50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9D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42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D5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119C">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43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59CA">
            <w:pPr>
              <w:jc w:val="center"/>
            </w:pPr>
          </w:p>
        </w:tc>
      </w:tr>
      <w:tr w14:paraId="0781D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C5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DB8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8B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2EFD">
            <w:pPr>
              <w:jc w:val="center"/>
            </w:pPr>
            <w:r>
              <w:rPr>
                <w:rFonts w:ascii="宋体" w:hAnsi="宋体" w:eastAsia="宋体"/>
                <w:sz w:val="16"/>
              </w:rPr>
              <w:t>《喀什年鉴2024》编纂数量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E72D">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9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CEE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3A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01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50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1272">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EC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17996">
            <w:pPr>
              <w:jc w:val="center"/>
            </w:pPr>
          </w:p>
        </w:tc>
      </w:tr>
      <w:tr w14:paraId="07CD6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DA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51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5F4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7E77">
            <w:pPr>
              <w:jc w:val="center"/>
            </w:pPr>
            <w:r>
              <w:rPr>
                <w:rFonts w:ascii="宋体" w:hAnsi="宋体" w:eastAsia="宋体"/>
                <w:sz w:val="16"/>
              </w:rPr>
              <w:t>申请书号数量（个）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6AC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61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5DC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3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3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7A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AB5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65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2A07">
            <w:pPr>
              <w:jc w:val="center"/>
            </w:pPr>
          </w:p>
        </w:tc>
      </w:tr>
      <w:tr w14:paraId="5958A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C55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C5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15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FF3C">
            <w:pPr>
              <w:jc w:val="center"/>
            </w:pPr>
            <w:r>
              <w:rPr>
                <w:rFonts w:ascii="宋体" w:hAnsi="宋体" w:eastAsia="宋体"/>
                <w:sz w:val="16"/>
              </w:rPr>
              <w:t>《喀什年鉴（2023）》编纂差错率（%）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63CF">
            <w:pPr>
              <w:jc w:val="center"/>
            </w:pPr>
            <w:r>
              <w:rPr>
                <w:rFonts w:ascii="宋体" w:hAnsi="宋体" w:eastAsia="宋体"/>
                <w:sz w:val="16"/>
              </w:rPr>
              <w:t>&lt;=0.01%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94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0E03">
            <w:pPr>
              <w:jc w:val="center"/>
            </w:pPr>
            <w:r>
              <w:rPr>
                <w:rFonts w:ascii="宋体" w:hAnsi="宋体" w:eastAsia="宋体"/>
                <w:sz w:val="16"/>
              </w:rPr>
              <w:t>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0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AC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9F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9F3A">
            <w:pPr>
              <w:jc w:val="center"/>
            </w:pPr>
            <w:r>
              <w:rPr>
                <w:rFonts w:ascii="宋体" w:hAnsi="宋体" w:eastAsia="宋体"/>
                <w:sz w:val="16"/>
              </w:rPr>
              <w:t>=0.01%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92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C5957">
            <w:pPr>
              <w:jc w:val="center"/>
            </w:pPr>
          </w:p>
        </w:tc>
      </w:tr>
      <w:tr w14:paraId="61270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22B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128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66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B20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2AB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97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87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F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7C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A9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AD8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DB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E20B">
            <w:pPr>
              <w:jc w:val="center"/>
            </w:pPr>
          </w:p>
        </w:tc>
      </w:tr>
      <w:tr w14:paraId="0307E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151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065B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BA2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D2D7">
            <w:pPr>
              <w:jc w:val="center"/>
            </w:pPr>
            <w:r>
              <w:rPr>
                <w:rFonts w:ascii="宋体" w:hAnsi="宋体" w:eastAsia="宋体"/>
                <w:sz w:val="16"/>
              </w:rPr>
              <w:t>《喀什年鉴2023》出版印刷费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D368">
            <w:pPr>
              <w:jc w:val="center"/>
            </w:pPr>
            <w:r>
              <w:rPr>
                <w:rFonts w:ascii="宋体" w:hAnsi="宋体" w:eastAsia="宋体"/>
                <w:sz w:val="16"/>
              </w:rPr>
              <w:t>&lt;=16.08万元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9B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37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C5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55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20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D6E7">
            <w:pPr>
              <w:jc w:val="center"/>
            </w:pPr>
            <w:r>
              <w:rPr>
                <w:rFonts w:ascii="宋体" w:hAnsi="宋体" w:eastAsia="宋体"/>
                <w:sz w:val="16"/>
              </w:rPr>
              <w:t>=16.08万元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99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AC347">
            <w:pPr>
              <w:jc w:val="center"/>
            </w:pPr>
          </w:p>
        </w:tc>
      </w:tr>
      <w:tr w14:paraId="60966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2F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76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E2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D191">
            <w:pPr>
              <w:jc w:val="center"/>
            </w:pPr>
            <w:r>
              <w:rPr>
                <w:rFonts w:ascii="宋体" w:hAnsi="宋体" w:eastAsia="宋体"/>
                <w:sz w:val="16"/>
              </w:rPr>
              <w:t>《喀什年鉴2024》编辑、书号申请费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FC62">
            <w:pPr>
              <w:jc w:val="center"/>
            </w:pPr>
            <w:r>
              <w:rPr>
                <w:rFonts w:ascii="宋体" w:hAnsi="宋体" w:eastAsia="宋体"/>
                <w:sz w:val="16"/>
              </w:rPr>
              <w:t>&lt;=16.20万元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F4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FA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FC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7E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D9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95BA">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16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5A13">
            <w:pPr>
              <w:jc w:val="center"/>
            </w:pPr>
          </w:p>
        </w:tc>
      </w:tr>
      <w:tr w14:paraId="4AEDC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22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AC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6C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65C1">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2CA9">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C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8C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0E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B2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7D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A53F">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F1C6">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22A07">
            <w:pPr>
              <w:jc w:val="center"/>
            </w:pPr>
            <w:r>
              <w:rPr>
                <w:rFonts w:ascii="宋体" w:hAnsi="宋体" w:eastAsia="宋体"/>
                <w:sz w:val="16"/>
              </w:rPr>
              <w:t>该指标有偏差。偏差原因：剩余资金不足报销额度；采取措施：一是精准预估；二是建立报销提醒机制；三是规范审核。</w:t>
            </w:r>
          </w:p>
        </w:tc>
      </w:tr>
      <w:tr w14:paraId="06537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9D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15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B9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365E">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D31E">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E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7C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E5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1F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7A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BB3F">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EA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6260F">
            <w:pPr>
              <w:jc w:val="center"/>
            </w:pPr>
          </w:p>
        </w:tc>
      </w:tr>
      <w:tr w14:paraId="63F90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97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76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60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8085">
            <w:pPr>
              <w:jc w:val="center"/>
            </w:pPr>
            <w:r>
              <w:rPr>
                <w:rFonts w:ascii="宋体" w:hAnsi="宋体" w:eastAsia="宋体"/>
                <w:sz w:val="16"/>
              </w:rPr>
              <w:t>促进社会各界更加了解喀什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611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4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D6F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E7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A8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0C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03E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37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09838">
            <w:pPr>
              <w:jc w:val="center"/>
            </w:pPr>
          </w:p>
        </w:tc>
      </w:tr>
      <w:tr w14:paraId="58FE7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9F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6B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8A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C607">
            <w:pPr>
              <w:jc w:val="center"/>
            </w:pPr>
            <w:r>
              <w:rPr>
                <w:rFonts w:ascii="宋体" w:hAnsi="宋体" w:eastAsia="宋体"/>
                <w:sz w:val="16"/>
              </w:rPr>
              <w:t>参阅人员满意度（%）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9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BD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7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44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97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0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0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99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9FFA6">
            <w:pPr>
              <w:jc w:val="center"/>
            </w:pPr>
          </w:p>
        </w:tc>
      </w:tr>
      <w:tr w14:paraId="27FB6E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0DA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47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76A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37367A">
            <w:pPr>
              <w:jc w:val="center"/>
            </w:pPr>
            <w:r>
              <w:rPr>
                <w:rFonts w:ascii="宋体" w:hAnsi="宋体" w:eastAsia="宋体"/>
                <w:sz w:val="16"/>
              </w:rPr>
              <w:t>99.73分</w:t>
            </w:r>
          </w:p>
        </w:tc>
      </w:tr>
    </w:tbl>
    <w:p w14:paraId="1971A118">
      <w:r>
        <w:br w:type="page"/>
      </w:r>
    </w:p>
    <w:p w14:paraId="1777AFE8">
      <w:pPr>
        <w:spacing w:line="640" w:lineRule="exact"/>
        <w:ind w:firstLine="640"/>
        <w:jc w:val="both"/>
        <w:outlineLvl w:val="2"/>
      </w:pPr>
      <w:r>
        <w:rPr>
          <w:rFonts w:ascii="黑体" w:hAnsi="黑体" w:eastAsia="黑体"/>
          <w:sz w:val="32"/>
        </w:rPr>
        <w:t>十二、其他需说明的事项</w:t>
      </w:r>
    </w:p>
    <w:p w14:paraId="76005A8D">
      <w:pPr>
        <w:spacing w:line="580" w:lineRule="exact"/>
        <w:ind w:firstLine="640"/>
        <w:jc w:val="both"/>
      </w:pPr>
      <w:r>
        <w:rPr>
          <w:rFonts w:ascii="仿宋_GB2312" w:hAnsi="仿宋_GB2312" w:eastAsia="仿宋_GB2312"/>
          <w:b w:val="0"/>
          <w:sz w:val="32"/>
        </w:rPr>
        <w:t>本单位无其他需说明的事项。</w:t>
      </w:r>
    </w:p>
    <w:p w14:paraId="2080E234">
      <w:r>
        <w:br w:type="page"/>
      </w:r>
    </w:p>
    <w:p w14:paraId="7EBE840F">
      <w:pPr>
        <w:spacing w:line="240" w:lineRule="auto"/>
        <w:jc w:val="center"/>
        <w:outlineLvl w:val="1"/>
      </w:pPr>
      <w:r>
        <w:rPr>
          <w:rFonts w:ascii="黑体" w:hAnsi="黑体" w:eastAsia="黑体"/>
          <w:sz w:val="32"/>
        </w:rPr>
        <w:t>第三部分 专业名词解释</w:t>
      </w:r>
    </w:p>
    <w:p w14:paraId="12300CF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84184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3B220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F930A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2C54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62F7E0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FD315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8840F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9DFA6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7D6C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D87C6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B9E055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DFC29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8FC37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D54A316">
      <w:r>
        <w:br w:type="page"/>
      </w:r>
    </w:p>
    <w:p w14:paraId="45BFDBCB">
      <w:pPr>
        <w:spacing w:line="240" w:lineRule="auto"/>
        <w:jc w:val="center"/>
        <w:outlineLvl w:val="1"/>
      </w:pPr>
      <w:r>
        <w:rPr>
          <w:rFonts w:ascii="黑体" w:hAnsi="黑体" w:eastAsia="黑体"/>
          <w:sz w:val="32"/>
        </w:rPr>
        <w:t>第四部分 部门决算报表（见附表）</w:t>
      </w:r>
    </w:p>
    <w:p w14:paraId="3D34991C">
      <w:pPr>
        <w:spacing w:line="240" w:lineRule="auto"/>
        <w:ind w:firstLine="640"/>
        <w:jc w:val="both"/>
      </w:pPr>
      <w:r>
        <w:rPr>
          <w:rFonts w:ascii="仿宋_GB2312" w:hAnsi="仿宋_GB2312" w:eastAsia="仿宋_GB2312"/>
          <w:b w:val="0"/>
          <w:sz w:val="32"/>
        </w:rPr>
        <w:t>一、《收入支出决算总表》</w:t>
      </w:r>
    </w:p>
    <w:p w14:paraId="7E115F51">
      <w:pPr>
        <w:spacing w:line="240" w:lineRule="auto"/>
        <w:ind w:firstLine="640"/>
        <w:jc w:val="both"/>
      </w:pPr>
      <w:r>
        <w:rPr>
          <w:rFonts w:ascii="仿宋_GB2312" w:hAnsi="仿宋_GB2312" w:eastAsia="仿宋_GB2312"/>
          <w:b w:val="0"/>
          <w:sz w:val="32"/>
        </w:rPr>
        <w:t>二、《收入决算表》</w:t>
      </w:r>
    </w:p>
    <w:p w14:paraId="50316519">
      <w:pPr>
        <w:spacing w:line="240" w:lineRule="auto"/>
        <w:ind w:firstLine="640"/>
        <w:jc w:val="both"/>
      </w:pPr>
      <w:r>
        <w:rPr>
          <w:rFonts w:ascii="仿宋_GB2312" w:hAnsi="仿宋_GB2312" w:eastAsia="仿宋_GB2312"/>
          <w:b w:val="0"/>
          <w:sz w:val="32"/>
        </w:rPr>
        <w:t>三、《支出决算表》</w:t>
      </w:r>
    </w:p>
    <w:p w14:paraId="33244275">
      <w:pPr>
        <w:spacing w:line="240" w:lineRule="auto"/>
        <w:ind w:firstLine="640"/>
        <w:jc w:val="both"/>
      </w:pPr>
      <w:r>
        <w:rPr>
          <w:rFonts w:ascii="仿宋_GB2312" w:hAnsi="仿宋_GB2312" w:eastAsia="仿宋_GB2312"/>
          <w:b w:val="0"/>
          <w:sz w:val="32"/>
        </w:rPr>
        <w:t>四、《财政拨款收入支出决算总表》</w:t>
      </w:r>
    </w:p>
    <w:p w14:paraId="15D45B73">
      <w:pPr>
        <w:spacing w:line="240" w:lineRule="auto"/>
        <w:ind w:firstLine="640"/>
        <w:jc w:val="both"/>
      </w:pPr>
      <w:r>
        <w:rPr>
          <w:rFonts w:ascii="仿宋_GB2312" w:hAnsi="仿宋_GB2312" w:eastAsia="仿宋_GB2312"/>
          <w:b w:val="0"/>
          <w:sz w:val="32"/>
        </w:rPr>
        <w:t>五、《一般公共预算财政拨款支出决算表》</w:t>
      </w:r>
    </w:p>
    <w:p w14:paraId="7E034199">
      <w:pPr>
        <w:spacing w:line="240" w:lineRule="auto"/>
        <w:ind w:firstLine="640"/>
        <w:jc w:val="both"/>
      </w:pPr>
      <w:r>
        <w:rPr>
          <w:rFonts w:ascii="仿宋_GB2312" w:hAnsi="仿宋_GB2312" w:eastAsia="仿宋_GB2312"/>
          <w:b w:val="0"/>
          <w:sz w:val="32"/>
        </w:rPr>
        <w:t>六、《一般公共预算财政拨款基本支出决算表》</w:t>
      </w:r>
    </w:p>
    <w:p w14:paraId="42715373">
      <w:pPr>
        <w:spacing w:line="240" w:lineRule="auto"/>
        <w:ind w:firstLine="640"/>
        <w:jc w:val="both"/>
      </w:pPr>
      <w:r>
        <w:rPr>
          <w:rFonts w:ascii="仿宋_GB2312" w:hAnsi="仿宋_GB2312" w:eastAsia="仿宋_GB2312"/>
          <w:b w:val="0"/>
          <w:sz w:val="32"/>
        </w:rPr>
        <w:t>七、《政府性基金预算财政拨款收入支出决算表》</w:t>
      </w:r>
    </w:p>
    <w:p w14:paraId="0A358983">
      <w:pPr>
        <w:spacing w:line="240" w:lineRule="auto"/>
        <w:ind w:firstLine="640"/>
        <w:jc w:val="both"/>
      </w:pPr>
      <w:r>
        <w:rPr>
          <w:rFonts w:ascii="仿宋_GB2312" w:hAnsi="仿宋_GB2312" w:eastAsia="仿宋_GB2312"/>
          <w:b w:val="0"/>
          <w:sz w:val="32"/>
        </w:rPr>
        <w:t>八、《国有资本经营预算财政拨款收入支出决算表》</w:t>
      </w:r>
    </w:p>
    <w:p w14:paraId="0A0088D4">
      <w:pPr>
        <w:spacing w:line="240" w:lineRule="auto"/>
        <w:ind w:firstLine="640"/>
        <w:jc w:val="both"/>
      </w:pPr>
      <w:r>
        <w:rPr>
          <w:rFonts w:ascii="仿宋_GB2312" w:hAnsi="仿宋_GB2312" w:eastAsia="仿宋_GB2312"/>
          <w:b w:val="0"/>
          <w:sz w:val="32"/>
        </w:rPr>
        <w:t>九、《财政拨款“三公”经费支出决算表》</w:t>
      </w:r>
    </w:p>
    <w:p w14:paraId="59EC3E08">
      <w:pPr>
        <w:spacing w:line="240" w:lineRule="auto"/>
        <w:ind w:firstLine="640"/>
        <w:jc w:val="both"/>
      </w:pPr>
    </w:p>
    <w:p w14:paraId="06EB95BF">
      <w:pPr>
        <w:spacing w:line="240" w:lineRule="auto"/>
        <w:ind w:firstLine="640"/>
        <w:jc w:val="both"/>
      </w:pPr>
    </w:p>
    <w:p w14:paraId="7BB77E12">
      <w:pPr>
        <w:spacing w:line="240" w:lineRule="auto"/>
        <w:ind w:firstLine="640"/>
        <w:jc w:val="both"/>
      </w:pPr>
    </w:p>
    <w:p w14:paraId="1A2BEED9">
      <w:pPr>
        <w:spacing w:line="240" w:lineRule="auto"/>
        <w:ind w:firstLine="640"/>
        <w:jc w:val="both"/>
      </w:pPr>
    </w:p>
    <w:p w14:paraId="60830B7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FBD8F8-0A43-4A7D-BB7D-81941059B5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EC5ECD3-8E95-4C6F-B5A0-398375A7E42D}"/>
  </w:font>
  <w:font w:name="方正小标宋_GBK">
    <w:panose1 w:val="02000000000000000000"/>
    <w:charset w:val="86"/>
    <w:family w:val="script"/>
    <w:pitch w:val="default"/>
    <w:sig w:usb0="A00002BF" w:usb1="38CF7CFA" w:usb2="00082016" w:usb3="00000000" w:csb0="00040001" w:csb1="00000000"/>
    <w:embedRegular r:id="rId3" w:fontKey="{9163154E-52E9-424B-9F50-2672637D5844}"/>
  </w:font>
  <w:font w:name="楷体_GB2312">
    <w:panose1 w:val="02010609030101010101"/>
    <w:charset w:val="86"/>
    <w:family w:val="auto"/>
    <w:pitch w:val="default"/>
    <w:sig w:usb0="00000001" w:usb1="080E0000" w:usb2="00000000" w:usb3="00000000" w:csb0="00040000" w:csb1="00000000"/>
    <w:embedRegular r:id="rId4" w:fontKey="{8BA36D46-CD52-4696-894C-B24DA248369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D5198B"/>
    <w:rsid w:val="2FD27414"/>
    <w:rsid w:val="313F1D52"/>
    <w:rsid w:val="318029AB"/>
    <w:rsid w:val="31C63837"/>
    <w:rsid w:val="326F0A17"/>
    <w:rsid w:val="3277581B"/>
    <w:rsid w:val="36573364"/>
    <w:rsid w:val="38006E2C"/>
    <w:rsid w:val="3914510A"/>
    <w:rsid w:val="39BE503C"/>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75656C"/>
    <w:rsid w:val="50DB5F45"/>
    <w:rsid w:val="52F92565"/>
    <w:rsid w:val="543D17CB"/>
    <w:rsid w:val="54866DF9"/>
    <w:rsid w:val="55DA564E"/>
    <w:rsid w:val="56E07045"/>
    <w:rsid w:val="583059FA"/>
    <w:rsid w:val="587E6212"/>
    <w:rsid w:val="5AFC6609"/>
    <w:rsid w:val="5FA17648"/>
    <w:rsid w:val="5FD320BD"/>
    <w:rsid w:val="603B43A7"/>
    <w:rsid w:val="60DE4D57"/>
    <w:rsid w:val="613409CB"/>
    <w:rsid w:val="61A46A97"/>
    <w:rsid w:val="62DD7D21"/>
    <w:rsid w:val="65D97752"/>
    <w:rsid w:val="664C500C"/>
    <w:rsid w:val="67D111AB"/>
    <w:rsid w:val="68DB0208"/>
    <w:rsid w:val="68DF36D5"/>
    <w:rsid w:val="69846A0E"/>
    <w:rsid w:val="69AD798C"/>
    <w:rsid w:val="6A054523"/>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6328</Words>
  <Characters>7190</Characters>
  <Lines>0</Lines>
  <Paragraphs>0</Paragraphs>
  <TotalTime>1</TotalTime>
  <ScaleCrop>false</ScaleCrop>
  <LinksUpToDate>false</LinksUpToDate>
  <CharactersWithSpaces>7198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2025-09-28T10:36:24Z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