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DAFBA3">
      <w:r>
        <w:br w:type="page"/>
      </w:r>
    </w:p>
    <w:p w14:paraId="55C9056A">
      <w:pPr>
        <w:spacing w:line="640" w:lineRule="exact"/>
        <w:jc w:val="center"/>
        <w:outlineLvl w:val="1"/>
      </w:pPr>
      <w:r>
        <w:rPr>
          <w:rFonts w:ascii="黑体" w:hAnsi="黑体" w:eastAsia="黑体"/>
          <w:sz w:val="32"/>
        </w:rPr>
        <w:t>第一部分 单位概况</w:t>
      </w:r>
    </w:p>
    <w:p w14:paraId="434979FC">
      <w:pPr>
        <w:spacing w:line="640" w:lineRule="exact"/>
        <w:ind w:firstLine="640"/>
        <w:jc w:val="both"/>
        <w:outlineLvl w:val="2"/>
      </w:pPr>
      <w:r>
        <w:rPr>
          <w:rFonts w:ascii="黑体" w:hAnsi="黑体" w:eastAsia="黑体"/>
          <w:sz w:val="32"/>
        </w:rPr>
        <w:t>一、主要职能</w:t>
      </w:r>
    </w:p>
    <w:p w14:paraId="5B2FD3A8">
      <w:pPr>
        <w:spacing w:line="580" w:lineRule="exact"/>
        <w:ind w:firstLine="640"/>
        <w:jc w:val="both"/>
      </w:pPr>
      <w:r>
        <w:rPr>
          <w:rFonts w:ascii="仿宋_GB2312" w:hAnsi="仿宋_GB2312" w:eastAsia="仿宋_GB2312"/>
          <w:sz w:val="32"/>
        </w:rPr>
        <w:t>地委办公室是地委履行领导职责的参谋助手。</w:t>
      </w:r>
    </w:p>
    <w:p w14:paraId="66940C11">
      <w:pPr>
        <w:spacing w:line="580" w:lineRule="exact"/>
        <w:ind w:firstLine="640"/>
        <w:jc w:val="both"/>
      </w:pPr>
      <w:r>
        <w:rPr>
          <w:rFonts w:ascii="仿宋_GB2312" w:hAnsi="仿宋_GB2312" w:eastAsia="仿宋_GB2312"/>
          <w:sz w:val="32"/>
        </w:rPr>
        <w:t>（1）负责地委日常工作的综合协调，承担地委日常文电处理，文件文稿的起草、修改、审核和制发、立卷、归档、清理和销毁等工作。</w:t>
      </w:r>
    </w:p>
    <w:p w14:paraId="5C292417">
      <w:pPr>
        <w:spacing w:line="580" w:lineRule="exact"/>
        <w:ind w:firstLine="640"/>
        <w:jc w:val="both"/>
      </w:pPr>
      <w:r>
        <w:rPr>
          <w:rFonts w:ascii="仿宋_GB2312" w:hAnsi="仿宋_GB2312" w:eastAsia="仿宋_GB2312"/>
          <w:sz w:val="32"/>
        </w:rPr>
        <w:t>（2）负责地委各类会议的筹备、组织和服务工作；负责地委领导同志的公务活动安排，统筹协调公务活动接待服务。</w:t>
      </w:r>
    </w:p>
    <w:p w14:paraId="4D8DC639">
      <w:pPr>
        <w:spacing w:line="580" w:lineRule="exact"/>
        <w:ind w:firstLine="640"/>
        <w:jc w:val="both"/>
      </w:pPr>
      <w:r>
        <w:rPr>
          <w:rFonts w:ascii="仿宋_GB2312" w:hAnsi="仿宋_GB2312" w:eastAsia="仿宋_GB2312"/>
          <w:sz w:val="32"/>
        </w:rPr>
        <w:t>（3）负责地委规范性文件的印刷服务工作。负责地委机关的安全保卫、后勤保障的协调服务工作；负责地委机关信息化建设的统一规划、协调和建设管理工作。</w:t>
      </w:r>
    </w:p>
    <w:p w14:paraId="5134410D">
      <w:pPr>
        <w:spacing w:line="580" w:lineRule="exact"/>
        <w:ind w:firstLine="640"/>
        <w:jc w:val="both"/>
      </w:pPr>
      <w:r>
        <w:rPr>
          <w:rFonts w:ascii="仿宋_GB2312" w:hAnsi="仿宋_GB2312" w:eastAsia="仿宋_GB2312"/>
          <w:sz w:val="32"/>
        </w:rPr>
        <w:t>（4）负责中央、自治区党委、地委有关会议和文件材料的翻译工作。</w:t>
      </w:r>
    </w:p>
    <w:p w14:paraId="1E3E31E9">
      <w:pPr>
        <w:spacing w:line="580" w:lineRule="exact"/>
        <w:ind w:firstLine="640"/>
        <w:jc w:val="both"/>
      </w:pPr>
      <w:r>
        <w:rPr>
          <w:rFonts w:ascii="仿宋_GB2312" w:hAnsi="仿宋_GB2312" w:eastAsia="仿宋_GB2312"/>
          <w:sz w:val="32"/>
        </w:rPr>
        <w:t>（5）负责机关党委办公室、国家安全委员会办公室、地委财经委员会办公室具体工作。</w:t>
      </w:r>
    </w:p>
    <w:p w14:paraId="29DA4F0A">
      <w:pPr>
        <w:spacing w:line="640" w:lineRule="exact"/>
        <w:ind w:firstLine="640"/>
        <w:jc w:val="both"/>
        <w:outlineLvl w:val="2"/>
      </w:pPr>
      <w:r>
        <w:rPr>
          <w:rFonts w:ascii="黑体" w:hAnsi="黑体" w:eastAsia="黑体"/>
          <w:sz w:val="32"/>
        </w:rPr>
        <w:t>二、机构设置及人员情况</w:t>
      </w:r>
    </w:p>
    <w:p w14:paraId="7A31E251">
      <w:pPr>
        <w:spacing w:line="580" w:lineRule="exact"/>
        <w:ind w:firstLine="640"/>
        <w:jc w:val="both"/>
      </w:pPr>
      <w:r>
        <w:rPr>
          <w:rFonts w:ascii="仿宋_GB2312" w:hAnsi="仿宋_GB2312" w:eastAsia="仿宋_GB2312"/>
          <w:sz w:val="32"/>
        </w:rPr>
        <w:t>中共喀什地委办公室2024年度，实有人数150人，其中：在职人员95人，减少6人；离休人员2人，减少2人；退休人员53人,增加6人。</w:t>
      </w:r>
    </w:p>
    <w:p w14:paraId="2F5617E0">
      <w:pPr>
        <w:spacing w:line="580" w:lineRule="exact"/>
        <w:ind w:firstLine="640"/>
        <w:jc w:val="both"/>
      </w:pPr>
      <w:r>
        <w:rPr>
          <w:rFonts w:ascii="仿宋_GB2312" w:hAnsi="仿宋_GB2312" w:eastAsia="仿宋_GB2312"/>
          <w:sz w:val="32"/>
        </w:rPr>
        <w:t>中共喀什地委办公室无下属预算单位，下设16个科室，分别是：综合一科、综合二科、综合三科、秘书一科、秘书二科、秘书三科、信息综合科、督查科、干部人事科、财务科、法规科、翻译科、行管科（保卫科）、地委机关党委办公室、国安委办公室、财经委办公室。</w:t>
      </w:r>
    </w:p>
    <w:p w14:paraId="48DFD149">
      <w:r>
        <w:br w:type="page"/>
      </w:r>
    </w:p>
    <w:p w14:paraId="572AF033">
      <w:pPr>
        <w:spacing w:line="240" w:lineRule="auto"/>
        <w:jc w:val="center"/>
        <w:outlineLvl w:val="1"/>
      </w:pPr>
      <w:r>
        <w:rPr>
          <w:rFonts w:ascii="黑体" w:hAnsi="黑体" w:eastAsia="黑体"/>
          <w:sz w:val="32"/>
        </w:rPr>
        <w:t>第二部分 部门决算情况说明</w:t>
      </w:r>
    </w:p>
    <w:p w14:paraId="1C8D0146">
      <w:pPr>
        <w:spacing w:line="640" w:lineRule="exact"/>
        <w:ind w:firstLine="640"/>
        <w:jc w:val="both"/>
        <w:outlineLvl w:val="2"/>
      </w:pPr>
      <w:r>
        <w:rPr>
          <w:rFonts w:ascii="黑体" w:hAnsi="黑体" w:eastAsia="黑体"/>
          <w:sz w:val="32"/>
        </w:rPr>
        <w:t>一、收入支出决算总体情况说明</w:t>
      </w:r>
    </w:p>
    <w:p w14:paraId="101F087E">
      <w:pPr>
        <w:spacing w:line="580" w:lineRule="exact"/>
        <w:ind w:firstLine="640"/>
        <w:jc w:val="both"/>
      </w:pPr>
      <w:r>
        <w:rPr>
          <w:rFonts w:ascii="仿宋_GB2312" w:hAnsi="仿宋_GB2312" w:eastAsia="仿宋_GB2312"/>
          <w:b/>
          <w:sz w:val="32"/>
        </w:rPr>
        <w:t>2024年度收入总计3,348.08万元，</w:t>
      </w:r>
      <w:r>
        <w:rPr>
          <w:rFonts w:ascii="仿宋_GB2312" w:hAnsi="仿宋_GB2312" w:eastAsia="仿宋_GB2312"/>
          <w:b w:val="0"/>
          <w:sz w:val="32"/>
        </w:rPr>
        <w:t>其中：本年收入合计3,348.08万元，使用非财政拨款结余（含专用结余）0.00万元，年初结转和结余0.00万元。</w:t>
      </w:r>
    </w:p>
    <w:p w14:paraId="6D8BD410">
      <w:pPr>
        <w:spacing w:line="580" w:lineRule="exact"/>
        <w:ind w:firstLine="640"/>
        <w:jc w:val="both"/>
      </w:pPr>
      <w:r>
        <w:rPr>
          <w:rFonts w:ascii="仿宋_GB2312" w:hAnsi="仿宋_GB2312" w:eastAsia="仿宋_GB2312"/>
          <w:b/>
          <w:sz w:val="32"/>
        </w:rPr>
        <w:t>2024年度支出总计3,348.08万元，</w:t>
      </w:r>
      <w:r>
        <w:rPr>
          <w:rFonts w:ascii="仿宋_GB2312" w:hAnsi="仿宋_GB2312" w:eastAsia="仿宋_GB2312"/>
          <w:b w:val="0"/>
          <w:sz w:val="32"/>
        </w:rPr>
        <w:t>其中：本年支出合计3,344.46万元，结余分配0.00万元，年末结转和结余3.62万元。</w:t>
      </w:r>
    </w:p>
    <w:p w14:paraId="7D7B865A">
      <w:pPr>
        <w:spacing w:line="580" w:lineRule="exact"/>
        <w:ind w:firstLine="640"/>
        <w:jc w:val="both"/>
      </w:pPr>
      <w:r>
        <w:rPr>
          <w:rFonts w:ascii="仿宋_GB2312" w:hAnsi="仿宋_GB2312" w:eastAsia="仿宋_GB2312"/>
          <w:b w:val="0"/>
          <w:sz w:val="32"/>
        </w:rPr>
        <w:t>收入支出总体与上年相比，增加39.72万元，增长1.20%，主要原因是：本年在职人员工资调增，社保、公积金基数调增，人员经费增加。</w:t>
      </w:r>
    </w:p>
    <w:p w14:paraId="4F5EEB31">
      <w:pPr>
        <w:spacing w:line="640" w:lineRule="exact"/>
        <w:ind w:firstLine="640"/>
        <w:jc w:val="both"/>
        <w:outlineLvl w:val="2"/>
      </w:pPr>
      <w:r>
        <w:rPr>
          <w:rFonts w:ascii="黑体" w:hAnsi="黑体" w:eastAsia="黑体"/>
          <w:sz w:val="32"/>
        </w:rPr>
        <w:t>二、收入决算情况说明</w:t>
      </w:r>
    </w:p>
    <w:p w14:paraId="6BAE41AD">
      <w:pPr>
        <w:spacing w:line="580" w:lineRule="exact"/>
        <w:ind w:firstLine="640"/>
        <w:jc w:val="both"/>
      </w:pPr>
      <w:r>
        <w:rPr>
          <w:rFonts w:ascii="仿宋_GB2312" w:hAnsi="仿宋_GB2312" w:eastAsia="仿宋_GB2312"/>
          <w:b/>
          <w:sz w:val="32"/>
        </w:rPr>
        <w:t>本年收入3,348.08万元，</w:t>
      </w:r>
      <w:r>
        <w:rPr>
          <w:rFonts w:ascii="仿宋_GB2312" w:hAnsi="仿宋_GB2312" w:eastAsia="仿宋_GB2312"/>
          <w:b w:val="0"/>
          <w:sz w:val="32"/>
        </w:rPr>
        <w:t>其中：财政拨款收入3,278.31万元，占97.92%；上级补助收入0.00万元，占0.00%；事业收入0.00万元，占0.00%；经营收入0.00万元，占0.00%；附属单位上缴收入0.00万元，占0.00%；其他收入69.76万元，占2.08%。</w:t>
      </w:r>
    </w:p>
    <w:p w14:paraId="2E2D5C73">
      <w:pPr>
        <w:spacing w:line="640" w:lineRule="exact"/>
        <w:ind w:firstLine="640"/>
        <w:jc w:val="both"/>
        <w:outlineLvl w:val="2"/>
      </w:pPr>
      <w:r>
        <w:rPr>
          <w:rFonts w:ascii="黑体" w:hAnsi="黑体" w:eastAsia="黑体"/>
          <w:sz w:val="32"/>
        </w:rPr>
        <w:t>三、支出决算情况说明</w:t>
      </w:r>
    </w:p>
    <w:p w14:paraId="1A0B8C3B">
      <w:pPr>
        <w:spacing w:line="580" w:lineRule="exact"/>
        <w:ind w:firstLine="640"/>
        <w:jc w:val="both"/>
      </w:pPr>
      <w:r>
        <w:rPr>
          <w:rFonts w:ascii="仿宋_GB2312" w:hAnsi="仿宋_GB2312" w:eastAsia="仿宋_GB2312"/>
          <w:b/>
          <w:sz w:val="32"/>
        </w:rPr>
        <w:t>本年支出3,344.46万元，</w:t>
      </w:r>
      <w:r>
        <w:rPr>
          <w:rFonts w:ascii="仿宋_GB2312" w:hAnsi="仿宋_GB2312" w:eastAsia="仿宋_GB2312"/>
          <w:b w:val="0"/>
          <w:sz w:val="32"/>
        </w:rPr>
        <w:t>其中：基本支出2,643.53万元，占79.04%；项目支出700.93万元，占20.96%；上缴上级支出0.00万元，占0.00%；经营支出0.00万元，占0.00%；对附属单位补助支出0.00万元，占0.00%。</w:t>
      </w:r>
    </w:p>
    <w:p w14:paraId="759A6B11">
      <w:pPr>
        <w:spacing w:line="640" w:lineRule="exact"/>
        <w:ind w:firstLine="640"/>
        <w:jc w:val="both"/>
        <w:outlineLvl w:val="2"/>
      </w:pPr>
      <w:r>
        <w:rPr>
          <w:rFonts w:ascii="黑体" w:hAnsi="黑体" w:eastAsia="黑体"/>
          <w:sz w:val="32"/>
        </w:rPr>
        <w:t>四、财政拨款收入支出决算总体情况说明</w:t>
      </w:r>
    </w:p>
    <w:p w14:paraId="5B7A86E0">
      <w:pPr>
        <w:spacing w:line="580" w:lineRule="exact"/>
        <w:ind w:firstLine="640"/>
        <w:jc w:val="both"/>
      </w:pPr>
      <w:r>
        <w:rPr>
          <w:rFonts w:ascii="仿宋_GB2312" w:hAnsi="仿宋_GB2312" w:eastAsia="仿宋_GB2312"/>
          <w:b/>
          <w:sz w:val="32"/>
        </w:rPr>
        <w:t>2024年度财政拨款收入总计3,278.31万元，</w:t>
      </w:r>
      <w:r>
        <w:rPr>
          <w:rFonts w:ascii="仿宋_GB2312" w:hAnsi="仿宋_GB2312" w:eastAsia="仿宋_GB2312"/>
          <w:b w:val="0"/>
          <w:sz w:val="32"/>
        </w:rPr>
        <w:t>其中：年初财政拨款结转和结余0.00万元，本年财政拨款收入3,278.31万元。</w:t>
      </w:r>
      <w:r>
        <w:rPr>
          <w:rFonts w:ascii="仿宋_GB2312" w:hAnsi="仿宋_GB2312" w:eastAsia="仿宋_GB2312"/>
          <w:b/>
          <w:sz w:val="32"/>
        </w:rPr>
        <w:t>财政拨款支出总计3,278.31万元，</w:t>
      </w:r>
      <w:r>
        <w:rPr>
          <w:rFonts w:ascii="仿宋_GB2312" w:hAnsi="仿宋_GB2312" w:eastAsia="仿宋_GB2312"/>
          <w:b w:val="0"/>
          <w:sz w:val="32"/>
        </w:rPr>
        <w:t>其中：年末财政拨款结转和结余0.00万元，本年财政拨款支出3,278.31万元。</w:t>
      </w:r>
    </w:p>
    <w:p w14:paraId="21ED53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增加124.26万元，增长3.94%，主要原因是：一是本年在职人员工资调增，社保、公积金基数调增，人员经费增加；二是本年度会务保障设备购置项目、后勤保障项目，专线业务等项目资金增加。</w:t>
      </w:r>
      <w:r>
        <w:rPr>
          <w:rFonts w:ascii="仿宋_GB2312" w:hAnsi="仿宋_GB2312" w:eastAsia="仿宋_GB2312"/>
          <w:b/>
          <w:sz w:val="32"/>
        </w:rPr>
        <w:t>与年初预算相比，</w:t>
      </w:r>
      <w:r>
        <w:rPr>
          <w:rFonts w:ascii="仿宋_GB2312" w:hAnsi="仿宋_GB2312" w:eastAsia="仿宋_GB2312"/>
          <w:b w:val="0"/>
          <w:sz w:val="32"/>
        </w:rPr>
        <w:t>年初预算数3,312.88万元，决算数3,278.31万元，预决算差异率-1.04%，主要原因是：本年度异地交流干部探亲交通费、地委机关后勤保障项目等未执行完毕，年中调减经费，导致预决算存在差异。</w:t>
      </w:r>
    </w:p>
    <w:p w14:paraId="47958420">
      <w:pPr>
        <w:spacing w:line="640" w:lineRule="exact"/>
        <w:ind w:firstLine="640"/>
        <w:jc w:val="both"/>
        <w:outlineLvl w:val="2"/>
      </w:pPr>
      <w:r>
        <w:rPr>
          <w:rFonts w:ascii="黑体" w:hAnsi="黑体" w:eastAsia="黑体"/>
          <w:sz w:val="32"/>
        </w:rPr>
        <w:t>五、一般公共预算财政拨款支出决算情况说明</w:t>
      </w:r>
    </w:p>
    <w:p w14:paraId="7E263EFF">
      <w:pPr>
        <w:spacing w:line="640" w:lineRule="exact"/>
        <w:ind w:firstLine="640"/>
        <w:jc w:val="both"/>
        <w:outlineLvl w:val="3"/>
      </w:pPr>
      <w:r>
        <w:rPr>
          <w:rFonts w:ascii="楷体_GB2312" w:hAnsi="楷体_GB2312" w:eastAsia="楷体_GB2312"/>
          <w:b/>
          <w:sz w:val="32"/>
        </w:rPr>
        <w:t>（一）一般公共预算财政拨款支出决算总体情况</w:t>
      </w:r>
    </w:p>
    <w:p w14:paraId="6B265FF9">
      <w:pPr>
        <w:spacing w:line="580" w:lineRule="exact"/>
        <w:ind w:firstLine="640"/>
        <w:jc w:val="both"/>
      </w:pPr>
      <w:r>
        <w:rPr>
          <w:rFonts w:ascii="仿宋_GB2312" w:hAnsi="仿宋_GB2312" w:eastAsia="仿宋_GB2312"/>
          <w:b/>
          <w:sz w:val="32"/>
        </w:rPr>
        <w:t>2024年度一般公共预算财政拨款支出3,278.31万元，</w:t>
      </w:r>
      <w:r>
        <w:rPr>
          <w:rFonts w:ascii="仿宋_GB2312" w:hAnsi="仿宋_GB2312" w:eastAsia="仿宋_GB2312"/>
          <w:b w:val="0"/>
          <w:sz w:val="32"/>
        </w:rPr>
        <w:t>占本年支出合计的98.02%。</w:t>
      </w:r>
      <w:r>
        <w:rPr>
          <w:rFonts w:ascii="仿宋_GB2312" w:hAnsi="仿宋_GB2312" w:eastAsia="仿宋_GB2312"/>
          <w:b/>
          <w:sz w:val="32"/>
        </w:rPr>
        <w:t>与上年相比，</w:t>
      </w:r>
      <w:r>
        <w:rPr>
          <w:rFonts w:ascii="仿宋_GB2312" w:hAnsi="仿宋_GB2312" w:eastAsia="仿宋_GB2312"/>
          <w:b w:val="0"/>
          <w:sz w:val="32"/>
        </w:rPr>
        <w:t>增加124.26万元，增长3.94%，主要原因是：一是本年在职人员工资调增，社保、公积金基数调增，人员经费增加；二是本年度会务保障设备购置项目、后勤保障项目，专线业务等项目资金增加。</w:t>
      </w:r>
      <w:r>
        <w:rPr>
          <w:rFonts w:ascii="仿宋_GB2312" w:hAnsi="仿宋_GB2312" w:eastAsia="仿宋_GB2312"/>
          <w:b/>
          <w:sz w:val="32"/>
        </w:rPr>
        <w:t>与年初预算相比,</w:t>
      </w:r>
      <w:r>
        <w:rPr>
          <w:rFonts w:ascii="仿宋_GB2312" w:hAnsi="仿宋_GB2312" w:eastAsia="仿宋_GB2312"/>
          <w:b w:val="0"/>
          <w:sz w:val="32"/>
        </w:rPr>
        <w:t>年初预算数3,312.88万元，决算数3,278.31万元，预决算差异率-1.04%，主要原因是：本年度异地交流干部探亲交通费、地委机关后勤保障项目等未执行完毕，年中调减经费，导致预决算存在差异。</w:t>
      </w:r>
    </w:p>
    <w:p w14:paraId="12836A0E">
      <w:pPr>
        <w:spacing w:line="640" w:lineRule="exact"/>
        <w:ind w:firstLine="640"/>
        <w:jc w:val="both"/>
        <w:outlineLvl w:val="3"/>
      </w:pPr>
      <w:r>
        <w:rPr>
          <w:rFonts w:ascii="楷体_GB2312" w:hAnsi="楷体_GB2312" w:eastAsia="楷体_GB2312"/>
          <w:b/>
          <w:sz w:val="32"/>
        </w:rPr>
        <w:t>（二）一般公共预算财政拨款支出决算结构情况</w:t>
      </w:r>
    </w:p>
    <w:p w14:paraId="5D0CAF29">
      <w:pPr>
        <w:spacing w:line="580" w:lineRule="exact"/>
        <w:ind w:firstLine="640"/>
        <w:jc w:val="both"/>
      </w:pPr>
      <w:r>
        <w:rPr>
          <w:rFonts w:ascii="仿宋_GB2312" w:hAnsi="仿宋_GB2312" w:eastAsia="仿宋_GB2312"/>
          <w:b w:val="0"/>
          <w:sz w:val="32"/>
        </w:rPr>
        <w:t>1.一般公共服务支出(类)2,453.57万元,占74.84%。</w:t>
      </w:r>
    </w:p>
    <w:p w14:paraId="65860629">
      <w:pPr>
        <w:spacing w:line="580" w:lineRule="exact"/>
        <w:ind w:firstLine="640"/>
        <w:jc w:val="both"/>
      </w:pPr>
      <w:r>
        <w:rPr>
          <w:rFonts w:ascii="仿宋_GB2312" w:hAnsi="仿宋_GB2312" w:eastAsia="仿宋_GB2312"/>
          <w:b w:val="0"/>
          <w:sz w:val="32"/>
        </w:rPr>
        <w:t>2.社会保障和就业支出(类)566.35万元,占17.28%。</w:t>
      </w:r>
    </w:p>
    <w:p w14:paraId="4EE6DB76">
      <w:pPr>
        <w:spacing w:line="580" w:lineRule="exact"/>
        <w:ind w:firstLine="640"/>
        <w:jc w:val="both"/>
      </w:pPr>
      <w:r>
        <w:rPr>
          <w:rFonts w:ascii="仿宋_GB2312" w:hAnsi="仿宋_GB2312" w:eastAsia="仿宋_GB2312"/>
          <w:b w:val="0"/>
          <w:sz w:val="32"/>
        </w:rPr>
        <w:t>3.卫生健康支出(类)94.59万元,占2.89%。</w:t>
      </w:r>
    </w:p>
    <w:p w14:paraId="4A07BB82">
      <w:pPr>
        <w:spacing w:line="580" w:lineRule="exact"/>
        <w:ind w:firstLine="640"/>
        <w:jc w:val="both"/>
      </w:pPr>
      <w:r>
        <w:rPr>
          <w:rFonts w:ascii="仿宋_GB2312" w:hAnsi="仿宋_GB2312" w:eastAsia="仿宋_GB2312"/>
          <w:b w:val="0"/>
          <w:sz w:val="32"/>
        </w:rPr>
        <w:t>4.住房保障支出(类)163.80万元,占5.00%。</w:t>
      </w:r>
    </w:p>
    <w:p w14:paraId="29ECE8E9">
      <w:pPr>
        <w:spacing w:line="640" w:lineRule="exact"/>
        <w:ind w:firstLine="640"/>
        <w:jc w:val="both"/>
        <w:outlineLvl w:val="3"/>
      </w:pPr>
      <w:r>
        <w:rPr>
          <w:rFonts w:ascii="楷体_GB2312" w:hAnsi="楷体_GB2312" w:eastAsia="楷体_GB2312"/>
          <w:b/>
          <w:sz w:val="32"/>
        </w:rPr>
        <w:t>（三）一般公共预算财政拨款支出决算具体情况</w:t>
      </w:r>
    </w:p>
    <w:p w14:paraId="7746AC0F">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1.一般公共服务支出(类)党委办公厅（室）及相关机构事务(款)行政运行(项):支出决算数为1,816.59万元，比上年决算减少96.36万元，下降5.04%,主要原因是：本年度在职人员减少，相应人员经费较上年减少。</w:t>
      </w:r>
    </w:p>
    <w:p w14:paraId="078C97C8">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2.一般公共服务支出(类)党委办公厅（室）及相关机构事务(款)一般行政管理事务(项):支出决算数为616.32万元，比上年决算增加13.25万元，增长2.20%,主要原因是：本年度新增会务保障设备购置</w:t>
      </w:r>
      <w:r>
        <w:rPr>
          <w:rFonts w:hint="eastAsia" w:ascii="仿宋_GB2312" w:hAnsi="仿宋_GB2312" w:eastAsia="仿宋_GB2312"/>
          <w:b w:val="0"/>
          <w:sz w:val="32"/>
          <w:lang w:val="en-US" w:eastAsia="zh-CN"/>
        </w:rPr>
        <w:t>等项目</w:t>
      </w:r>
      <w:r>
        <w:rPr>
          <w:rFonts w:ascii="仿宋_GB2312" w:hAnsi="仿宋_GB2312" w:eastAsia="仿宋_GB2312"/>
          <w:b w:val="0"/>
          <w:sz w:val="32"/>
        </w:rPr>
        <w:t>。</w:t>
      </w:r>
    </w:p>
    <w:p w14:paraId="3DAA0BC6">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3.一般公共服务支出(类)党委办公厅（室）及相关机构事务(款)其他党委办公厅（室）及相关机构事务支出(项):支出决算数为18.46万元，比上年决算增加18.46万元，增长100.00%,主要原因是：本年度功能科目调整，</w:t>
      </w:r>
      <w:r>
        <w:rPr>
          <w:rFonts w:hint="eastAsia" w:ascii="仿宋_GB2312" w:hAnsi="仿宋_GB2312" w:eastAsia="仿宋_GB2312"/>
          <w:b w:val="0"/>
          <w:sz w:val="32"/>
          <w:lang w:val="en-US" w:eastAsia="zh-CN"/>
        </w:rPr>
        <w:t>信息化</w:t>
      </w:r>
      <w:r>
        <w:rPr>
          <w:rFonts w:ascii="仿宋_GB2312" w:hAnsi="仿宋_GB2312" w:eastAsia="仿宋_GB2312"/>
          <w:b w:val="0"/>
          <w:sz w:val="32"/>
        </w:rPr>
        <w:t>项目资金从其他支出科目调整至其他党委办公厅（室）及相关机构事务支出(项)科目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6A25BEC1">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7.12万元，下降100.00%,主要原因是：本年度功能科目调整，援疆干部人才南疆工作补贴上年度在其他组织事务支出(项)中列支，本年调整至主科目进行列支，导致经费减少。</w:t>
      </w:r>
    </w:p>
    <w:p w14:paraId="1D00059F">
      <w:pPr>
        <w:spacing w:line="580" w:lineRule="exact"/>
        <w:ind w:firstLine="640"/>
        <w:jc w:val="both"/>
      </w:pPr>
      <w:r>
        <w:rPr>
          <w:rFonts w:ascii="仿宋_GB2312" w:hAnsi="仿宋_GB2312" w:eastAsia="仿宋_GB2312"/>
          <w:b w:val="0"/>
          <w:sz w:val="32"/>
        </w:rPr>
        <w:t>5.一般公共服务支出(类)统战事务(款)宗教事务(项):支出决算数为2.20万元，比上年决算增加1.87万元，增长566.67%,主要原因是：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增加为民办实事相关人员补助经费。</w:t>
      </w:r>
    </w:p>
    <w:p w14:paraId="1332BBF6">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6.社会保障和就业支出(类)行政事业单位养老支出(款)行政单位离退休(项):支出决算数为136.17万元，比上年决算减少6.05万元，下降4.25%,主要原因是：本年度2名离休干部去世，离休费支出较上年减少。</w:t>
      </w:r>
    </w:p>
    <w:p w14:paraId="14826EF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192.17万元，比上年决算减少3.18万元，下降1.63%,主要原因是：本年在职人员减少，单位基本养老保险缴费较上年减少。</w:t>
      </w:r>
    </w:p>
    <w:p w14:paraId="4F491C90">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8.社会保障和就业支出(类)行政事业单位养老支出(款)机关事业单位职业年金缴费支出(项):支出决算数为134.73万元，比上年决算增加101.03万元，增长299.79%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主要原因是：本年度人员调出</w:t>
      </w:r>
      <w:r>
        <w:rPr>
          <w:rFonts w:hint="eastAsia" w:ascii="仿宋_GB2312" w:hAnsi="仿宋_GB2312" w:eastAsia="仿宋_GB2312"/>
          <w:b w:val="0"/>
          <w:sz w:val="32"/>
          <w:lang w:eastAsia="zh-CN"/>
        </w:rPr>
        <w:t>至其他</w:t>
      </w:r>
      <w:r>
        <w:rPr>
          <w:rFonts w:ascii="仿宋_GB2312" w:hAnsi="仿宋_GB2312" w:eastAsia="仿宋_GB2312"/>
          <w:b w:val="0"/>
          <w:sz w:val="32"/>
        </w:rPr>
        <w:t>地区、退休人员职业年金缴费较上年增加。</w:t>
      </w:r>
    </w:p>
    <w:p w14:paraId="4C15FD87">
      <w:pPr>
        <w:spacing w:line="580" w:lineRule="exact"/>
        <w:ind w:firstLine="640"/>
        <w:jc w:val="both"/>
      </w:pPr>
      <w:r>
        <w:rPr>
          <w:rFonts w:ascii="仿宋_GB2312" w:hAnsi="仿宋_GB2312" w:eastAsia="仿宋_GB2312"/>
          <w:b w:val="0"/>
          <w:sz w:val="32"/>
        </w:rPr>
        <w:t>9.社会保障和就业支出(类)抚恤(款)死亡抚恤(项):支出决算数为103.29万元，比上年决算增加103.29万元，增长100.00%,主要原因是：本年度2名离休人员去世，抚恤金支出较上年度增加。</w:t>
      </w:r>
    </w:p>
    <w:p w14:paraId="2D4832B8">
      <w:pPr>
        <w:spacing w:line="580" w:lineRule="exact"/>
        <w:ind w:firstLine="640"/>
        <w:jc w:val="both"/>
      </w:pPr>
      <w:r>
        <w:rPr>
          <w:rFonts w:ascii="仿宋_GB2312" w:hAnsi="仿宋_GB2312" w:eastAsia="仿宋_GB2312"/>
          <w:b w:val="0"/>
          <w:sz w:val="32"/>
        </w:rPr>
        <w:t>10.卫生健康支出(类)行政事业单位医疗(款)行政单位医疗(项):支出决算数为81.67万元，比上年决算减少1.35万元，下降1.63%,主要原因是：本年在职人员减少，行政单位医疗较上年减少。</w:t>
      </w:r>
    </w:p>
    <w:p w14:paraId="1906B105">
      <w:pPr>
        <w:spacing w:line="580" w:lineRule="exact"/>
        <w:ind w:firstLine="640"/>
        <w:jc w:val="both"/>
      </w:pPr>
      <w:r>
        <w:rPr>
          <w:rFonts w:ascii="仿宋_GB2312" w:hAnsi="仿宋_GB2312" w:eastAsia="仿宋_GB2312"/>
          <w:b w:val="0"/>
          <w:sz w:val="32"/>
        </w:rPr>
        <w:t>11.卫生健康支出(类)行政事业单位医疗(款)公务员医疗补助(项):支出决算数为12.92万元，比上年决算减少0.98万元，下降7.05%,主要原因是：本年在职人员减少，公务员医疗补助较上年减少。</w:t>
      </w:r>
    </w:p>
    <w:p w14:paraId="61FE46FC">
      <w:pPr>
        <w:spacing w:line="580" w:lineRule="exact"/>
        <w:ind w:firstLine="640"/>
        <w:jc w:val="both"/>
      </w:pPr>
      <w:r>
        <w:rPr>
          <w:rFonts w:ascii="仿宋_GB2312" w:hAnsi="仿宋_GB2312" w:eastAsia="仿宋_GB2312"/>
          <w:b w:val="0"/>
          <w:sz w:val="32"/>
        </w:rPr>
        <w:t>12.住房保障支出(类)住房改革支出(款)住房公积金(项):支出决算数为163.80万元，比上年决算增加2.17万元，增长1.34%,主要原因是：本年在职人员工资基数调增，公积金缴费基数上涨，相应支出增加。</w:t>
      </w:r>
    </w:p>
    <w:p w14:paraId="6F9E6C19">
      <w:pPr>
        <w:spacing w:line="580" w:lineRule="exact"/>
        <w:ind w:firstLine="640"/>
        <w:jc w:val="both"/>
        <w:rPr>
          <w:rFonts w:hint="default" w:eastAsia="仿宋_GB2312"/>
          <w:lang w:val="en-US" w:eastAsia="zh-CN"/>
        </w:rPr>
      </w:pPr>
      <w:r>
        <w:rPr>
          <w:rFonts w:ascii="仿宋_GB2312" w:hAnsi="仿宋_GB2312" w:eastAsia="仿宋_GB2312"/>
          <w:b w:val="0"/>
          <w:sz w:val="32"/>
        </w:rPr>
        <w:t>13.其他支出(类)其他支出(款)其他支出(项):支出决算数为0.00万元，比上年决算减少0.76万元，下降100.00%,主要原因是：本年度功能科目调整，</w:t>
      </w:r>
      <w:r>
        <w:rPr>
          <w:rFonts w:hint="eastAsia" w:ascii="仿宋_GB2312" w:hAnsi="仿宋_GB2312" w:eastAsia="仿宋_GB2312"/>
          <w:b w:val="0"/>
          <w:sz w:val="32"/>
          <w:lang w:val="en-US" w:eastAsia="zh-CN"/>
        </w:rPr>
        <w:t>信息化</w:t>
      </w:r>
      <w:r>
        <w:rPr>
          <w:rFonts w:ascii="仿宋_GB2312" w:hAnsi="仿宋_GB2312" w:eastAsia="仿宋_GB2312"/>
          <w:b w:val="0"/>
          <w:sz w:val="32"/>
        </w:rPr>
        <w:t>项目资金从其他支出科目调整至其他党委办公厅（室）及相</w:t>
      </w:r>
      <w:bookmarkStart w:id="0" w:name="_GoBack"/>
      <w:bookmarkEnd w:id="0"/>
      <w:r>
        <w:rPr>
          <w:rFonts w:ascii="仿宋_GB2312" w:hAnsi="仿宋_GB2312" w:eastAsia="仿宋_GB2312"/>
          <w:b w:val="0"/>
          <w:sz w:val="32"/>
        </w:rPr>
        <w:t>关机构事务支出(项)科目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p>
    <w:p w14:paraId="13F5EC73">
      <w:pPr>
        <w:spacing w:line="640" w:lineRule="exact"/>
        <w:ind w:firstLine="640"/>
        <w:jc w:val="both"/>
        <w:outlineLvl w:val="2"/>
      </w:pPr>
      <w:r>
        <w:rPr>
          <w:rFonts w:ascii="黑体" w:hAnsi="黑体" w:eastAsia="黑体"/>
          <w:sz w:val="32"/>
        </w:rPr>
        <w:t>六、一般公共预算财政拨款基本支出决算情况说明</w:t>
      </w:r>
    </w:p>
    <w:p w14:paraId="2E1035C3">
      <w:pPr>
        <w:spacing w:line="580" w:lineRule="exact"/>
        <w:ind w:firstLine="640"/>
        <w:jc w:val="both"/>
      </w:pPr>
      <w:r>
        <w:rPr>
          <w:rFonts w:ascii="仿宋_GB2312" w:hAnsi="仿宋_GB2312" w:eastAsia="仿宋_GB2312"/>
          <w:b w:val="0"/>
          <w:sz w:val="32"/>
        </w:rPr>
        <w:t>2024年度一般公共预算财政拨款基本支出2,643.53万元，其中：</w:t>
      </w:r>
      <w:r>
        <w:rPr>
          <w:rFonts w:ascii="仿宋_GB2312" w:hAnsi="仿宋_GB2312" w:eastAsia="仿宋_GB2312"/>
          <w:b/>
          <w:sz w:val="32"/>
        </w:rPr>
        <w:t>人员经费2,360.86万元，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592764B0">
      <w:pPr>
        <w:spacing w:line="580" w:lineRule="exact"/>
        <w:ind w:firstLine="640"/>
        <w:jc w:val="both"/>
      </w:pPr>
      <w:r>
        <w:rPr>
          <w:rFonts w:ascii="仿宋_GB2312" w:hAnsi="仿宋_GB2312" w:eastAsia="仿宋_GB2312"/>
          <w:b/>
          <w:sz w:val="32"/>
        </w:rPr>
        <w:t>公用经费282.67万元，</w:t>
      </w:r>
      <w:r>
        <w:rPr>
          <w:rFonts w:ascii="仿宋_GB2312" w:hAnsi="仿宋_GB2312" w:eastAsia="仿宋_GB2312"/>
          <w:b w:val="0"/>
          <w:sz w:val="32"/>
        </w:rPr>
        <w:t>包括：办公费、水费、电费、取暖费、差旅费、专用材料费、劳务费、工会经费、公务用车运行维护费、其他交通费用、其他商品和服务支出。</w:t>
      </w:r>
    </w:p>
    <w:p w14:paraId="2DD7FF92">
      <w:pPr>
        <w:spacing w:line="640" w:lineRule="exact"/>
        <w:ind w:firstLine="640"/>
        <w:jc w:val="both"/>
        <w:outlineLvl w:val="2"/>
      </w:pPr>
      <w:r>
        <w:rPr>
          <w:rFonts w:ascii="黑体" w:hAnsi="黑体" w:eastAsia="黑体"/>
          <w:sz w:val="32"/>
        </w:rPr>
        <w:t>七、政府性基金预算财政拨款收入支出决算情况说明</w:t>
      </w:r>
    </w:p>
    <w:p w14:paraId="366535D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835567">
      <w:pPr>
        <w:spacing w:line="640" w:lineRule="exact"/>
        <w:ind w:firstLine="640"/>
        <w:jc w:val="both"/>
        <w:outlineLvl w:val="2"/>
      </w:pPr>
      <w:r>
        <w:rPr>
          <w:rFonts w:ascii="黑体" w:hAnsi="黑体" w:eastAsia="黑体"/>
          <w:sz w:val="32"/>
        </w:rPr>
        <w:t>八、国有资本经营预算财政拨款收入支出决算情况说明</w:t>
      </w:r>
    </w:p>
    <w:p w14:paraId="63E326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4BF22AE">
      <w:pPr>
        <w:spacing w:line="640" w:lineRule="exact"/>
        <w:ind w:firstLine="640"/>
        <w:jc w:val="both"/>
        <w:outlineLvl w:val="2"/>
      </w:pPr>
      <w:r>
        <w:rPr>
          <w:rFonts w:ascii="黑体" w:hAnsi="黑体" w:eastAsia="黑体"/>
          <w:sz w:val="32"/>
        </w:rPr>
        <w:t>九、财政拨款“三公”经费支出决算情况说明</w:t>
      </w:r>
    </w:p>
    <w:p w14:paraId="008F2859">
      <w:pPr>
        <w:spacing w:line="580" w:lineRule="exact"/>
        <w:ind w:firstLine="640"/>
        <w:jc w:val="both"/>
      </w:pPr>
      <w:r>
        <w:rPr>
          <w:rFonts w:ascii="仿宋_GB2312" w:hAnsi="仿宋_GB2312" w:eastAsia="仿宋_GB2312"/>
          <w:b/>
          <w:sz w:val="32"/>
        </w:rPr>
        <w:t>2024年度财政拨款“三公”经费支出2.83万元，</w:t>
      </w:r>
      <w:r>
        <w:rPr>
          <w:rFonts w:ascii="仿宋_GB2312" w:hAnsi="仿宋_GB2312" w:eastAsia="仿宋_GB2312"/>
          <w:b w:val="0"/>
          <w:sz w:val="32"/>
        </w:rPr>
        <w:t>比上年减少24.47万元，下降89.63%，主要原因是：本年度10辆公务用车移交机关事务管理局保障，公务用车运行维护费较上年减少。其中：因公出国（境）费支出0.00万元，占0.00%，比上年增加0.00万元，增长0.00%，主要原因是：2023年与2024年均未安排因公出国（境）费支出。公务用车购置及运行维护费支出2.83万元，占100.00%，比上年减少24.47万元，下降89.63%，主要原因是：本年度10辆公务用车移交机关事务管理局保障，公务用车运行维护费较上年减少。公务接待费支出0.00万元，占0.00%，比上年增加0.00万元，增长0.00%，主要原因是：2023年与2024年均未安排公务接待费支出。</w:t>
      </w:r>
    </w:p>
    <w:p w14:paraId="2AD11E1B">
      <w:pPr>
        <w:spacing w:line="580" w:lineRule="exact"/>
        <w:ind w:firstLine="640"/>
        <w:jc w:val="both"/>
      </w:pPr>
      <w:r>
        <w:rPr>
          <w:rFonts w:ascii="仿宋_GB2312" w:hAnsi="仿宋_GB2312" w:eastAsia="仿宋_GB2312"/>
          <w:b/>
          <w:sz w:val="32"/>
        </w:rPr>
        <w:t>具体情况如下：</w:t>
      </w:r>
    </w:p>
    <w:p w14:paraId="6C56256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1C68DA">
      <w:pPr>
        <w:spacing w:line="580" w:lineRule="exact"/>
        <w:ind w:firstLine="640"/>
        <w:jc w:val="both"/>
      </w:pPr>
      <w:r>
        <w:rPr>
          <w:rFonts w:ascii="仿宋_GB2312" w:hAnsi="仿宋_GB2312" w:eastAsia="仿宋_GB2312"/>
          <w:b w:val="0"/>
          <w:sz w:val="32"/>
        </w:rPr>
        <w:t>公务用车购置及运行维护费2.83万元，其中：公务用车购置费0.00万元，公务用车运行维护费2.83万元。公务用车运行维护费开支内容包括车辆燃油费、保险费、维修维护费、过路费。公务用车购置数0辆，公务用车保有量3辆。国有资产占用情况中固定资产车辆11辆，与公务用车保有量差异原因是：部分公务用车已移交机关事务管理局使用，资产划拨手续还未办理完成，预算未安排公务用车运行维护费。</w:t>
      </w:r>
    </w:p>
    <w:p w14:paraId="6E604A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F45B4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2.83万元，决算数2.83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2.83万元，决算数2.83万元，预决算差异率0.00%，主要原因是：严格按照预算执行，预决算无差异。公务接待费全年预算数0.00万元，决算数0.00万元，预决算差异率0.00%，主要原因是：本单位无公务接待费。</w:t>
      </w:r>
    </w:p>
    <w:p w14:paraId="5DB332C7">
      <w:pPr>
        <w:spacing w:line="640" w:lineRule="exact"/>
        <w:ind w:firstLine="640"/>
        <w:jc w:val="both"/>
        <w:outlineLvl w:val="2"/>
      </w:pPr>
      <w:r>
        <w:rPr>
          <w:rFonts w:ascii="黑体" w:hAnsi="黑体" w:eastAsia="黑体"/>
          <w:sz w:val="32"/>
        </w:rPr>
        <w:t>十、其他重要事项的情况说明</w:t>
      </w:r>
    </w:p>
    <w:p w14:paraId="78C02B8D">
      <w:pPr>
        <w:spacing w:line="640" w:lineRule="exact"/>
        <w:ind w:firstLine="640"/>
        <w:jc w:val="both"/>
        <w:outlineLvl w:val="3"/>
      </w:pPr>
      <w:r>
        <w:rPr>
          <w:rFonts w:ascii="楷体_GB2312" w:hAnsi="楷体_GB2312" w:eastAsia="楷体_GB2312"/>
          <w:b/>
          <w:sz w:val="32"/>
        </w:rPr>
        <w:t>（一）机关运行经费及公用经费支出情况</w:t>
      </w:r>
    </w:p>
    <w:p w14:paraId="2813728C">
      <w:pPr>
        <w:spacing w:line="580" w:lineRule="exact"/>
        <w:ind w:firstLine="640"/>
        <w:jc w:val="both"/>
      </w:pPr>
      <w:r>
        <w:rPr>
          <w:rFonts w:ascii="仿宋_GB2312" w:hAnsi="仿宋_GB2312" w:eastAsia="仿宋_GB2312"/>
          <w:b w:val="0"/>
          <w:sz w:val="32"/>
        </w:rPr>
        <w:t>2024年度中共喀什地委办公室（行政单位和参照公务员法管理事业单位）机关运行经费支出282.67万元，比上年减少19.64万元，下降6.50%，主要原因是：本年度10辆公务用车移交机关事务管理局保障，公务用车运行维护费较上年减少。</w:t>
      </w:r>
    </w:p>
    <w:p w14:paraId="107251E0">
      <w:pPr>
        <w:spacing w:line="640" w:lineRule="exact"/>
        <w:ind w:firstLine="640"/>
        <w:jc w:val="both"/>
        <w:outlineLvl w:val="3"/>
      </w:pPr>
      <w:r>
        <w:rPr>
          <w:rFonts w:ascii="楷体_GB2312" w:hAnsi="楷体_GB2312" w:eastAsia="楷体_GB2312"/>
          <w:b/>
          <w:sz w:val="32"/>
        </w:rPr>
        <w:t>（二）政府采购情况</w:t>
      </w:r>
    </w:p>
    <w:p w14:paraId="683B7B11">
      <w:pPr>
        <w:spacing w:line="580" w:lineRule="exact"/>
        <w:ind w:firstLine="640"/>
        <w:jc w:val="both"/>
      </w:pPr>
      <w:r>
        <w:rPr>
          <w:rFonts w:ascii="仿宋_GB2312" w:hAnsi="仿宋_GB2312" w:eastAsia="仿宋_GB2312"/>
          <w:b w:val="0"/>
          <w:sz w:val="32"/>
        </w:rPr>
        <w:t>2024年度政府采购支出总额426.05万元，其中：政府采购货物支出255.34万元、政府采购工程支出29.79万元、政府采购服务支出140.92万元。</w:t>
      </w:r>
    </w:p>
    <w:p w14:paraId="1CDA48E7">
      <w:pPr>
        <w:spacing w:line="580" w:lineRule="exact"/>
        <w:ind w:firstLine="640"/>
        <w:jc w:val="both"/>
      </w:pPr>
      <w:r>
        <w:rPr>
          <w:rFonts w:ascii="仿宋_GB2312" w:hAnsi="仿宋_GB2312" w:eastAsia="仿宋_GB2312"/>
          <w:b w:val="0"/>
          <w:sz w:val="32"/>
        </w:rPr>
        <w:t>授予中小企业合同金额402.63万元，占政府采购支出总额的94.50%，其中：授予小微企业合同金额402.63万元，占政府采购支出总额的94.50%。</w:t>
      </w:r>
    </w:p>
    <w:p w14:paraId="185E9255">
      <w:pPr>
        <w:spacing w:line="640" w:lineRule="exact"/>
        <w:ind w:firstLine="640"/>
        <w:jc w:val="both"/>
        <w:outlineLvl w:val="3"/>
      </w:pPr>
      <w:r>
        <w:rPr>
          <w:rFonts w:ascii="楷体_GB2312" w:hAnsi="楷体_GB2312" w:eastAsia="楷体_GB2312"/>
          <w:b/>
          <w:sz w:val="32"/>
        </w:rPr>
        <w:t>（三）国有资产占用情况说明</w:t>
      </w:r>
    </w:p>
    <w:p w14:paraId="1B2ABA27">
      <w:pPr>
        <w:spacing w:line="580" w:lineRule="exact"/>
        <w:ind w:firstLine="640"/>
        <w:jc w:val="both"/>
      </w:pPr>
      <w:r>
        <w:rPr>
          <w:rFonts w:ascii="仿宋_GB2312" w:hAnsi="仿宋_GB2312" w:eastAsia="仿宋_GB2312"/>
          <w:b w:val="0"/>
          <w:sz w:val="32"/>
        </w:rPr>
        <w:t>截至2024年12月31日，房屋9,911.28平方米，价值1,315.45万元。车辆11辆，价值272.53万元，其中：副部（省）级及以上领导用车0辆、主要负责人用车0辆、机要通信用车0辆、应急保障用车0辆、执法执勤用车0辆、特种专业技术用车0辆、离退休干部服务用车0辆、其他用车11辆，其他用车主要是：一般公务用车和单位业务用车。单价100万元（含）以上设备（不含车辆）0台（套）。</w:t>
      </w:r>
    </w:p>
    <w:p w14:paraId="62DF56CA">
      <w:pPr>
        <w:spacing w:line="640" w:lineRule="exact"/>
        <w:ind w:firstLine="640"/>
        <w:jc w:val="both"/>
        <w:outlineLvl w:val="2"/>
      </w:pPr>
      <w:r>
        <w:rPr>
          <w:rFonts w:ascii="黑体" w:hAnsi="黑体" w:eastAsia="黑体"/>
          <w:sz w:val="32"/>
        </w:rPr>
        <w:t>十一、预算绩效的情况说明</w:t>
      </w:r>
    </w:p>
    <w:p w14:paraId="02C7A8F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根据预算绩效管理要求，本单位2024年度预算绩效管理形成整体支出绩效自评表1个，全年预算总额3,443.31万元，实际执行总额3,344.46万元；预算绩效评价项目</w:t>
      </w:r>
      <w:r>
        <w:rPr>
          <w:rFonts w:hint="eastAsia" w:ascii="仿宋_GB2312" w:hAnsi="仿宋_GB2312" w:eastAsia="仿宋_GB2312"/>
          <w:b w:val="0"/>
          <w:sz w:val="32"/>
          <w:lang w:val="en-US" w:eastAsia="zh-CN"/>
        </w:rPr>
        <w:t>13</w:t>
      </w:r>
      <w:r>
        <w:rPr>
          <w:rFonts w:ascii="仿宋_GB2312" w:hAnsi="仿宋_GB2312" w:eastAsia="仿宋_GB2312"/>
          <w:b w:val="0"/>
          <w:sz w:val="32"/>
        </w:rPr>
        <w:t>个，全年预算数</w:t>
      </w:r>
      <w:r>
        <w:rPr>
          <w:rFonts w:hint="eastAsia" w:ascii="仿宋_GB2312" w:hAnsi="仿宋_GB2312" w:eastAsia="仿宋_GB2312"/>
          <w:b w:val="0"/>
          <w:sz w:val="32"/>
        </w:rPr>
        <w:t>792.41</w:t>
      </w:r>
      <w:r>
        <w:rPr>
          <w:rFonts w:ascii="仿宋_GB2312" w:hAnsi="仿宋_GB2312" w:eastAsia="仿宋_GB2312"/>
          <w:b w:val="0"/>
          <w:sz w:val="32"/>
        </w:rPr>
        <w:t>万元，全年执行数</w:t>
      </w:r>
      <w:r>
        <w:rPr>
          <w:rFonts w:hint="eastAsia" w:ascii="仿宋_GB2312" w:hAnsi="仿宋_GB2312" w:eastAsia="仿宋_GB2312"/>
          <w:b w:val="0"/>
          <w:sz w:val="32"/>
        </w:rPr>
        <w:t>700.93</w:t>
      </w:r>
      <w:r>
        <w:rPr>
          <w:rFonts w:ascii="仿宋_GB2312" w:hAnsi="仿宋_GB2312" w:eastAsia="仿宋_GB2312"/>
          <w:b w:val="0"/>
          <w:sz w:val="32"/>
        </w:rPr>
        <w:t>万元。预算绩效管理取得的成效：一是重视项目预算绩效自评结果运用，对于项目绩效自评结果较差的项目及时进行调整，指导下一年度预算编制；二是重视对绩效目标的设置，严格按照年初设置的绩效目标范围执行项目预算，减少预算执行中的随意性。发现的问题及原因：一是预算绩效管理薄弱，财政资金使用效益发挥不明显。部门绩效评价流于形式，导致项目绩效评价质量不高，造成资金闲置浪费；二是预算绩效观念不强，工作质量有待提高。各项目负责人对项目绩效工作不重视，思想认识不到位，仍存在重资金申请、轻过程管理，重支出、轻绩效的问题，导致绩效目标设定不够细化、不够精准。下一步改进措施：一是重视预算绩效管理工作，严把编报预算、设置绩效目标、撰写事前评估报告及项目实施方案一致性，精准施行预算绩效管理；二是加强对项目负责人绩效管理工作的相关培训，项目负责人为项目绩效管理工作的第一责任人，每月财务人员定期向项目负责人及单位负责人反馈项目绩效结果，针对项目绩效管理中出现的问题及时提出整改意见，提高绩效管理水平。具体附整体支出绩效自评表，项目支出绩效自评表。</w:t>
      </w:r>
    </w:p>
    <w:p w14:paraId="1225EB6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0FBAD6">
        <w:tblPrEx>
          <w:tblCellMar>
            <w:top w:w="0" w:type="dxa"/>
            <w:left w:w="108" w:type="dxa"/>
            <w:bottom w:w="0" w:type="dxa"/>
            <w:right w:w="108" w:type="dxa"/>
          </w:tblCellMar>
        </w:tblPrEx>
        <w:tc>
          <w:tcPr>
            <w:tcW w:w="8847" w:type="dxa"/>
            <w:gridSpan w:val="9"/>
            <w:vAlign w:val="center"/>
          </w:tcPr>
          <w:p w14:paraId="67EA024F">
            <w:pPr>
              <w:jc w:val="center"/>
            </w:pPr>
            <w:r>
              <w:rPr>
                <w:rFonts w:ascii="宋体" w:hAnsi="宋体" w:eastAsia="宋体"/>
                <w:sz w:val="24"/>
              </w:rPr>
              <w:t>单位整体支出绩效自评表</w:t>
            </w:r>
          </w:p>
        </w:tc>
      </w:tr>
      <w:tr w14:paraId="177607AB">
        <w:tblPrEx>
          <w:tblCellMar>
            <w:top w:w="0" w:type="dxa"/>
            <w:left w:w="108" w:type="dxa"/>
            <w:bottom w:w="0" w:type="dxa"/>
            <w:right w:w="108" w:type="dxa"/>
          </w:tblCellMar>
        </w:tblPrEx>
        <w:tc>
          <w:tcPr>
            <w:tcW w:w="8847" w:type="dxa"/>
            <w:gridSpan w:val="9"/>
            <w:vAlign w:val="center"/>
          </w:tcPr>
          <w:p w14:paraId="0693236B">
            <w:pPr>
              <w:jc w:val="center"/>
            </w:pPr>
            <w:r>
              <w:rPr>
                <w:rFonts w:ascii="宋体" w:hAnsi="宋体" w:eastAsia="宋体"/>
                <w:sz w:val="24"/>
              </w:rPr>
              <w:t>（2024年度）</w:t>
            </w:r>
          </w:p>
        </w:tc>
      </w:tr>
      <w:tr w14:paraId="6A8901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0542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D50FB58">
            <w:pPr>
              <w:jc w:val="center"/>
            </w:pPr>
            <w:r>
              <w:rPr>
                <w:rFonts w:ascii="宋体" w:hAnsi="宋体" w:eastAsia="宋体"/>
                <w:sz w:val="16"/>
              </w:rPr>
              <w:t>中共喀什地委办公室</w:t>
            </w:r>
          </w:p>
        </w:tc>
      </w:tr>
      <w:tr w14:paraId="10B27D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57D3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A0A7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F063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C7E0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4E0F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43C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1627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FC1D2">
            <w:pPr>
              <w:jc w:val="center"/>
            </w:pPr>
            <w:r>
              <w:rPr>
                <w:rFonts w:ascii="宋体" w:hAnsi="宋体" w:eastAsia="宋体"/>
                <w:sz w:val="16"/>
              </w:rPr>
              <w:t>得分</w:t>
            </w:r>
          </w:p>
        </w:tc>
      </w:tr>
      <w:tr w14:paraId="4FDD05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02A2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690E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4ED3A">
            <w:pPr>
              <w:jc w:val="center"/>
            </w:pPr>
            <w:r>
              <w:rPr>
                <w:rFonts w:ascii="宋体" w:hAnsi="宋体" w:eastAsia="宋体"/>
                <w:sz w:val="16"/>
              </w:rPr>
              <w:t>3,312.88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3DD54">
            <w:pPr>
              <w:jc w:val="center"/>
            </w:pPr>
            <w:r>
              <w:rPr>
                <w:rFonts w:ascii="宋体" w:hAnsi="宋体" w:eastAsia="宋体"/>
                <w:sz w:val="16"/>
              </w:rPr>
              <w:t>3,443.31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DCCB3">
            <w:pPr>
              <w:jc w:val="center"/>
            </w:pPr>
            <w:r>
              <w:rPr>
                <w:rFonts w:ascii="宋体" w:hAnsi="宋体" w:eastAsia="宋体"/>
                <w:sz w:val="16"/>
              </w:rPr>
              <w:t>3,344.46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705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5F088">
            <w:pPr>
              <w:jc w:val="center"/>
            </w:pPr>
            <w:r>
              <w:rPr>
                <w:rFonts w:ascii="宋体" w:hAnsi="宋体" w:eastAsia="宋体"/>
                <w:sz w:val="16"/>
              </w:rPr>
              <w:t>97.13%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6CDEF">
            <w:pPr>
              <w:jc w:val="center"/>
            </w:pPr>
            <w:r>
              <w:rPr>
                <w:rFonts w:ascii="宋体" w:hAnsi="宋体" w:eastAsia="宋体"/>
                <w:sz w:val="16"/>
              </w:rPr>
              <w:t>9.71</w:t>
            </w:r>
          </w:p>
        </w:tc>
      </w:tr>
      <w:tr w14:paraId="5B38CB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E97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2936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4F976">
            <w:pPr>
              <w:jc w:val="center"/>
            </w:pPr>
            <w:r>
              <w:rPr>
                <w:rFonts w:ascii="宋体" w:hAnsi="宋体" w:eastAsia="宋体"/>
                <w:sz w:val="16"/>
              </w:rPr>
              <w:t>16.66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37DC1">
            <w:pPr>
              <w:jc w:val="center"/>
            </w:pPr>
            <w:r>
              <w:rPr>
                <w:rFonts w:ascii="宋体" w:hAnsi="宋体" w:eastAsia="宋体"/>
                <w:sz w:val="16"/>
              </w:rPr>
              <w:t>119.63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78CBC">
            <w:pPr>
              <w:jc w:val="center"/>
            </w:pPr>
            <w:r>
              <w:rPr>
                <w:rFonts w:ascii="宋体" w:hAnsi="宋体" w:eastAsia="宋体"/>
                <w:sz w:val="16"/>
              </w:rPr>
              <w:t>111.07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5A4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09F1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F7C9">
            <w:pPr>
              <w:jc w:val="center"/>
            </w:pPr>
            <w:r>
              <w:rPr>
                <w:rFonts w:ascii="宋体" w:hAnsi="宋体" w:eastAsia="宋体"/>
                <w:sz w:val="16"/>
              </w:rPr>
              <w:t>—</w:t>
            </w:r>
          </w:p>
        </w:tc>
      </w:tr>
      <w:tr w14:paraId="7FDB25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567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4DCC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78552">
            <w:pPr>
              <w:jc w:val="center"/>
            </w:pPr>
            <w:r>
              <w:rPr>
                <w:rFonts w:ascii="宋体" w:hAnsi="宋体" w:eastAsia="宋体"/>
                <w:sz w:val="16"/>
              </w:rPr>
              <w:t>3,296.22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F7045">
            <w:pPr>
              <w:jc w:val="center"/>
            </w:pPr>
            <w:r>
              <w:rPr>
                <w:rFonts w:ascii="宋体" w:hAnsi="宋体" w:eastAsia="宋体"/>
                <w:sz w:val="16"/>
              </w:rPr>
              <w:t>3,253.89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A9C8D">
            <w:pPr>
              <w:jc w:val="center"/>
            </w:pPr>
            <w:r>
              <w:rPr>
                <w:rFonts w:ascii="宋体" w:hAnsi="宋体" w:eastAsia="宋体"/>
                <w:sz w:val="16"/>
              </w:rPr>
              <w:t>3,167.24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886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62D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9811">
            <w:pPr>
              <w:jc w:val="center"/>
            </w:pPr>
            <w:r>
              <w:rPr>
                <w:rFonts w:ascii="宋体" w:hAnsi="宋体" w:eastAsia="宋体"/>
                <w:sz w:val="16"/>
              </w:rPr>
              <w:t>—</w:t>
            </w:r>
          </w:p>
        </w:tc>
      </w:tr>
      <w:tr w14:paraId="4D3A7E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59A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A478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7E1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55CCF">
            <w:pPr>
              <w:jc w:val="center"/>
            </w:pPr>
            <w:r>
              <w:rPr>
                <w:rFonts w:ascii="宋体" w:hAnsi="宋体" w:eastAsia="宋体"/>
                <w:sz w:val="16"/>
              </w:rPr>
              <w:t>69.79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32302">
            <w:pPr>
              <w:jc w:val="center"/>
            </w:pPr>
            <w:r>
              <w:rPr>
                <w:rFonts w:ascii="宋体" w:hAnsi="宋体" w:eastAsia="宋体"/>
                <w:sz w:val="16"/>
              </w:rPr>
              <w:t>66.15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808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12A5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31AF3">
            <w:pPr>
              <w:jc w:val="center"/>
            </w:pPr>
            <w:r>
              <w:rPr>
                <w:rFonts w:ascii="宋体" w:hAnsi="宋体" w:eastAsia="宋体"/>
                <w:sz w:val="16"/>
              </w:rPr>
              <w:t>—</w:t>
            </w:r>
          </w:p>
        </w:tc>
      </w:tr>
      <w:tr w14:paraId="4947A8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F9A0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58EF5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17F6CD">
            <w:pPr>
              <w:jc w:val="center"/>
            </w:pPr>
            <w:r>
              <w:rPr>
                <w:rFonts w:ascii="宋体" w:hAnsi="宋体" w:eastAsia="宋体"/>
                <w:sz w:val="16"/>
              </w:rPr>
              <w:t>实际完成情况</w:t>
            </w:r>
          </w:p>
        </w:tc>
      </w:tr>
      <w:tr w14:paraId="7E5F8B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816E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457193">
            <w:pPr>
              <w:jc w:val="both"/>
            </w:pPr>
            <w:r>
              <w:rPr>
                <w:rFonts w:ascii="宋体" w:hAnsi="宋体" w:eastAsia="宋体"/>
                <w:sz w:val="16"/>
              </w:rPr>
              <w:t>地委中心工作为贯彻落实以习近平同志为核心的党中央治疆方略，以实现社会长治久安总目标，坚定坚决地贯彻落实好中央、自治区党委的各项决策部署。地委办公室承担着保障地委各类会议、各类公文审核印发筹备保障工作，地委领导的调研、会议等出行的后勤保障工作，本年度全年绩效目标为保障会议次数在180次及以上，开展实地调研督查次数达150次及以上，开展关心关爱干部活动10次以上，科学统计各类调研数据，为地委科学决策发挥参谋助手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984F0">
            <w:pPr>
              <w:jc w:val="both"/>
            </w:pPr>
            <w:r>
              <w:rPr>
                <w:rFonts w:ascii="宋体" w:hAnsi="宋体" w:eastAsia="宋体"/>
                <w:sz w:val="16"/>
              </w:rPr>
              <w:t>地委办公室承担着保障地委各类会议、各类公文审核及印发、筹备保障工作，地委领导的调研、会议等出行的后勤保障工作。本年度全年保障各类会议206次，开展实地调研督查127次，开展关心关爱干部活动12次，购置1台高速数码印刷机，全年度为地委科学决策发挥参谋助手作用5次。全年履职尽责，有力保障了会议、调研、公文印发工作，发挥了党办先锋模范作用。</w:t>
            </w:r>
          </w:p>
        </w:tc>
      </w:tr>
      <w:tr w14:paraId="5430DA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856F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8764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7285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9F0C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2B61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888A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2C01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3D4A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92868">
            <w:pPr>
              <w:jc w:val="center"/>
            </w:pPr>
            <w:r>
              <w:rPr>
                <w:rFonts w:ascii="宋体" w:hAnsi="宋体" w:eastAsia="宋体"/>
                <w:sz w:val="16"/>
              </w:rPr>
              <w:t>得分</w:t>
            </w:r>
          </w:p>
        </w:tc>
      </w:tr>
      <w:tr w14:paraId="31F734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A022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0E79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ADA46">
            <w:pPr>
              <w:jc w:val="center"/>
            </w:pPr>
            <w:r>
              <w:rPr>
                <w:rFonts w:ascii="宋体" w:hAnsi="宋体" w:eastAsia="宋体"/>
                <w:sz w:val="16"/>
              </w:rPr>
              <w:t>全年保障会议次数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0FD48">
            <w:pPr>
              <w:jc w:val="center"/>
            </w:pPr>
            <w:r>
              <w:rPr>
                <w:rFonts w:ascii="宋体" w:hAnsi="宋体" w:eastAsia="宋体"/>
                <w:sz w:val="16"/>
              </w:rPr>
              <w:t>&gt;=180次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A3500">
            <w:pPr>
              <w:jc w:val="center"/>
            </w:pPr>
            <w:r>
              <w:rPr>
                <w:rFonts w:ascii="宋体" w:hAnsi="宋体" w:eastAsia="宋体"/>
                <w:sz w:val="16"/>
              </w:rPr>
              <w:t>地委办2024年工作计划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27EC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238D9">
            <w:pPr>
              <w:jc w:val="center"/>
            </w:pPr>
            <w:r>
              <w:rPr>
                <w:rFonts w:ascii="宋体" w:hAnsi="宋体" w:eastAsia="宋体"/>
                <w:sz w:val="16"/>
              </w:rPr>
              <w:t>206次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027DF">
            <w:pPr>
              <w:jc w:val="center"/>
            </w:pPr>
            <w:r>
              <w:rPr>
                <w:rFonts w:ascii="宋体" w:hAnsi="宋体" w:eastAsia="宋体"/>
                <w:sz w:val="16"/>
              </w:rPr>
              <w:t>114.44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0C0BE">
            <w:pPr>
              <w:jc w:val="center"/>
            </w:pPr>
            <w:r>
              <w:rPr>
                <w:rFonts w:ascii="宋体" w:hAnsi="宋体" w:eastAsia="宋体"/>
                <w:sz w:val="16"/>
              </w:rPr>
              <w:t>20</w:t>
            </w:r>
          </w:p>
        </w:tc>
      </w:tr>
      <w:tr w14:paraId="57E865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679C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35E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27F60">
            <w:pPr>
              <w:jc w:val="center"/>
            </w:pPr>
            <w:r>
              <w:rPr>
                <w:rFonts w:ascii="宋体" w:hAnsi="宋体" w:eastAsia="宋体"/>
                <w:sz w:val="16"/>
              </w:rPr>
              <w:t>全年开展实地调研督查次数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F62DF">
            <w:pPr>
              <w:jc w:val="center"/>
            </w:pPr>
            <w:r>
              <w:rPr>
                <w:rFonts w:ascii="宋体" w:hAnsi="宋体" w:eastAsia="宋体"/>
                <w:sz w:val="16"/>
              </w:rPr>
              <w:t>&gt;=150次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D229D">
            <w:pPr>
              <w:jc w:val="center"/>
            </w:pPr>
            <w:r>
              <w:rPr>
                <w:rFonts w:ascii="宋体" w:hAnsi="宋体" w:eastAsia="宋体"/>
                <w:sz w:val="16"/>
              </w:rPr>
              <w:t>地委办2024年工作计划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AD22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69F77">
            <w:pPr>
              <w:jc w:val="center"/>
            </w:pPr>
            <w:r>
              <w:rPr>
                <w:rFonts w:ascii="宋体" w:hAnsi="宋体" w:eastAsia="宋体"/>
                <w:sz w:val="16"/>
              </w:rPr>
              <w:t>127次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3D49B">
            <w:pPr>
              <w:jc w:val="center"/>
            </w:pPr>
            <w:r>
              <w:rPr>
                <w:rFonts w:ascii="宋体" w:hAnsi="宋体" w:eastAsia="宋体"/>
                <w:sz w:val="16"/>
              </w:rPr>
              <w:t>84.67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539EF">
            <w:pPr>
              <w:jc w:val="center"/>
            </w:pPr>
            <w:r>
              <w:rPr>
                <w:rFonts w:ascii="宋体" w:hAnsi="宋体" w:eastAsia="宋体"/>
                <w:sz w:val="16"/>
              </w:rPr>
              <w:t>16.93</w:t>
            </w:r>
          </w:p>
        </w:tc>
      </w:tr>
      <w:tr w14:paraId="0F0278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7C8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B27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28E77">
            <w:pPr>
              <w:jc w:val="center"/>
            </w:pPr>
            <w:r>
              <w:rPr>
                <w:rFonts w:ascii="宋体" w:hAnsi="宋体" w:eastAsia="宋体"/>
                <w:sz w:val="16"/>
              </w:rPr>
              <w:t>全年开展关心关爱干部次数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DAA3">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B360A">
            <w:pPr>
              <w:jc w:val="center"/>
            </w:pPr>
            <w:r>
              <w:rPr>
                <w:rFonts w:ascii="宋体" w:hAnsi="宋体" w:eastAsia="宋体"/>
                <w:sz w:val="16"/>
              </w:rPr>
              <w:t>地委办2024年工作计划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230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12155">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009DF">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C5FFE">
            <w:pPr>
              <w:jc w:val="center"/>
            </w:pPr>
            <w:r>
              <w:rPr>
                <w:rFonts w:ascii="宋体" w:hAnsi="宋体" w:eastAsia="宋体"/>
                <w:sz w:val="16"/>
              </w:rPr>
              <w:t>20</w:t>
            </w:r>
          </w:p>
        </w:tc>
      </w:tr>
      <w:tr w14:paraId="5EDF56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62C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4B2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E369D">
            <w:pPr>
              <w:jc w:val="center"/>
            </w:pPr>
            <w:r>
              <w:rPr>
                <w:rFonts w:ascii="宋体" w:hAnsi="宋体" w:eastAsia="宋体"/>
                <w:sz w:val="16"/>
              </w:rPr>
              <w:t>全年购置大型彩色数码印刷机台数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64F4D">
            <w:pPr>
              <w:jc w:val="center"/>
            </w:pPr>
            <w:r>
              <w:rPr>
                <w:rFonts w:ascii="宋体" w:hAnsi="宋体" w:eastAsia="宋体"/>
                <w:sz w:val="16"/>
              </w:rPr>
              <w:t>&gt;=1台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8514D">
            <w:pPr>
              <w:jc w:val="center"/>
            </w:pPr>
            <w:r>
              <w:rPr>
                <w:rFonts w:ascii="宋体" w:hAnsi="宋体" w:eastAsia="宋体"/>
                <w:sz w:val="16"/>
              </w:rPr>
              <w:t>会务保障设备购置项目测算依据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7867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15476">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626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A0944">
            <w:pPr>
              <w:jc w:val="center"/>
            </w:pPr>
            <w:r>
              <w:rPr>
                <w:rFonts w:ascii="宋体" w:hAnsi="宋体" w:eastAsia="宋体"/>
                <w:sz w:val="16"/>
              </w:rPr>
              <w:t>20</w:t>
            </w:r>
          </w:p>
        </w:tc>
      </w:tr>
      <w:tr w14:paraId="315811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ECB2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154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9560D">
            <w:pPr>
              <w:jc w:val="center"/>
            </w:pPr>
            <w:r>
              <w:rPr>
                <w:rFonts w:ascii="宋体" w:hAnsi="宋体" w:eastAsia="宋体"/>
                <w:sz w:val="16"/>
              </w:rPr>
              <w:t>为地委科学决策发挥参谋助手作用次数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484EF">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FB18C">
            <w:pPr>
              <w:jc w:val="center"/>
            </w:pPr>
            <w:r>
              <w:rPr>
                <w:rFonts w:ascii="宋体" w:hAnsi="宋体" w:eastAsia="宋体"/>
                <w:sz w:val="16"/>
              </w:rPr>
              <w:t>地委办2024年工作计划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93B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266F2">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08D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85120">
            <w:pPr>
              <w:jc w:val="center"/>
            </w:pPr>
            <w:r>
              <w:rPr>
                <w:rFonts w:ascii="宋体" w:hAnsi="宋体" w:eastAsia="宋体"/>
                <w:sz w:val="16"/>
              </w:rPr>
              <w:t>10</w:t>
            </w:r>
          </w:p>
        </w:tc>
      </w:tr>
    </w:tbl>
    <w:p w14:paraId="676F79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E02B098">
        <w:tblPrEx>
          <w:tblCellMar>
            <w:top w:w="0" w:type="dxa"/>
            <w:left w:w="108" w:type="dxa"/>
            <w:bottom w:w="0" w:type="dxa"/>
            <w:right w:w="108" w:type="dxa"/>
          </w:tblCellMar>
        </w:tblPrEx>
        <w:tc>
          <w:tcPr>
            <w:tcW w:w="8848" w:type="dxa"/>
            <w:gridSpan w:val="14"/>
            <w:vAlign w:val="center"/>
          </w:tcPr>
          <w:p w14:paraId="38F62118">
            <w:pPr>
              <w:jc w:val="center"/>
            </w:pPr>
            <w:r>
              <w:rPr>
                <w:rFonts w:ascii="宋体" w:hAnsi="宋体" w:eastAsia="宋体"/>
                <w:sz w:val="24"/>
              </w:rPr>
              <w:t>项目支出绩效自评表</w:t>
            </w:r>
          </w:p>
        </w:tc>
      </w:tr>
      <w:tr w14:paraId="1BD03C86">
        <w:tblPrEx>
          <w:tblCellMar>
            <w:top w:w="0" w:type="dxa"/>
            <w:left w:w="108" w:type="dxa"/>
            <w:bottom w:w="0" w:type="dxa"/>
            <w:right w:w="108" w:type="dxa"/>
          </w:tblCellMar>
        </w:tblPrEx>
        <w:tc>
          <w:tcPr>
            <w:tcW w:w="8848" w:type="dxa"/>
            <w:gridSpan w:val="14"/>
            <w:vAlign w:val="center"/>
          </w:tcPr>
          <w:p w14:paraId="2E511887">
            <w:pPr>
              <w:jc w:val="center"/>
            </w:pPr>
            <w:r>
              <w:rPr>
                <w:rFonts w:ascii="宋体" w:hAnsi="宋体" w:eastAsia="宋体"/>
                <w:sz w:val="24"/>
              </w:rPr>
              <w:t>(2024年度)</w:t>
            </w:r>
          </w:p>
        </w:tc>
      </w:tr>
      <w:tr w14:paraId="1CC6FA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94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D1D6E6">
            <w:pPr>
              <w:jc w:val="center"/>
            </w:pPr>
            <w:r>
              <w:rPr>
                <w:rFonts w:ascii="宋体" w:hAnsi="宋体" w:eastAsia="宋体"/>
                <w:sz w:val="16"/>
              </w:rPr>
              <w:t>会计核算中心业务专项项目</w:t>
            </w:r>
          </w:p>
        </w:tc>
      </w:tr>
      <w:tr w14:paraId="0CE227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2D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D933F">
            <w:pPr>
              <w:jc w:val="center"/>
            </w:pPr>
            <w:r>
              <w:rPr>
                <w:rFonts w:ascii="宋体" w:hAnsi="宋体" w:eastAsia="宋体"/>
                <w:sz w:val="16"/>
              </w:rPr>
              <w:t>中共喀什地委办公室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0F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34B8E8">
            <w:pPr>
              <w:jc w:val="center"/>
            </w:pPr>
            <w:r>
              <w:rPr>
                <w:rFonts w:ascii="宋体" w:hAnsi="宋体" w:eastAsia="宋体"/>
                <w:sz w:val="16"/>
              </w:rPr>
              <w:t>中共喀什地委办公室</w:t>
            </w:r>
          </w:p>
        </w:tc>
      </w:tr>
      <w:tr w14:paraId="7A82AB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7F4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72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BD9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F06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130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3B5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84E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D256">
            <w:pPr>
              <w:jc w:val="center"/>
            </w:pPr>
            <w:r>
              <w:rPr>
                <w:rFonts w:ascii="宋体" w:hAnsi="宋体" w:eastAsia="宋体"/>
                <w:sz w:val="16"/>
              </w:rPr>
              <w:t>得分</w:t>
            </w:r>
          </w:p>
        </w:tc>
      </w:tr>
      <w:tr w14:paraId="5DCFB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6F8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ACB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3E6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CDC5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9D3E7">
            <w:pPr>
              <w:jc w:val="center"/>
            </w:pPr>
            <w:r>
              <w:rPr>
                <w:rFonts w:ascii="宋体" w:hAnsi="宋体" w:eastAsia="宋体"/>
                <w:sz w:val="16"/>
              </w:rPr>
              <w:t>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0C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A301E">
            <w:pPr>
              <w:jc w:val="center"/>
            </w:pPr>
            <w:r>
              <w:rPr>
                <w:rFonts w:ascii="宋体" w:hAnsi="宋体" w:eastAsia="宋体"/>
                <w:sz w:val="16"/>
              </w:rPr>
              <w:t>74.5%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4613">
            <w:pPr>
              <w:jc w:val="center"/>
            </w:pPr>
            <w:r>
              <w:rPr>
                <w:rFonts w:ascii="宋体" w:hAnsi="宋体" w:eastAsia="宋体"/>
                <w:sz w:val="16"/>
              </w:rPr>
              <w:t>3.62分</w:t>
            </w:r>
          </w:p>
        </w:tc>
      </w:tr>
      <w:tr w14:paraId="24CFF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35C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6C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2302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449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738A4">
            <w:pPr>
              <w:jc w:val="center"/>
            </w:pPr>
            <w:r>
              <w:rPr>
                <w:rFonts w:ascii="宋体" w:hAnsi="宋体" w:eastAsia="宋体"/>
                <w:sz w:val="16"/>
              </w:rPr>
              <w:t>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AF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FE2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87EC">
            <w:pPr>
              <w:jc w:val="center"/>
            </w:pPr>
            <w:r>
              <w:rPr>
                <w:rFonts w:ascii="宋体" w:hAnsi="宋体" w:eastAsia="宋体"/>
                <w:sz w:val="16"/>
              </w:rPr>
              <w:t>—</w:t>
            </w:r>
          </w:p>
        </w:tc>
      </w:tr>
      <w:tr w14:paraId="174F6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37E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1FB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699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30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7D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6AE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AD5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C938">
            <w:pPr>
              <w:jc w:val="center"/>
            </w:pPr>
            <w:r>
              <w:rPr>
                <w:rFonts w:ascii="宋体" w:hAnsi="宋体" w:eastAsia="宋体"/>
                <w:sz w:val="16"/>
              </w:rPr>
              <w:t>—</w:t>
            </w:r>
          </w:p>
        </w:tc>
      </w:tr>
      <w:tr w14:paraId="122FFC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4F9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874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8B966E">
            <w:pPr>
              <w:jc w:val="center"/>
            </w:pPr>
            <w:r>
              <w:rPr>
                <w:rFonts w:ascii="宋体" w:hAnsi="宋体" w:eastAsia="宋体"/>
                <w:sz w:val="16"/>
              </w:rPr>
              <w:t>实际完成情况</w:t>
            </w:r>
          </w:p>
        </w:tc>
      </w:tr>
      <w:tr w14:paraId="39011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4F8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28015">
            <w:pPr>
              <w:jc w:val="both"/>
            </w:pPr>
            <w:r>
              <w:rPr>
                <w:rFonts w:ascii="宋体" w:hAnsi="宋体" w:eastAsia="宋体"/>
                <w:sz w:val="16"/>
              </w:rPr>
              <w:t>本项目根据喀党办字</w:t>
            </w:r>
            <w:r>
              <w:rPr>
                <w:rFonts w:hint="eastAsia" w:ascii="宋体" w:hAnsi="宋体"/>
                <w:sz w:val="16"/>
                <w:lang w:eastAsia="zh-CN"/>
              </w:rPr>
              <w:t>〔2019〕21号</w:t>
            </w:r>
            <w:r>
              <w:rPr>
                <w:rFonts w:ascii="宋体" w:hAnsi="宋体" w:eastAsia="宋体"/>
                <w:sz w:val="16"/>
              </w:rPr>
              <w:t>关于印发《中共喀什地委办公室职能配置内设机构和人员编制规定》的文件要求，地委会计核算中心是地委办公室的后勤保障科室，保障地委的各项经费开支，为机关做好服务，目前地委会计核算中心承担着25个行政部门单位及2个临时机构的财务管理工作，日常业务繁多，对办公材料需求较大，全年需</w:t>
            </w:r>
            <w:r>
              <w:rPr>
                <w:rFonts w:hint="eastAsia" w:ascii="宋体" w:hAnsi="宋体"/>
                <w:sz w:val="16"/>
                <w:lang w:eastAsia="zh-CN"/>
              </w:rPr>
              <w:t>购置</w:t>
            </w:r>
            <w:r>
              <w:rPr>
                <w:rFonts w:ascii="宋体" w:hAnsi="宋体" w:eastAsia="宋体"/>
                <w:sz w:val="16"/>
              </w:rPr>
              <w:t>各类硒鼓、办公用品、办公耗材等10万元。确保地委机关财务管理工作平稳有序运行。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29F26A">
            <w:pPr>
              <w:jc w:val="both"/>
            </w:pPr>
            <w:r>
              <w:rPr>
                <w:rFonts w:ascii="宋体" w:hAnsi="宋体" w:eastAsia="宋体"/>
                <w:sz w:val="16"/>
              </w:rPr>
              <w:t>本年度按月分批采购11批办公耗材及打印机耗材，支付4条财政专网网络租费，有力保障地委会计核算中心正常运转，提升会计核算中心服务水平，确保地委机关财务管理工作平稳有序运行。</w:t>
            </w:r>
          </w:p>
        </w:tc>
      </w:tr>
      <w:tr w14:paraId="6A2891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9FD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83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AC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CC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B9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E4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7B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2D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4E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24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4C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6C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7B43">
            <w:pPr>
              <w:jc w:val="center"/>
            </w:pPr>
            <w:r>
              <w:rPr>
                <w:rFonts w:ascii="宋体" w:hAnsi="宋体" w:eastAsia="宋体"/>
                <w:sz w:val="16"/>
              </w:rPr>
              <w:t>偏差原因分析及改进措施</w:t>
            </w:r>
          </w:p>
        </w:tc>
      </w:tr>
      <w:tr w14:paraId="078BB7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0B2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4FA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204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DE22">
            <w:pPr>
              <w:jc w:val="center"/>
            </w:pPr>
            <w:r>
              <w:rPr>
                <w:rFonts w:ascii="宋体" w:hAnsi="宋体" w:eastAsia="宋体"/>
                <w:sz w:val="16"/>
              </w:rPr>
              <w:t>财政专网数量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A6EE">
            <w:pPr>
              <w:jc w:val="center"/>
            </w:pPr>
            <w:r>
              <w:rPr>
                <w:rFonts w:ascii="宋体" w:hAnsi="宋体" w:eastAsia="宋体"/>
                <w:sz w:val="16"/>
              </w:rPr>
              <w:t>&gt;=4条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5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88CD">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E4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6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ED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0596">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BE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6954">
            <w:pPr>
              <w:jc w:val="center"/>
            </w:pPr>
          </w:p>
        </w:tc>
      </w:tr>
      <w:tr w14:paraId="584A8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A7C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4C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09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9A08">
            <w:pPr>
              <w:jc w:val="center"/>
            </w:pPr>
            <w:r>
              <w:rPr>
                <w:rFonts w:ascii="宋体" w:hAnsi="宋体" w:eastAsia="宋体"/>
                <w:sz w:val="16"/>
              </w:rPr>
              <w:t>购置办公用品及耗材数量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66FC">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4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DE62">
            <w:pPr>
              <w:jc w:val="center"/>
            </w:pPr>
            <w:r>
              <w:rPr>
                <w:rFonts w:ascii="宋体" w:hAnsi="宋体" w:eastAsia="宋体"/>
                <w:sz w:val="16"/>
              </w:rPr>
              <w:t>20批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5B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8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7A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B5B7">
            <w:pPr>
              <w:jc w:val="center"/>
            </w:pPr>
            <w:r>
              <w:rPr>
                <w:rFonts w:ascii="宋体" w:hAnsi="宋体" w:eastAsia="宋体"/>
                <w:sz w:val="16"/>
              </w:rPr>
              <w: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A64C">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58F6">
            <w:pPr>
              <w:jc w:val="center"/>
            </w:pPr>
            <w:r>
              <w:rPr>
                <w:rFonts w:ascii="宋体" w:hAnsi="宋体" w:eastAsia="宋体"/>
                <w:sz w:val="16"/>
              </w:rPr>
              <w:t>偏差原因：本年度业务量稍有</w:t>
            </w:r>
            <w:r>
              <w:rPr>
                <w:rFonts w:hint="eastAsia" w:ascii="宋体" w:hAnsi="宋体"/>
                <w:sz w:val="16"/>
                <w:lang w:eastAsia="zh-CN"/>
              </w:rPr>
              <w:t>减少</w:t>
            </w:r>
            <w:r>
              <w:rPr>
                <w:rFonts w:ascii="宋体" w:hAnsi="宋体" w:eastAsia="宋体"/>
                <w:sz w:val="16"/>
              </w:rPr>
              <w:t>，办公耗材及打印机耗材购置量减少；改进措施：进行绩效评价结果运用，精准编制预算。</w:t>
            </w:r>
          </w:p>
        </w:tc>
      </w:tr>
      <w:tr w14:paraId="30161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0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47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F0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FE24">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1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CC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1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72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28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C2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3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A37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F7BA8">
            <w:pPr>
              <w:jc w:val="center"/>
            </w:pPr>
          </w:p>
        </w:tc>
      </w:tr>
      <w:tr w14:paraId="28689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8D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9E1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3A9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A89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C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8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C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BE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D8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21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89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CC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46962">
            <w:pPr>
              <w:jc w:val="center"/>
            </w:pPr>
          </w:p>
        </w:tc>
      </w:tr>
      <w:tr w14:paraId="7D9DE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3D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77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710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7A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F2E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95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C1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F9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40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01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AAE8">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C2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AE13">
            <w:pPr>
              <w:jc w:val="center"/>
            </w:pPr>
          </w:p>
        </w:tc>
      </w:tr>
      <w:tr w14:paraId="35D10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634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9BD7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2DF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7C58">
            <w:pPr>
              <w:jc w:val="center"/>
            </w:pPr>
            <w:r>
              <w:rPr>
                <w:rFonts w:ascii="宋体" w:hAnsi="宋体" w:eastAsia="宋体"/>
                <w:sz w:val="16"/>
              </w:rPr>
              <w:t>购置办公用品及耗材成本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6081">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4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23FE">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CA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4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62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246A">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FECF">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0FC65">
            <w:pPr>
              <w:jc w:val="center"/>
            </w:pPr>
            <w:r>
              <w:rPr>
                <w:rFonts w:ascii="宋体" w:hAnsi="宋体" w:eastAsia="宋体"/>
                <w:sz w:val="16"/>
              </w:rPr>
              <w:t>偏差原因：本年度业务量稍有</w:t>
            </w:r>
            <w:r>
              <w:rPr>
                <w:rFonts w:hint="eastAsia" w:ascii="宋体" w:hAnsi="宋体"/>
                <w:sz w:val="16"/>
                <w:lang w:eastAsia="zh-CN"/>
              </w:rPr>
              <w:t>减少</w:t>
            </w:r>
            <w:r>
              <w:rPr>
                <w:rFonts w:ascii="宋体" w:hAnsi="宋体" w:eastAsia="宋体"/>
                <w:sz w:val="16"/>
              </w:rPr>
              <w:t>，办公耗材及打印机耗材购置量减少，导致项目资金执行率不高，年底资金未执行完毕；改进措施：进行绩效评价结果运用，精准编制预算。</w:t>
            </w:r>
          </w:p>
        </w:tc>
      </w:tr>
      <w:tr w14:paraId="050F5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DB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AE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D3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185B">
            <w:pPr>
              <w:jc w:val="center"/>
            </w:pPr>
            <w:r>
              <w:rPr>
                <w:rFonts w:ascii="宋体" w:hAnsi="宋体" w:eastAsia="宋体"/>
                <w:sz w:val="16"/>
              </w:rPr>
              <w:t>财政专网成本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DC92">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D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9C3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E4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DF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82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B0A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47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00C9">
            <w:pPr>
              <w:jc w:val="center"/>
            </w:pPr>
          </w:p>
        </w:tc>
      </w:tr>
      <w:tr w14:paraId="7DB20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65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2E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7D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431D">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2F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0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AE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2E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7D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9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8A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80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E54D7">
            <w:pPr>
              <w:jc w:val="center"/>
            </w:pPr>
          </w:p>
        </w:tc>
      </w:tr>
      <w:tr w14:paraId="65123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55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B4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87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AE62">
            <w:pPr>
              <w:jc w:val="center"/>
            </w:pPr>
            <w:r>
              <w:rPr>
                <w:rFonts w:ascii="宋体" w:hAnsi="宋体" w:eastAsia="宋体"/>
                <w:sz w:val="16"/>
              </w:rPr>
              <w:t>地委机关各部门满意度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4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D8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7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0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6F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3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7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C4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4DFAE">
            <w:pPr>
              <w:jc w:val="center"/>
            </w:pPr>
          </w:p>
        </w:tc>
      </w:tr>
      <w:tr w14:paraId="0B8AA4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4A5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368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A4F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1514A0">
            <w:pPr>
              <w:jc w:val="center"/>
            </w:pPr>
            <w:r>
              <w:rPr>
                <w:rFonts w:ascii="宋体" w:hAnsi="宋体" w:eastAsia="宋体"/>
                <w:sz w:val="16"/>
              </w:rPr>
              <w:t>84.87分</w:t>
            </w:r>
          </w:p>
        </w:tc>
      </w:tr>
    </w:tbl>
    <w:p w14:paraId="25CFB4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8758E1">
        <w:tblPrEx>
          <w:tblCellMar>
            <w:top w:w="0" w:type="dxa"/>
            <w:left w:w="108" w:type="dxa"/>
            <w:bottom w:w="0" w:type="dxa"/>
            <w:right w:w="108" w:type="dxa"/>
          </w:tblCellMar>
        </w:tblPrEx>
        <w:tc>
          <w:tcPr>
            <w:tcW w:w="8848" w:type="dxa"/>
            <w:gridSpan w:val="14"/>
            <w:vAlign w:val="center"/>
          </w:tcPr>
          <w:p w14:paraId="6DAD7B1E">
            <w:pPr>
              <w:jc w:val="center"/>
            </w:pPr>
            <w:r>
              <w:rPr>
                <w:rFonts w:ascii="宋体" w:hAnsi="宋体" w:eastAsia="宋体"/>
                <w:sz w:val="24"/>
              </w:rPr>
              <w:t>项目支出绩效自评表</w:t>
            </w:r>
          </w:p>
        </w:tc>
      </w:tr>
      <w:tr w14:paraId="696908DC">
        <w:tblPrEx>
          <w:tblCellMar>
            <w:top w:w="0" w:type="dxa"/>
            <w:left w:w="108" w:type="dxa"/>
            <w:bottom w:w="0" w:type="dxa"/>
            <w:right w:w="108" w:type="dxa"/>
          </w:tblCellMar>
        </w:tblPrEx>
        <w:tc>
          <w:tcPr>
            <w:tcW w:w="8848" w:type="dxa"/>
            <w:gridSpan w:val="14"/>
            <w:vAlign w:val="center"/>
          </w:tcPr>
          <w:p w14:paraId="6A324081">
            <w:pPr>
              <w:jc w:val="center"/>
            </w:pPr>
            <w:r>
              <w:rPr>
                <w:rFonts w:ascii="宋体" w:hAnsi="宋体" w:eastAsia="宋体"/>
                <w:sz w:val="24"/>
              </w:rPr>
              <w:t>(2024年度)</w:t>
            </w:r>
          </w:p>
        </w:tc>
      </w:tr>
      <w:tr w14:paraId="53DDE1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CC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E56766">
            <w:pPr>
              <w:jc w:val="center"/>
            </w:pPr>
            <w:r>
              <w:rPr>
                <w:rFonts w:ascii="宋体" w:hAnsi="宋体" w:eastAsia="宋体"/>
                <w:sz w:val="16"/>
              </w:rPr>
              <w:t>援疆干部人才南疆生活补贴项目</w:t>
            </w:r>
          </w:p>
        </w:tc>
      </w:tr>
      <w:tr w14:paraId="2B2DF8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47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734C4">
            <w:pPr>
              <w:jc w:val="center"/>
            </w:pPr>
            <w:r>
              <w:rPr>
                <w:rFonts w:ascii="宋体" w:hAnsi="宋体" w:eastAsia="宋体"/>
                <w:sz w:val="16"/>
              </w:rPr>
              <w:t>中共喀什地委办公室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98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4E7E58">
            <w:pPr>
              <w:jc w:val="center"/>
            </w:pPr>
            <w:r>
              <w:rPr>
                <w:rFonts w:ascii="宋体" w:hAnsi="宋体" w:eastAsia="宋体"/>
                <w:sz w:val="16"/>
              </w:rPr>
              <w:t>中共喀什地委办公室</w:t>
            </w:r>
          </w:p>
        </w:tc>
      </w:tr>
      <w:tr w14:paraId="1C7A1F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689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D33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A1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884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0CC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C65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507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5509">
            <w:pPr>
              <w:jc w:val="center"/>
            </w:pPr>
            <w:r>
              <w:rPr>
                <w:rFonts w:ascii="宋体" w:hAnsi="宋体" w:eastAsia="宋体"/>
                <w:sz w:val="16"/>
              </w:rPr>
              <w:t>得分</w:t>
            </w:r>
          </w:p>
        </w:tc>
      </w:tr>
      <w:tr w14:paraId="7696E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53B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29A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77B9">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376A">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50AB">
            <w:pPr>
              <w:jc w:val="center"/>
            </w:pPr>
            <w:r>
              <w:rPr>
                <w:rFonts w:ascii="宋体" w:hAnsi="宋体" w:eastAsia="宋体"/>
                <w:sz w:val="16"/>
              </w:rPr>
              <w:t>10.66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686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8D48">
            <w:pPr>
              <w:jc w:val="center"/>
            </w:pPr>
            <w:r>
              <w:rPr>
                <w:rFonts w:ascii="宋体" w:hAnsi="宋体" w:eastAsia="宋体"/>
                <w:sz w:val="16"/>
              </w:rPr>
              <w:t>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33F8">
            <w:pPr>
              <w:jc w:val="center"/>
            </w:pPr>
            <w:r>
              <w:rPr>
                <w:rFonts w:ascii="宋体" w:hAnsi="宋体" w:eastAsia="宋体"/>
                <w:sz w:val="16"/>
              </w:rPr>
              <w:t>7.66分</w:t>
            </w:r>
          </w:p>
        </w:tc>
      </w:tr>
      <w:tr w14:paraId="2F0ED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435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C7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DFF0">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EBB6">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D0D6">
            <w:pPr>
              <w:jc w:val="center"/>
            </w:pPr>
            <w:r>
              <w:rPr>
                <w:rFonts w:ascii="宋体" w:hAnsi="宋体" w:eastAsia="宋体"/>
                <w:sz w:val="16"/>
              </w:rPr>
              <w:t>10.66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F31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155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E25D">
            <w:pPr>
              <w:jc w:val="center"/>
            </w:pPr>
            <w:r>
              <w:rPr>
                <w:rFonts w:ascii="宋体" w:hAnsi="宋体" w:eastAsia="宋体"/>
                <w:sz w:val="16"/>
              </w:rPr>
              <w:t>—</w:t>
            </w:r>
          </w:p>
        </w:tc>
      </w:tr>
      <w:tr w14:paraId="112B3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5EF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8A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A5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BAA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FF9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0C6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0A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E617">
            <w:pPr>
              <w:jc w:val="center"/>
            </w:pPr>
            <w:r>
              <w:rPr>
                <w:rFonts w:ascii="宋体" w:hAnsi="宋体" w:eastAsia="宋体"/>
                <w:sz w:val="16"/>
              </w:rPr>
              <w:t>—</w:t>
            </w:r>
          </w:p>
        </w:tc>
      </w:tr>
      <w:tr w14:paraId="1316DF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B39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B51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8AFA1">
            <w:pPr>
              <w:jc w:val="center"/>
            </w:pPr>
            <w:r>
              <w:rPr>
                <w:rFonts w:ascii="宋体" w:hAnsi="宋体" w:eastAsia="宋体"/>
                <w:sz w:val="16"/>
              </w:rPr>
              <w:t>实际完成情况</w:t>
            </w:r>
          </w:p>
        </w:tc>
      </w:tr>
      <w:tr w14:paraId="4491C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D78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22CFC">
            <w:pPr>
              <w:jc w:val="both"/>
            </w:pPr>
            <w:r>
              <w:rPr>
                <w:rFonts w:ascii="宋体" w:hAnsi="宋体" w:eastAsia="宋体"/>
                <w:sz w:val="16"/>
              </w:rPr>
              <w:t>为地委办7名援疆干部每月发放9800元南疆工作补贴，改善南疆干部在南疆工作的生活水平。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347585">
            <w:pPr>
              <w:jc w:val="both"/>
            </w:pPr>
            <w:r>
              <w:rPr>
                <w:rFonts w:ascii="宋体" w:hAnsi="宋体" w:eastAsia="宋体"/>
                <w:sz w:val="16"/>
              </w:rPr>
              <w:t>每月按时发放7名援疆干部南疆生活补贴0.89万元，充分体现出自治区党委、政府对援疆干部人才的关心厚爱，激发援疆干部人才建设新疆、奉献新疆的干事创业热情。</w:t>
            </w:r>
          </w:p>
        </w:tc>
      </w:tr>
      <w:tr w14:paraId="77C4C8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100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06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90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1C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5E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D4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3D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FF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05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EE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87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3A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3981E">
            <w:pPr>
              <w:jc w:val="center"/>
            </w:pPr>
            <w:r>
              <w:rPr>
                <w:rFonts w:ascii="宋体" w:hAnsi="宋体" w:eastAsia="宋体"/>
                <w:sz w:val="16"/>
              </w:rPr>
              <w:t>偏差原因分析及改进措施</w:t>
            </w:r>
          </w:p>
        </w:tc>
      </w:tr>
      <w:tr w14:paraId="6A4313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17B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B928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F5D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DC6F">
            <w:pPr>
              <w:jc w:val="center"/>
            </w:pPr>
            <w:r>
              <w:rPr>
                <w:rFonts w:ascii="宋体" w:hAnsi="宋体" w:eastAsia="宋体"/>
                <w:sz w:val="16"/>
              </w:rPr>
              <w:t>补贴援疆干部人数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F59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B6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0314">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4D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28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8B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42E1">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B8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CF50">
            <w:pPr>
              <w:jc w:val="center"/>
            </w:pPr>
          </w:p>
        </w:tc>
      </w:tr>
      <w:tr w14:paraId="4F00B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38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0C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35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16E8">
            <w:pPr>
              <w:jc w:val="center"/>
            </w:pPr>
            <w:r>
              <w:rPr>
                <w:rFonts w:ascii="宋体" w:hAnsi="宋体" w:eastAsia="宋体"/>
                <w:sz w:val="16"/>
              </w:rPr>
              <w:t>补贴发放月份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578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35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72C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83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FA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AC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06C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72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186DD">
            <w:pPr>
              <w:jc w:val="center"/>
            </w:pPr>
          </w:p>
        </w:tc>
      </w:tr>
      <w:tr w14:paraId="09622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D9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E5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CD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EA56">
            <w:pPr>
              <w:jc w:val="center"/>
            </w:pPr>
            <w:r>
              <w:rPr>
                <w:rFonts w:ascii="宋体" w:hAnsi="宋体" w:eastAsia="宋体"/>
                <w:sz w:val="16"/>
              </w:rPr>
              <w:t>发放援疆工作补贴准确率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B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2B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4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3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EF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9F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F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0F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24809">
            <w:pPr>
              <w:jc w:val="center"/>
            </w:pPr>
          </w:p>
        </w:tc>
      </w:tr>
      <w:tr w14:paraId="7E615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6A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8C8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82C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A75E">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B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E5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70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91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79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F1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B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2D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923C">
            <w:pPr>
              <w:jc w:val="center"/>
            </w:pPr>
          </w:p>
        </w:tc>
      </w:tr>
      <w:tr w14:paraId="4884B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4C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F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F0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F6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9AB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4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0F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6D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7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94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84CD">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8D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A3857">
            <w:pPr>
              <w:jc w:val="center"/>
            </w:pPr>
          </w:p>
        </w:tc>
      </w:tr>
      <w:tr w14:paraId="6EF73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22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3D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88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206E">
            <w:pPr>
              <w:jc w:val="center"/>
            </w:pPr>
            <w:r>
              <w:rPr>
                <w:rFonts w:ascii="宋体" w:hAnsi="宋体" w:eastAsia="宋体"/>
                <w:sz w:val="16"/>
              </w:rPr>
              <w:t>援疆干部南疆补贴每月发放标准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6076">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B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CE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30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F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C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311C">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4BA2">
            <w:pPr>
              <w:jc w:val="center"/>
            </w:pPr>
            <w:r>
              <w:rPr>
                <w:rFonts w:ascii="宋体" w:hAnsi="宋体" w:eastAsia="宋体"/>
                <w:sz w:val="16"/>
              </w:rPr>
              <w:t>15.33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A35BD">
            <w:pPr>
              <w:jc w:val="center"/>
            </w:pPr>
            <w:r>
              <w:rPr>
                <w:rFonts w:ascii="宋体" w:hAnsi="宋体" w:eastAsia="宋体"/>
                <w:sz w:val="16"/>
              </w:rPr>
              <w:t>偏差原因：年初财政拨付资金标准高于实际发放标准；改进措施：提前明确项目不需支出资金，针对无法执行资金未及时清退至财政局，并及时对绩效目标进行调整。</w:t>
            </w:r>
          </w:p>
        </w:tc>
      </w:tr>
      <w:tr w14:paraId="1FE37F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82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B3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BE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B3A8">
            <w:pPr>
              <w:jc w:val="center"/>
            </w:pPr>
            <w:r>
              <w:rPr>
                <w:rFonts w:ascii="宋体" w:hAnsi="宋体" w:eastAsia="宋体"/>
                <w:sz w:val="16"/>
              </w:rPr>
              <w:t>改善援疆干部生活水平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088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C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93C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F3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DD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501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CCDA">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3B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E8537">
            <w:pPr>
              <w:jc w:val="center"/>
            </w:pPr>
          </w:p>
        </w:tc>
      </w:tr>
      <w:tr w14:paraId="21B86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EE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24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A61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8C15">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3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AB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8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D4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5B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62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D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FC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B84C7">
            <w:pPr>
              <w:jc w:val="center"/>
            </w:pPr>
          </w:p>
        </w:tc>
      </w:tr>
      <w:tr w14:paraId="475FC9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13E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FB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EFA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43BEC3">
            <w:pPr>
              <w:jc w:val="center"/>
            </w:pPr>
            <w:r>
              <w:rPr>
                <w:rFonts w:ascii="宋体" w:hAnsi="宋体" w:eastAsia="宋体"/>
                <w:sz w:val="16"/>
              </w:rPr>
              <w:t>92.99分</w:t>
            </w:r>
          </w:p>
        </w:tc>
      </w:tr>
    </w:tbl>
    <w:p w14:paraId="40407BC9">
      <w:r>
        <w:br w:type="page"/>
      </w:r>
    </w:p>
    <w:p w14:paraId="46C4B215">
      <w:pPr>
        <w:spacing w:line="640" w:lineRule="exact"/>
        <w:ind w:firstLine="640"/>
        <w:jc w:val="both"/>
        <w:outlineLvl w:val="2"/>
      </w:pPr>
      <w:r>
        <w:rPr>
          <w:rFonts w:ascii="黑体" w:hAnsi="黑体" w:eastAsia="黑体"/>
          <w:sz w:val="32"/>
        </w:rPr>
        <w:t>十二、其他需说明的事项</w:t>
      </w:r>
    </w:p>
    <w:p w14:paraId="1441DA95">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项目11个，全年预算数770.65万元，全年执行数682.82万元。</w:t>
      </w:r>
    </w:p>
    <w:p w14:paraId="46E0524C">
      <w:r>
        <w:br w:type="page"/>
      </w:r>
    </w:p>
    <w:p w14:paraId="71C7C7F0">
      <w:pPr>
        <w:spacing w:line="240" w:lineRule="auto"/>
        <w:jc w:val="center"/>
        <w:outlineLvl w:val="1"/>
      </w:pPr>
      <w:r>
        <w:rPr>
          <w:rFonts w:ascii="黑体" w:hAnsi="黑体" w:eastAsia="黑体"/>
          <w:sz w:val="32"/>
        </w:rPr>
        <w:t>第三部分 专业名词解释</w:t>
      </w:r>
    </w:p>
    <w:p w14:paraId="13B3B3D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30626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8C0CE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96CD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D9539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4FB6A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D3D3C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97287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3CF2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01A754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6088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D118A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5F3C5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32EF8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AC1ADA0">
      <w:r>
        <w:br w:type="page"/>
      </w:r>
    </w:p>
    <w:p w14:paraId="51759ACF">
      <w:pPr>
        <w:spacing w:line="240" w:lineRule="auto"/>
        <w:jc w:val="center"/>
        <w:outlineLvl w:val="1"/>
      </w:pPr>
      <w:r>
        <w:rPr>
          <w:rFonts w:ascii="黑体" w:hAnsi="黑体" w:eastAsia="黑体"/>
          <w:sz w:val="32"/>
        </w:rPr>
        <w:t>第四部分 部门决算报表（见附表）</w:t>
      </w:r>
    </w:p>
    <w:p w14:paraId="51E41E86">
      <w:pPr>
        <w:spacing w:line="240" w:lineRule="auto"/>
        <w:ind w:firstLine="640"/>
        <w:jc w:val="both"/>
      </w:pPr>
      <w:r>
        <w:rPr>
          <w:rFonts w:ascii="仿宋_GB2312" w:hAnsi="仿宋_GB2312" w:eastAsia="仿宋_GB2312"/>
          <w:b w:val="0"/>
          <w:sz w:val="32"/>
        </w:rPr>
        <w:t>一、《收入支出决算总表》</w:t>
      </w:r>
    </w:p>
    <w:p w14:paraId="1A9BED74">
      <w:pPr>
        <w:spacing w:line="240" w:lineRule="auto"/>
        <w:ind w:firstLine="640"/>
        <w:jc w:val="both"/>
      </w:pPr>
      <w:r>
        <w:rPr>
          <w:rFonts w:ascii="仿宋_GB2312" w:hAnsi="仿宋_GB2312" w:eastAsia="仿宋_GB2312"/>
          <w:b w:val="0"/>
          <w:sz w:val="32"/>
        </w:rPr>
        <w:t>二、《收入决算表》</w:t>
      </w:r>
    </w:p>
    <w:p w14:paraId="40E9BC16">
      <w:pPr>
        <w:spacing w:line="240" w:lineRule="auto"/>
        <w:ind w:firstLine="640"/>
        <w:jc w:val="both"/>
      </w:pPr>
      <w:r>
        <w:rPr>
          <w:rFonts w:ascii="仿宋_GB2312" w:hAnsi="仿宋_GB2312" w:eastAsia="仿宋_GB2312"/>
          <w:b w:val="0"/>
          <w:sz w:val="32"/>
        </w:rPr>
        <w:t>三、《支出决算表》</w:t>
      </w:r>
    </w:p>
    <w:p w14:paraId="20E9A673">
      <w:pPr>
        <w:spacing w:line="240" w:lineRule="auto"/>
        <w:ind w:firstLine="640"/>
        <w:jc w:val="both"/>
      </w:pPr>
      <w:r>
        <w:rPr>
          <w:rFonts w:ascii="仿宋_GB2312" w:hAnsi="仿宋_GB2312" w:eastAsia="仿宋_GB2312"/>
          <w:b w:val="0"/>
          <w:sz w:val="32"/>
        </w:rPr>
        <w:t>四、《财政拨款收入支出决算总表》</w:t>
      </w:r>
    </w:p>
    <w:p w14:paraId="4649F60F">
      <w:pPr>
        <w:spacing w:line="240" w:lineRule="auto"/>
        <w:ind w:firstLine="640"/>
        <w:jc w:val="both"/>
      </w:pPr>
      <w:r>
        <w:rPr>
          <w:rFonts w:ascii="仿宋_GB2312" w:hAnsi="仿宋_GB2312" w:eastAsia="仿宋_GB2312"/>
          <w:b w:val="0"/>
          <w:sz w:val="32"/>
        </w:rPr>
        <w:t>五、《一般公共预算财政拨款支出决算表》</w:t>
      </w:r>
    </w:p>
    <w:p w14:paraId="372B2D97">
      <w:pPr>
        <w:spacing w:line="240" w:lineRule="auto"/>
        <w:ind w:firstLine="640"/>
        <w:jc w:val="both"/>
      </w:pPr>
      <w:r>
        <w:rPr>
          <w:rFonts w:ascii="仿宋_GB2312" w:hAnsi="仿宋_GB2312" w:eastAsia="仿宋_GB2312"/>
          <w:b w:val="0"/>
          <w:sz w:val="32"/>
        </w:rPr>
        <w:t>六、《一般公共预算财政拨款基本支出决算表》</w:t>
      </w:r>
    </w:p>
    <w:p w14:paraId="7A827BA8">
      <w:pPr>
        <w:spacing w:line="240" w:lineRule="auto"/>
        <w:ind w:firstLine="640"/>
        <w:jc w:val="both"/>
      </w:pPr>
      <w:r>
        <w:rPr>
          <w:rFonts w:ascii="仿宋_GB2312" w:hAnsi="仿宋_GB2312" w:eastAsia="仿宋_GB2312"/>
          <w:b w:val="0"/>
          <w:sz w:val="32"/>
        </w:rPr>
        <w:t>七、《政府性基金预算财政拨款收入支出决算表》</w:t>
      </w:r>
    </w:p>
    <w:p w14:paraId="561F77B4">
      <w:pPr>
        <w:spacing w:line="240" w:lineRule="auto"/>
        <w:ind w:firstLine="640"/>
        <w:jc w:val="both"/>
      </w:pPr>
      <w:r>
        <w:rPr>
          <w:rFonts w:ascii="仿宋_GB2312" w:hAnsi="仿宋_GB2312" w:eastAsia="仿宋_GB2312"/>
          <w:b w:val="0"/>
          <w:sz w:val="32"/>
        </w:rPr>
        <w:t>八、《国有资本经营预算财政拨款收入支出决算表》</w:t>
      </w:r>
    </w:p>
    <w:p w14:paraId="7FF8659E">
      <w:pPr>
        <w:spacing w:line="240" w:lineRule="auto"/>
        <w:ind w:firstLine="640"/>
        <w:jc w:val="both"/>
      </w:pPr>
      <w:r>
        <w:rPr>
          <w:rFonts w:ascii="仿宋_GB2312" w:hAnsi="仿宋_GB2312" w:eastAsia="仿宋_GB2312"/>
          <w:b w:val="0"/>
          <w:sz w:val="32"/>
        </w:rPr>
        <w:t>九、《财政拨款“三公”经费支出决算表》</w:t>
      </w:r>
    </w:p>
    <w:p w14:paraId="7BD3656D">
      <w:pPr>
        <w:spacing w:line="240" w:lineRule="auto"/>
        <w:ind w:firstLine="640"/>
        <w:jc w:val="both"/>
      </w:pPr>
    </w:p>
    <w:p w14:paraId="47055889">
      <w:pPr>
        <w:spacing w:line="240" w:lineRule="auto"/>
        <w:ind w:firstLine="640"/>
        <w:jc w:val="both"/>
      </w:pPr>
    </w:p>
    <w:p w14:paraId="47E2426E">
      <w:pPr>
        <w:spacing w:line="240" w:lineRule="auto"/>
        <w:ind w:firstLine="640"/>
        <w:jc w:val="both"/>
      </w:pPr>
    </w:p>
    <w:p w14:paraId="0ABBA3EB">
      <w:pPr>
        <w:spacing w:line="240" w:lineRule="auto"/>
        <w:ind w:firstLine="640"/>
        <w:jc w:val="both"/>
      </w:pPr>
    </w:p>
    <w:p w14:paraId="7E8DBFF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117EAF-0B5E-46F5-8B6D-E3D04BA8CA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2B15981-CC9C-4064-A236-B319D1CFEC1A}"/>
  </w:font>
  <w:font w:name="方正小标宋_GBK">
    <w:panose1 w:val="02000000000000000000"/>
    <w:charset w:val="86"/>
    <w:family w:val="script"/>
    <w:pitch w:val="default"/>
    <w:sig w:usb0="A00002BF" w:usb1="38CF7CFA" w:usb2="00082016" w:usb3="00000000" w:csb0="00040001" w:csb1="00000000"/>
    <w:embedRegular r:id="rId3" w:fontKey="{F6518462-BD4C-489F-9CAD-9D1BA2EECE37}"/>
  </w:font>
  <w:font w:name="楷体_GB2312">
    <w:altName w:val="楷体"/>
    <w:panose1 w:val="02010609030101010101"/>
    <w:charset w:val="86"/>
    <w:family w:val="auto"/>
    <w:pitch w:val="default"/>
    <w:sig w:usb0="00000000" w:usb1="00000000" w:usb2="00000000" w:usb3="00000000" w:csb0="00040000" w:csb1="00000000"/>
    <w:embedRegular r:id="rId4" w:fontKey="{872E5AEA-A1E6-4F06-A19B-6387F21C3EC8}"/>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5F6691"/>
    <w:rsid w:val="0A7B4867"/>
    <w:rsid w:val="0B8C3ECC"/>
    <w:rsid w:val="0C3613A3"/>
    <w:rsid w:val="0C7227A7"/>
    <w:rsid w:val="0DCA6EF7"/>
    <w:rsid w:val="0E4B1576"/>
    <w:rsid w:val="0EA04331"/>
    <w:rsid w:val="0F9811B3"/>
    <w:rsid w:val="11E15093"/>
    <w:rsid w:val="120E0809"/>
    <w:rsid w:val="1798216E"/>
    <w:rsid w:val="1820753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DE594C"/>
    <w:rsid w:val="4F3F074E"/>
    <w:rsid w:val="50763379"/>
    <w:rsid w:val="50DB5F45"/>
    <w:rsid w:val="52F92565"/>
    <w:rsid w:val="543D17CB"/>
    <w:rsid w:val="55DA564E"/>
    <w:rsid w:val="56E07045"/>
    <w:rsid w:val="583059FA"/>
    <w:rsid w:val="587E6212"/>
    <w:rsid w:val="5AFC6609"/>
    <w:rsid w:val="5FA17648"/>
    <w:rsid w:val="5FD320BD"/>
    <w:rsid w:val="60DE4D57"/>
    <w:rsid w:val="613409CB"/>
    <w:rsid w:val="61A46A97"/>
    <w:rsid w:val="62DD7D21"/>
    <w:rsid w:val="64AA64D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DF5DE8"/>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5509</Words>
  <Characters>6325</Characters>
  <Lines>0</Lines>
  <Paragraphs>0</Paragraphs>
  <TotalTime>3</TotalTime>
  <ScaleCrop>false</ScaleCrop>
  <LinksUpToDate>false</LinksUpToDate>
  <CharactersWithSpaces>6333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2025-09-29T07:46:28Z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