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中共喀什地委宣传部2024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5F9C1D">
      <w:r>
        <w:br w:type="page"/>
      </w:r>
    </w:p>
    <w:p w14:paraId="73D9B173">
      <w:pPr>
        <w:spacing w:line="640" w:lineRule="exact"/>
        <w:jc w:val="center"/>
        <w:outlineLvl w:val="1"/>
      </w:pPr>
      <w:r>
        <w:rPr>
          <w:rFonts w:ascii="黑体" w:hAnsi="黑体" w:eastAsia="黑体"/>
          <w:sz w:val="32"/>
        </w:rPr>
        <w:t>第一部分 单位概况</w:t>
      </w:r>
    </w:p>
    <w:p w14:paraId="78D61EF5">
      <w:pPr>
        <w:spacing w:line="640" w:lineRule="exact"/>
        <w:ind w:firstLine="640"/>
        <w:jc w:val="both"/>
        <w:outlineLvl w:val="2"/>
      </w:pPr>
      <w:r>
        <w:rPr>
          <w:rFonts w:ascii="黑体" w:hAnsi="黑体" w:eastAsia="黑体"/>
          <w:sz w:val="32"/>
        </w:rPr>
        <w:t>一、主要职能</w:t>
      </w:r>
    </w:p>
    <w:p w14:paraId="731031B2">
      <w:pPr>
        <w:spacing w:line="580" w:lineRule="exact"/>
        <w:ind w:firstLine="640"/>
        <w:jc w:val="both"/>
      </w:pPr>
      <w:r>
        <w:rPr>
          <w:rFonts w:ascii="仿宋_GB2312" w:hAnsi="仿宋_GB2312" w:eastAsia="仿宋_GB2312"/>
          <w:sz w:val="32"/>
        </w:rPr>
        <w:t>本单位主要职能</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1A0B193A">
      <w:pPr>
        <w:spacing w:line="640" w:lineRule="exact"/>
        <w:ind w:firstLine="640"/>
        <w:jc w:val="both"/>
        <w:outlineLvl w:val="2"/>
      </w:pPr>
      <w:r>
        <w:rPr>
          <w:rFonts w:ascii="黑体" w:hAnsi="黑体" w:eastAsia="黑体"/>
          <w:sz w:val="32"/>
        </w:rPr>
        <w:t>二、机构设置及人员情况</w:t>
      </w:r>
    </w:p>
    <w:p w14:paraId="072BEB06">
      <w:pPr>
        <w:spacing w:line="580" w:lineRule="exact"/>
        <w:ind w:firstLine="640"/>
        <w:jc w:val="both"/>
      </w:pPr>
      <w:r>
        <w:rPr>
          <w:rFonts w:ascii="仿宋_GB2312" w:hAnsi="仿宋_GB2312" w:eastAsia="仿宋_GB2312"/>
          <w:sz w:val="32"/>
        </w:rPr>
        <w:t>中共喀什地委宣传部2024年度，实有人数93人，其中：在职人员69人，增加4人；离休人员0人，增加0人；退休人员24人,增加0人。</w:t>
      </w:r>
    </w:p>
    <w:p w14:paraId="5E79DE15">
      <w:pPr>
        <w:spacing w:line="580" w:lineRule="exact"/>
        <w:ind w:firstLine="640"/>
        <w:jc w:val="both"/>
      </w:pPr>
      <w:r>
        <w:rPr>
          <w:rFonts w:ascii="仿宋_GB2312" w:hAnsi="仿宋_GB2312" w:eastAsia="仿宋_GB2312"/>
          <w:sz w:val="32"/>
        </w:rPr>
        <w:t>中共喀什地委宣传部无下属预算单位，下设7个科室，分别是：办公室（干部科）、文教科（电影科）、理论教育科、新闻出版管理科、精神文明建设科、行署新闻办公室、宣教科。</w:t>
      </w:r>
    </w:p>
    <w:p w14:paraId="7671FF6D">
      <w:r>
        <w:br w:type="page"/>
      </w:r>
    </w:p>
    <w:p w14:paraId="6011859F">
      <w:pPr>
        <w:spacing w:line="240" w:lineRule="auto"/>
        <w:jc w:val="center"/>
        <w:outlineLvl w:val="1"/>
      </w:pPr>
      <w:r>
        <w:rPr>
          <w:rFonts w:ascii="黑体" w:hAnsi="黑体" w:eastAsia="黑体"/>
          <w:sz w:val="32"/>
        </w:rPr>
        <w:t>第二部分 部门决算情况说明</w:t>
      </w:r>
    </w:p>
    <w:p w14:paraId="74CD3642">
      <w:pPr>
        <w:spacing w:line="640" w:lineRule="exact"/>
        <w:ind w:firstLine="640"/>
        <w:jc w:val="both"/>
        <w:outlineLvl w:val="2"/>
      </w:pPr>
      <w:r>
        <w:rPr>
          <w:rFonts w:ascii="黑体" w:hAnsi="黑体" w:eastAsia="黑体"/>
          <w:sz w:val="32"/>
        </w:rPr>
        <w:t>一、收入支出决算总体情况说明</w:t>
      </w:r>
    </w:p>
    <w:p w14:paraId="01F46E22">
      <w:pPr>
        <w:spacing w:line="580" w:lineRule="exact"/>
        <w:ind w:firstLine="640"/>
        <w:jc w:val="both"/>
      </w:pPr>
      <w:r>
        <w:rPr>
          <w:rFonts w:ascii="仿宋_GB2312" w:hAnsi="仿宋_GB2312" w:eastAsia="仿宋_GB2312"/>
          <w:b/>
          <w:sz w:val="32"/>
        </w:rPr>
        <w:t>2024年度收入总计3,121.66万元，</w:t>
      </w:r>
      <w:r>
        <w:rPr>
          <w:rFonts w:ascii="仿宋_GB2312" w:hAnsi="仿宋_GB2312" w:eastAsia="仿宋_GB2312"/>
          <w:b w:val="0"/>
          <w:sz w:val="32"/>
        </w:rPr>
        <w:t>其中：本年收入合计2,909.66万元，使用非财政拨款结余（含专用结余）0.00万元，年初结转和结余212.00万元。</w:t>
      </w:r>
    </w:p>
    <w:p w14:paraId="2EF7DCB2">
      <w:pPr>
        <w:spacing w:line="580" w:lineRule="exact"/>
        <w:ind w:firstLine="640"/>
        <w:jc w:val="both"/>
      </w:pPr>
      <w:r>
        <w:rPr>
          <w:rFonts w:ascii="仿宋_GB2312" w:hAnsi="仿宋_GB2312" w:eastAsia="仿宋_GB2312"/>
          <w:b/>
          <w:sz w:val="32"/>
        </w:rPr>
        <w:t>2024年度支出总计3,121.66万元，</w:t>
      </w:r>
      <w:r>
        <w:rPr>
          <w:rFonts w:ascii="仿宋_GB2312" w:hAnsi="仿宋_GB2312" w:eastAsia="仿宋_GB2312"/>
          <w:b w:val="0"/>
          <w:sz w:val="32"/>
        </w:rPr>
        <w:t>其中：本年支出合计3,044.72万元，结余分配0.00万元，年末结转和结余76.95万元。</w:t>
      </w:r>
    </w:p>
    <w:p w14:paraId="5A64429E">
      <w:pPr>
        <w:spacing w:line="580" w:lineRule="exact"/>
        <w:ind w:firstLine="640"/>
        <w:jc w:val="both"/>
      </w:pPr>
      <w:r>
        <w:rPr>
          <w:rFonts w:ascii="仿宋_GB2312" w:hAnsi="仿宋_GB2312" w:eastAsia="仿宋_GB2312"/>
          <w:b w:val="0"/>
          <w:sz w:val="32"/>
        </w:rPr>
        <w:t>收入支出总体与上年相比，减少1,122.90万元，下降26.46%，主要原因是：本年减少喀什地区融媒体中心业务用房建设项目。</w:t>
      </w:r>
    </w:p>
    <w:p w14:paraId="62506AF7">
      <w:pPr>
        <w:spacing w:line="640" w:lineRule="exact"/>
        <w:ind w:firstLine="640"/>
        <w:jc w:val="both"/>
        <w:outlineLvl w:val="2"/>
      </w:pPr>
      <w:r>
        <w:rPr>
          <w:rFonts w:ascii="黑体" w:hAnsi="黑体" w:eastAsia="黑体"/>
          <w:sz w:val="32"/>
        </w:rPr>
        <w:t>二、收入决算情况说明</w:t>
      </w:r>
    </w:p>
    <w:p w14:paraId="2E94AAD3">
      <w:pPr>
        <w:spacing w:line="580" w:lineRule="exact"/>
        <w:ind w:firstLine="640"/>
        <w:jc w:val="both"/>
      </w:pPr>
      <w:r>
        <w:rPr>
          <w:rFonts w:ascii="仿宋_GB2312" w:hAnsi="仿宋_GB2312" w:eastAsia="仿宋_GB2312"/>
          <w:b/>
          <w:sz w:val="32"/>
        </w:rPr>
        <w:t>本年收入2,909.66万元，</w:t>
      </w:r>
      <w:r>
        <w:rPr>
          <w:rFonts w:ascii="仿宋_GB2312" w:hAnsi="仿宋_GB2312" w:eastAsia="仿宋_GB2312"/>
          <w:b w:val="0"/>
          <w:sz w:val="32"/>
        </w:rPr>
        <w:t>其中：财政拨款收入2,525.25万元，占86.79%；上级补助收入0.00万元，占0.00%；事业收入0.00万元，占0.00%；经营收入0.00万元，占0.00%；附属单位上缴收入0.00万元，占0.00%；其他收入384.41万元，占13.21%。</w:t>
      </w:r>
    </w:p>
    <w:p w14:paraId="18777F82">
      <w:pPr>
        <w:spacing w:line="640" w:lineRule="exact"/>
        <w:ind w:firstLine="640"/>
        <w:jc w:val="both"/>
        <w:outlineLvl w:val="2"/>
      </w:pPr>
      <w:r>
        <w:rPr>
          <w:rFonts w:ascii="黑体" w:hAnsi="黑体" w:eastAsia="黑体"/>
          <w:sz w:val="32"/>
        </w:rPr>
        <w:t>三、支出决算情况说明</w:t>
      </w:r>
    </w:p>
    <w:p w14:paraId="403420F1">
      <w:pPr>
        <w:spacing w:line="580" w:lineRule="exact"/>
        <w:ind w:firstLine="640"/>
        <w:jc w:val="both"/>
      </w:pPr>
      <w:r>
        <w:rPr>
          <w:rFonts w:ascii="仿宋_GB2312" w:hAnsi="仿宋_GB2312" w:eastAsia="仿宋_GB2312"/>
          <w:b/>
          <w:sz w:val="32"/>
        </w:rPr>
        <w:t>本年支出3,044.72万元，</w:t>
      </w:r>
      <w:r>
        <w:rPr>
          <w:rFonts w:ascii="仿宋_GB2312" w:hAnsi="仿宋_GB2312" w:eastAsia="仿宋_GB2312"/>
          <w:b w:val="0"/>
          <w:sz w:val="32"/>
        </w:rPr>
        <w:t>其中：基本支出1,385.84万元，占45.52%；项目支出1,658.88万元，占54.48%；上缴上级支出0.00万元，占0.00%；经营支出0.00万元，占0.00%；对附属单位补助支出0.00万元，占0.00%。</w:t>
      </w:r>
    </w:p>
    <w:p w14:paraId="33AD5BD3">
      <w:pPr>
        <w:spacing w:line="640" w:lineRule="exact"/>
        <w:ind w:firstLine="640"/>
        <w:jc w:val="both"/>
        <w:outlineLvl w:val="2"/>
      </w:pPr>
      <w:r>
        <w:rPr>
          <w:rFonts w:ascii="黑体" w:hAnsi="黑体" w:eastAsia="黑体"/>
          <w:sz w:val="32"/>
        </w:rPr>
        <w:t>四、财政拨款收入支出决算总体情况说明</w:t>
      </w:r>
    </w:p>
    <w:p w14:paraId="6205556F">
      <w:pPr>
        <w:spacing w:line="580" w:lineRule="exact"/>
        <w:ind w:firstLine="640"/>
        <w:jc w:val="both"/>
      </w:pPr>
      <w:r>
        <w:rPr>
          <w:rFonts w:ascii="仿宋_GB2312" w:hAnsi="仿宋_GB2312" w:eastAsia="仿宋_GB2312"/>
          <w:b/>
          <w:sz w:val="32"/>
        </w:rPr>
        <w:t>2024年度财政拨款收入总计2,525.25万元，</w:t>
      </w:r>
      <w:r>
        <w:rPr>
          <w:rFonts w:ascii="仿宋_GB2312" w:hAnsi="仿宋_GB2312" w:eastAsia="仿宋_GB2312"/>
          <w:b w:val="0"/>
          <w:sz w:val="32"/>
        </w:rPr>
        <w:t>其中：年初财政拨款结转和结余0.00万元，本年财政拨款收入2,525.25万元。</w:t>
      </w:r>
      <w:r>
        <w:rPr>
          <w:rFonts w:ascii="仿宋_GB2312" w:hAnsi="仿宋_GB2312" w:eastAsia="仿宋_GB2312"/>
          <w:b/>
          <w:sz w:val="32"/>
        </w:rPr>
        <w:t>财政拨款支出总计2,525.25万元，</w:t>
      </w:r>
      <w:r>
        <w:rPr>
          <w:rFonts w:ascii="仿宋_GB2312" w:hAnsi="仿宋_GB2312" w:eastAsia="仿宋_GB2312"/>
          <w:b w:val="0"/>
          <w:sz w:val="32"/>
        </w:rPr>
        <w:t>其中：年末财政拨款结转和结余0.00万元，本年财政拨款支出2,525.25万元。</w:t>
      </w:r>
    </w:p>
    <w:p w14:paraId="3418AE5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增加872.28万元，增长52.77%，主要原因是：本年增加</w:t>
      </w:r>
      <w:r>
        <w:rPr>
          <w:rFonts w:hint="eastAsia" w:ascii="仿宋_GB2312" w:hAnsi="仿宋_GB2312" w:eastAsia="仿宋_GB2312"/>
          <w:b w:val="0"/>
          <w:sz w:val="32"/>
          <w:lang w:val="en-US" w:eastAsia="zh-CN"/>
        </w:rPr>
        <w:t>边境</w:t>
      </w:r>
      <w:r>
        <w:rPr>
          <w:rFonts w:ascii="仿宋_GB2312" w:hAnsi="仿宋_GB2312" w:eastAsia="仿宋_GB2312"/>
          <w:b w:val="0"/>
          <w:sz w:val="32"/>
        </w:rPr>
        <w:t>口岸外宣阵地建设经费项目、喀什地区本级推进使用正版软件工作通用软件授权服务续费升级项目；本年在职人员增加，增加相关人员经费，导致经费支出增加。</w:t>
      </w:r>
      <w:r>
        <w:rPr>
          <w:rFonts w:ascii="仿宋_GB2312" w:hAnsi="仿宋_GB2312" w:eastAsia="仿宋_GB2312"/>
          <w:b/>
          <w:sz w:val="32"/>
        </w:rPr>
        <w:t>与年初预算相比，</w:t>
      </w:r>
      <w:r>
        <w:rPr>
          <w:rFonts w:ascii="仿宋_GB2312" w:hAnsi="仿宋_GB2312" w:eastAsia="仿宋_GB2312"/>
          <w:b w:val="0"/>
          <w:sz w:val="32"/>
        </w:rPr>
        <w:t>年初预算数1,840.15万元，决算数2,525.25万元，预决算差异率37.23%，主要原因是：年中追加喀什地区推进使用正版软件工作通用软件授权服务续费升级项目；本年在职人员增加，年中追加人员经费及人员工资、社保、公积金基数调增部分资金，导致预决算存在差异。</w:t>
      </w:r>
    </w:p>
    <w:p w14:paraId="6CB5797A">
      <w:pPr>
        <w:spacing w:line="640" w:lineRule="exact"/>
        <w:ind w:firstLine="640"/>
        <w:jc w:val="both"/>
        <w:outlineLvl w:val="2"/>
      </w:pPr>
      <w:r>
        <w:rPr>
          <w:rFonts w:ascii="黑体" w:hAnsi="黑体" w:eastAsia="黑体"/>
          <w:sz w:val="32"/>
        </w:rPr>
        <w:t>五、一般公共预算财政拨款支出决算情况说明</w:t>
      </w:r>
    </w:p>
    <w:p w14:paraId="4B921C32">
      <w:pPr>
        <w:spacing w:line="640" w:lineRule="exact"/>
        <w:ind w:firstLine="640"/>
        <w:jc w:val="both"/>
        <w:outlineLvl w:val="3"/>
      </w:pPr>
      <w:r>
        <w:rPr>
          <w:rFonts w:ascii="楷体_GB2312" w:hAnsi="楷体_GB2312" w:eastAsia="楷体_GB2312"/>
          <w:b/>
          <w:sz w:val="32"/>
        </w:rPr>
        <w:t>（一）一般公共预算财政拨款支出决算总体情况</w:t>
      </w:r>
    </w:p>
    <w:p w14:paraId="39CA2C12">
      <w:pPr>
        <w:spacing w:line="580" w:lineRule="exact"/>
        <w:ind w:firstLine="640"/>
        <w:jc w:val="both"/>
      </w:pPr>
      <w:r>
        <w:rPr>
          <w:rFonts w:ascii="仿宋_GB2312" w:hAnsi="仿宋_GB2312" w:eastAsia="仿宋_GB2312"/>
          <w:b/>
          <w:sz w:val="32"/>
        </w:rPr>
        <w:t>2024年度一般公共预算财政拨款支出2,525.25万元，</w:t>
      </w:r>
      <w:r>
        <w:rPr>
          <w:rFonts w:ascii="仿宋_GB2312" w:hAnsi="仿宋_GB2312" w:eastAsia="仿宋_GB2312"/>
          <w:b w:val="0"/>
          <w:sz w:val="32"/>
        </w:rPr>
        <w:t>占本年支出合计的82.94%。</w:t>
      </w:r>
      <w:r>
        <w:rPr>
          <w:rFonts w:ascii="仿宋_GB2312" w:hAnsi="仿宋_GB2312" w:eastAsia="仿宋_GB2312"/>
          <w:b/>
          <w:sz w:val="32"/>
        </w:rPr>
        <w:t>与上年相比，</w:t>
      </w:r>
      <w:r>
        <w:rPr>
          <w:rFonts w:ascii="仿宋_GB2312" w:hAnsi="仿宋_GB2312" w:eastAsia="仿宋_GB2312"/>
          <w:b w:val="0"/>
          <w:sz w:val="32"/>
        </w:rPr>
        <w:t>增加872.28万元，增长52.77%，主要原因是：本年增加</w:t>
      </w:r>
      <w:r>
        <w:rPr>
          <w:rFonts w:hint="eastAsia" w:ascii="仿宋_GB2312" w:hAnsi="仿宋_GB2312" w:eastAsia="仿宋_GB2312"/>
          <w:b w:val="0"/>
          <w:sz w:val="32"/>
          <w:lang w:val="en-US" w:eastAsia="zh-CN"/>
        </w:rPr>
        <w:t>边境</w:t>
      </w:r>
      <w:r>
        <w:rPr>
          <w:rFonts w:ascii="仿宋_GB2312" w:hAnsi="仿宋_GB2312" w:eastAsia="仿宋_GB2312"/>
          <w:b w:val="0"/>
          <w:sz w:val="32"/>
        </w:rPr>
        <w:t>口岸外宣阵地建设经费项目、喀什地区本级推进使用正版软件工作通用软件授权服务续费升级项目；本年在职人员增加，增加相关人员经费，导致经费支出增加。</w:t>
      </w:r>
      <w:r>
        <w:rPr>
          <w:rFonts w:ascii="仿宋_GB2312" w:hAnsi="仿宋_GB2312" w:eastAsia="仿宋_GB2312"/>
          <w:b/>
          <w:sz w:val="32"/>
        </w:rPr>
        <w:t>与年初预算相比,</w:t>
      </w:r>
      <w:r>
        <w:rPr>
          <w:rFonts w:ascii="仿宋_GB2312" w:hAnsi="仿宋_GB2312" w:eastAsia="仿宋_GB2312"/>
          <w:b w:val="0"/>
          <w:sz w:val="32"/>
        </w:rPr>
        <w:t>年初预算数1,840.15万元，决算数2,525.25万元，预决算差异率37.23%，主要原因是：年中追加喀什地区推进使用正版软件工作通用软件授权服务续费升级项目；本年在职人员增加，年中追加人员经费及人员工资、社保、公积金基数调增部分资金，导致预决算存在差异。</w:t>
      </w:r>
    </w:p>
    <w:p w14:paraId="50267397">
      <w:pPr>
        <w:spacing w:line="640" w:lineRule="exact"/>
        <w:ind w:firstLine="640"/>
        <w:jc w:val="both"/>
        <w:outlineLvl w:val="3"/>
      </w:pPr>
      <w:r>
        <w:rPr>
          <w:rFonts w:ascii="楷体_GB2312" w:hAnsi="楷体_GB2312" w:eastAsia="楷体_GB2312"/>
          <w:b/>
          <w:sz w:val="32"/>
        </w:rPr>
        <w:t>（二）一般公共预算财政拨款支出决算结构情况</w:t>
      </w:r>
    </w:p>
    <w:p w14:paraId="73EBE92D">
      <w:pPr>
        <w:spacing w:line="580" w:lineRule="exact"/>
        <w:ind w:firstLine="640"/>
        <w:jc w:val="both"/>
      </w:pPr>
      <w:r>
        <w:rPr>
          <w:rFonts w:ascii="仿宋_GB2312" w:hAnsi="仿宋_GB2312" w:eastAsia="仿宋_GB2312"/>
          <w:b w:val="0"/>
          <w:sz w:val="32"/>
        </w:rPr>
        <w:t>1.一般公共服务支出(类)2,077.05万元,占82.25%。</w:t>
      </w:r>
    </w:p>
    <w:p w14:paraId="4DE15F9B">
      <w:pPr>
        <w:spacing w:line="580" w:lineRule="exact"/>
        <w:ind w:firstLine="640"/>
        <w:jc w:val="both"/>
      </w:pPr>
      <w:r>
        <w:rPr>
          <w:rFonts w:ascii="仿宋_GB2312" w:hAnsi="仿宋_GB2312" w:eastAsia="仿宋_GB2312"/>
          <w:b w:val="0"/>
          <w:sz w:val="32"/>
        </w:rPr>
        <w:t>2.文化旅游体育与传媒支出(类)117.95万元,占4.67%。</w:t>
      </w:r>
    </w:p>
    <w:p w14:paraId="0AEC364D">
      <w:pPr>
        <w:spacing w:line="580" w:lineRule="exact"/>
        <w:ind w:firstLine="640"/>
        <w:jc w:val="both"/>
      </w:pPr>
      <w:r>
        <w:rPr>
          <w:rFonts w:ascii="仿宋_GB2312" w:hAnsi="仿宋_GB2312" w:eastAsia="仿宋_GB2312"/>
          <w:b w:val="0"/>
          <w:sz w:val="32"/>
        </w:rPr>
        <w:t>3.社会保障和就业支出(类)168.80万元,占6.68%。</w:t>
      </w:r>
    </w:p>
    <w:p w14:paraId="48F048DA">
      <w:pPr>
        <w:spacing w:line="580" w:lineRule="exact"/>
        <w:ind w:firstLine="640"/>
        <w:jc w:val="both"/>
      </w:pPr>
      <w:r>
        <w:rPr>
          <w:rFonts w:ascii="仿宋_GB2312" w:hAnsi="仿宋_GB2312" w:eastAsia="仿宋_GB2312"/>
          <w:b w:val="0"/>
          <w:sz w:val="32"/>
        </w:rPr>
        <w:t>4.卫生健康支出(类)58.79万元,占2.33%。</w:t>
      </w:r>
    </w:p>
    <w:p w14:paraId="45EE603D">
      <w:pPr>
        <w:spacing w:line="580" w:lineRule="exact"/>
        <w:ind w:firstLine="640"/>
        <w:jc w:val="both"/>
      </w:pPr>
      <w:r>
        <w:rPr>
          <w:rFonts w:ascii="仿宋_GB2312" w:hAnsi="仿宋_GB2312" w:eastAsia="仿宋_GB2312"/>
          <w:b w:val="0"/>
          <w:sz w:val="32"/>
        </w:rPr>
        <w:t>5.住房保障支出(类)102.66万元,占4.07%。</w:t>
      </w:r>
    </w:p>
    <w:p w14:paraId="17978434">
      <w:pPr>
        <w:spacing w:line="640" w:lineRule="exact"/>
        <w:ind w:firstLine="640"/>
        <w:jc w:val="both"/>
        <w:outlineLvl w:val="3"/>
      </w:pPr>
      <w:r>
        <w:rPr>
          <w:rFonts w:ascii="楷体_GB2312" w:hAnsi="楷体_GB2312" w:eastAsia="楷体_GB2312"/>
          <w:b/>
          <w:sz w:val="32"/>
        </w:rPr>
        <w:t>（三）一般公共预算财政拨款支出决算具体情况</w:t>
      </w:r>
    </w:p>
    <w:p w14:paraId="64ACD0EB">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1.一般公共服务支出(类)组织事务(款)其他组织事务支出(项):支出决算数为0.00万元，比上年决算减少2.40万元，下降100.00%,主要原因是：本年援疆干部人才南疆干部工作补贴经费减少。</w:t>
      </w:r>
    </w:p>
    <w:p w14:paraId="3F157FCA">
      <w:pPr>
        <w:spacing w:line="580" w:lineRule="exact"/>
        <w:ind w:firstLine="640"/>
        <w:jc w:val="both"/>
      </w:pPr>
      <w:r>
        <w:rPr>
          <w:rFonts w:ascii="仿宋_GB2312" w:hAnsi="仿宋_GB2312" w:eastAsia="仿宋_GB2312"/>
          <w:b w:val="0"/>
          <w:sz w:val="32"/>
        </w:rPr>
        <w:t>2.一般公共服务支出(类)宣传事务(款)行政运行(项):支出决算数为1,053.40万元，比上年决算增加21.45万元，增长2.08%,主要原因是：本年在职人员工资调增，导致相关人员经费较上年有所增加。</w:t>
      </w:r>
    </w:p>
    <w:p w14:paraId="3222616F">
      <w:pPr>
        <w:spacing w:line="580" w:lineRule="exact"/>
        <w:ind w:firstLine="640"/>
        <w:jc w:val="both"/>
      </w:pPr>
      <w:r>
        <w:rPr>
          <w:rFonts w:ascii="仿宋_GB2312" w:hAnsi="仿宋_GB2312" w:eastAsia="仿宋_GB2312"/>
          <w:b w:val="0"/>
          <w:sz w:val="32"/>
        </w:rPr>
        <w:t>3.一般公共服务支出(类)宣传事务(款)一般行政管理事务(项):支出决算数为988.39万元，比上年决算增加740.26万元，增长298.34%,主要原因是：本年增加</w:t>
      </w:r>
      <w:r>
        <w:rPr>
          <w:rFonts w:hint="eastAsia" w:ascii="仿宋_GB2312" w:hAnsi="仿宋_GB2312" w:eastAsia="仿宋_GB2312"/>
          <w:b w:val="0"/>
          <w:sz w:val="32"/>
          <w:lang w:val="en-US" w:eastAsia="zh-CN"/>
        </w:rPr>
        <w:t>边境</w:t>
      </w:r>
      <w:r>
        <w:rPr>
          <w:rFonts w:ascii="仿宋_GB2312" w:hAnsi="仿宋_GB2312" w:eastAsia="仿宋_GB2312"/>
          <w:b w:val="0"/>
          <w:sz w:val="32"/>
        </w:rPr>
        <w:t>口岸外宣阵地建设经费项目、喀什地区本级推进使用正版软件工作通用软件授权服务续费升级项目，导致经费支出增加。</w:t>
      </w:r>
    </w:p>
    <w:p w14:paraId="3D738E2A">
      <w:pPr>
        <w:spacing w:line="580" w:lineRule="exact"/>
        <w:ind w:firstLine="640"/>
        <w:jc w:val="both"/>
      </w:pPr>
      <w:r>
        <w:rPr>
          <w:rFonts w:ascii="仿宋_GB2312" w:hAnsi="仿宋_GB2312" w:eastAsia="仿宋_GB2312"/>
          <w:b w:val="0"/>
          <w:sz w:val="32"/>
        </w:rPr>
        <w:t>4.一般公共服务支出(类)宣传事务(款)其他宣传事务支出(项):支出决算数为33.07万元，比上年决算增加33.07万元，增长100.00%,主要原因是：本年增加宣传文化产品监督检查审核经费，增加文明办业务费、未成年人思想道德建设、公益广告奖励、关爱道德模范等经费。</w:t>
      </w:r>
    </w:p>
    <w:p w14:paraId="4F985D7D">
      <w:pPr>
        <w:spacing w:line="580" w:lineRule="exact"/>
        <w:ind w:firstLine="640"/>
        <w:jc w:val="both"/>
      </w:pPr>
      <w:r>
        <w:rPr>
          <w:rFonts w:ascii="仿宋_GB2312" w:hAnsi="仿宋_GB2312" w:eastAsia="仿宋_GB2312"/>
          <w:b w:val="0"/>
          <w:sz w:val="32"/>
        </w:rPr>
        <w:t>5.一般公共服务支出(类)统战事务(款)宗教事务(项):支出决算数为2.20万元，比上年决算增加1.71万元，增长348.98%,主要原因是：本年人员补助经费增加，导致此科目经费增加。</w:t>
      </w:r>
    </w:p>
    <w:p w14:paraId="28F054AB">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75.67万元，比上年决算增加75.67万元，增长100.00%,主要原因是：本年增加“光影之旅-喀什的璀璨视界”国际摄影展项目，导致比上年决算增加。</w:t>
      </w:r>
    </w:p>
    <w:p w14:paraId="74076BBA">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42.28万元，比上年决算增加10.73万元，增长34.01%,主要原因是：本年少数民族语言广播电视节目译制经费项目经费增加。</w:t>
      </w:r>
    </w:p>
    <w:p w14:paraId="59173616">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8.社会保障和就业支出(类)行政事业单位养老支出(款)行政单位离退休(项):支出决算数为36.24万元，比上年决算增加8.47万元，增长30.50%,主要原因是：本年增加退休人员基础绩效奖，退休费支出增加。</w:t>
      </w:r>
    </w:p>
    <w:p w14:paraId="67369D03">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120.15万元，比上年决算增加7.95万元，增长7.09%,主要原因是：本年在职人员增加，在职人员工资基数调增，养老缴费基数上涨，相应支出增加。</w:t>
      </w:r>
    </w:p>
    <w:p w14:paraId="7060C648">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10.社会保障和就业支出(类)行政事业单位养老支出(款)机关事业单位职业年金缴费支出(项):支出决算数为12.41万元，比上年决算减少9.43万元，下降43.18%,主要原因是：本年新增</w:t>
      </w:r>
      <w:r>
        <w:rPr>
          <w:rFonts w:hint="eastAsia" w:ascii="仿宋_GB2312" w:hAnsi="仿宋_GB2312" w:eastAsia="仿宋_GB2312"/>
          <w:b w:val="0"/>
          <w:sz w:val="32"/>
          <w:lang w:val="en-US" w:eastAsia="zh-CN"/>
        </w:rPr>
        <w:t>调出</w:t>
      </w:r>
      <w:r>
        <w:rPr>
          <w:rFonts w:ascii="仿宋_GB2312" w:hAnsi="仿宋_GB2312" w:eastAsia="仿宋_GB2312"/>
          <w:b w:val="0"/>
          <w:sz w:val="32"/>
        </w:rPr>
        <w:t>人员较上年减少，职业年金缴费较上年减少。</w:t>
      </w:r>
    </w:p>
    <w:p w14:paraId="7A63CB41">
      <w:pPr>
        <w:spacing w:line="580" w:lineRule="exact"/>
        <w:ind w:firstLine="640"/>
        <w:jc w:val="both"/>
      </w:pPr>
      <w:r>
        <w:rPr>
          <w:rFonts w:ascii="仿宋_GB2312" w:hAnsi="仿宋_GB2312" w:eastAsia="仿宋_GB2312"/>
          <w:b w:val="0"/>
          <w:sz w:val="32"/>
        </w:rPr>
        <w:t>11.社会保障和就业支出(类)抚恤(款)死亡抚恤(项):支出决算数为0.00万元，比上年决算减少26.49万元，下降100.00%,主要原因是：本年无新增死亡人员，死亡抚恤支出较上年减少。</w:t>
      </w:r>
    </w:p>
    <w:p w14:paraId="450FAFC1">
      <w:pPr>
        <w:spacing w:line="580" w:lineRule="exact"/>
        <w:ind w:firstLine="640"/>
        <w:jc w:val="both"/>
      </w:pPr>
      <w:r>
        <w:rPr>
          <w:rFonts w:ascii="仿宋_GB2312" w:hAnsi="仿宋_GB2312" w:eastAsia="仿宋_GB2312"/>
          <w:b w:val="0"/>
          <w:sz w:val="32"/>
        </w:rPr>
        <w:t>12.卫生健康支出(类)行政事业单位医疗(款)行政单位医疗(项):支出决算数为51.06万元，比上年决算增加2.89万元，增长6.00%,主要原因是：本年在职人员增加，在职人员工资基数调增，医疗缴费基数上涨，相应支出增加。</w:t>
      </w:r>
    </w:p>
    <w:p w14:paraId="3ACCC85D">
      <w:pPr>
        <w:spacing w:line="580" w:lineRule="exact"/>
        <w:ind w:firstLine="640"/>
        <w:jc w:val="both"/>
      </w:pPr>
      <w:r>
        <w:rPr>
          <w:rFonts w:ascii="仿宋_GB2312" w:hAnsi="仿宋_GB2312" w:eastAsia="仿宋_GB2312"/>
          <w:b w:val="0"/>
          <w:sz w:val="32"/>
        </w:rPr>
        <w:t>13.卫生健康支出(类)行政事业单位医疗(款)公务员医疗补助(项):支出决算数为7.73万元，比上年决算减少0.27万元，下降3.38%,主要原因是：本年在职人员调入调出，人员职级不同，缴费基数不同，导致公务员医疗补助较上年减少。</w:t>
      </w:r>
    </w:p>
    <w:p w14:paraId="2B707D7D">
      <w:pPr>
        <w:spacing w:line="580" w:lineRule="exact"/>
        <w:ind w:firstLine="640"/>
        <w:jc w:val="both"/>
      </w:pPr>
      <w:r>
        <w:rPr>
          <w:rFonts w:ascii="仿宋_GB2312" w:hAnsi="仿宋_GB2312" w:eastAsia="仿宋_GB2312"/>
          <w:b w:val="0"/>
          <w:sz w:val="32"/>
        </w:rPr>
        <w:t>14.住房保障支出(类)住房改革支出(款)住房公积金(项):支出决算数为102.66万元，比上年决算增加9.39万元，增长10.07%,主要原因是：本年在职人员增加，在职人员工资基数调增，公积金缴费基数上涨，相应支出增加。</w:t>
      </w:r>
    </w:p>
    <w:p w14:paraId="780F3C14">
      <w:pPr>
        <w:spacing w:line="580" w:lineRule="exact"/>
        <w:ind w:firstLine="640"/>
        <w:jc w:val="both"/>
      </w:pPr>
      <w:r>
        <w:rPr>
          <w:rFonts w:ascii="仿宋_GB2312" w:hAnsi="仿宋_GB2312" w:eastAsia="仿宋_GB2312"/>
          <w:b w:val="0"/>
          <w:sz w:val="32"/>
        </w:rPr>
        <w:t>15.其他支出(类)其他支出(款)其他支出(项):支出决算数为0.00万元，比上年决算减少0.71万元，下降100.00%,主要原因是：本年专项项目经费减少，导致此科目经费减少。</w:t>
      </w:r>
    </w:p>
    <w:p w14:paraId="18B24AD8">
      <w:pPr>
        <w:spacing w:line="640" w:lineRule="exact"/>
        <w:ind w:firstLine="640"/>
        <w:jc w:val="both"/>
        <w:outlineLvl w:val="2"/>
      </w:pPr>
      <w:r>
        <w:rPr>
          <w:rFonts w:ascii="黑体" w:hAnsi="黑体" w:eastAsia="黑体"/>
          <w:sz w:val="32"/>
        </w:rPr>
        <w:t>六、一般公共预算财政拨款基本支出决算情况说明</w:t>
      </w:r>
    </w:p>
    <w:p w14:paraId="121C2E97">
      <w:pPr>
        <w:spacing w:line="580" w:lineRule="exact"/>
        <w:ind w:firstLine="640"/>
        <w:jc w:val="both"/>
      </w:pPr>
      <w:r>
        <w:rPr>
          <w:rFonts w:ascii="仿宋_GB2312" w:hAnsi="仿宋_GB2312" w:eastAsia="仿宋_GB2312"/>
          <w:b w:val="0"/>
          <w:sz w:val="32"/>
        </w:rPr>
        <w:t>2024年度一般公共预算财政拨款基本支出1,385.84万元，其中：</w:t>
      </w:r>
      <w:r>
        <w:rPr>
          <w:rFonts w:ascii="仿宋_GB2312" w:hAnsi="仿宋_GB2312" w:eastAsia="仿宋_GB2312"/>
          <w:b/>
          <w:sz w:val="32"/>
        </w:rPr>
        <w:t>人员经费1,334.21万元，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6B1DF952">
      <w:pPr>
        <w:spacing w:line="580" w:lineRule="exact"/>
        <w:ind w:firstLine="640"/>
        <w:jc w:val="both"/>
      </w:pPr>
      <w:r>
        <w:rPr>
          <w:rFonts w:ascii="仿宋_GB2312" w:hAnsi="仿宋_GB2312" w:eastAsia="仿宋_GB2312"/>
          <w:b/>
          <w:sz w:val="32"/>
        </w:rPr>
        <w:t>公用经费51.63万元，</w:t>
      </w:r>
      <w:r>
        <w:rPr>
          <w:rFonts w:ascii="仿宋_GB2312" w:hAnsi="仿宋_GB2312" w:eastAsia="仿宋_GB2312"/>
          <w:b w:val="0"/>
          <w:sz w:val="32"/>
        </w:rPr>
        <w:t>包括：办公费、水费、电费、邮电费、差旅费、维修（护）费、专用材料费、工会经费、公务用车运行维护费、其他交通费用、其他商品和服务支出。</w:t>
      </w:r>
    </w:p>
    <w:p w14:paraId="7AEF7250">
      <w:pPr>
        <w:spacing w:line="640" w:lineRule="exact"/>
        <w:ind w:firstLine="640"/>
        <w:jc w:val="both"/>
        <w:outlineLvl w:val="2"/>
      </w:pPr>
      <w:r>
        <w:rPr>
          <w:rFonts w:ascii="黑体" w:hAnsi="黑体" w:eastAsia="黑体"/>
          <w:sz w:val="32"/>
        </w:rPr>
        <w:t>七、政府性基金预算财政拨款收入支出决算情况说明</w:t>
      </w:r>
    </w:p>
    <w:p w14:paraId="3A45BD0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3BE8680">
      <w:pPr>
        <w:spacing w:line="640" w:lineRule="exact"/>
        <w:ind w:firstLine="640"/>
        <w:jc w:val="both"/>
        <w:outlineLvl w:val="2"/>
      </w:pPr>
      <w:r>
        <w:rPr>
          <w:rFonts w:ascii="黑体" w:hAnsi="黑体" w:eastAsia="黑体"/>
          <w:sz w:val="32"/>
        </w:rPr>
        <w:t>八、国有资本经营预算财政拨款收入支出决算情况说明</w:t>
      </w:r>
    </w:p>
    <w:p w14:paraId="451CCE8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73E2AF">
      <w:pPr>
        <w:spacing w:line="640" w:lineRule="exact"/>
        <w:ind w:firstLine="640"/>
        <w:jc w:val="both"/>
        <w:outlineLvl w:val="2"/>
      </w:pPr>
      <w:r>
        <w:rPr>
          <w:rFonts w:ascii="黑体" w:hAnsi="黑体" w:eastAsia="黑体"/>
          <w:sz w:val="32"/>
        </w:rPr>
        <w:t>九、财政拨款“三公”经费支出决算情况说明</w:t>
      </w:r>
    </w:p>
    <w:p w14:paraId="44008734">
      <w:pPr>
        <w:spacing w:line="580" w:lineRule="exact"/>
        <w:ind w:firstLine="640"/>
        <w:jc w:val="both"/>
      </w:pPr>
      <w:r>
        <w:rPr>
          <w:rFonts w:ascii="仿宋_GB2312" w:hAnsi="仿宋_GB2312" w:eastAsia="仿宋_GB2312"/>
          <w:b/>
          <w:sz w:val="32"/>
        </w:rPr>
        <w:t>2024年度财政拨款“三公”经费支出5.79万元，</w:t>
      </w:r>
      <w:r>
        <w:rPr>
          <w:rFonts w:ascii="仿宋_GB2312" w:hAnsi="仿宋_GB2312" w:eastAsia="仿宋_GB2312"/>
          <w:b w:val="0"/>
          <w:sz w:val="32"/>
        </w:rPr>
        <w:t>比上年减少2.61万元，下降31.07%，主要原因是：严格执行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其中：因公出国（境）费支出0.00万元，占0.00%，比上年增加0.00万元，增长0.00%，主要原因是：2023年与2024年均未安排因公出国（境）费支出。公务用车购置及运行维护费支出5.79万元，占100.00%，比上年减少2.61万元，下降31.07%，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八项规定，厉行节约，减少公务用车运行维护费。公务接待费支出0.00万元，占0.00%，比上年增加0.00万元，增长0.00%，主要原因是：2023年与2024年均未安排公务接待费支出。</w:t>
      </w:r>
    </w:p>
    <w:p w14:paraId="711AF37D">
      <w:pPr>
        <w:spacing w:line="580" w:lineRule="exact"/>
        <w:ind w:firstLine="640"/>
        <w:jc w:val="both"/>
      </w:pPr>
      <w:r>
        <w:rPr>
          <w:rFonts w:ascii="仿宋_GB2312" w:hAnsi="仿宋_GB2312" w:eastAsia="仿宋_GB2312"/>
          <w:b/>
          <w:sz w:val="32"/>
        </w:rPr>
        <w:t>具体情况如下：</w:t>
      </w:r>
    </w:p>
    <w:p w14:paraId="1386CB2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849F613">
      <w:pPr>
        <w:spacing w:line="580" w:lineRule="exact"/>
        <w:ind w:firstLine="640"/>
        <w:jc w:val="both"/>
      </w:pPr>
      <w:r>
        <w:rPr>
          <w:rFonts w:ascii="仿宋_GB2312" w:hAnsi="仿宋_GB2312" w:eastAsia="仿宋_GB2312"/>
          <w:b w:val="0"/>
          <w:sz w:val="32"/>
        </w:rPr>
        <w:t>公务用车购置及运行维护费5.79万元，其中：公务用车购置费0.00万元，公务用车运行维护费5.79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69C0B55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A2464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5.79万元，决算数5.79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5.79万元，决算数5.79万元，预决算差异率0.00%，主要原因是：严格按照预算执行，预决算无差异。公务接待费全年预算数0.00万元，决算数0.00万元，预决算差异率0.00%，主要原因是：本单位无公务接待费。</w:t>
      </w:r>
    </w:p>
    <w:p w14:paraId="17D3E55A">
      <w:pPr>
        <w:spacing w:line="640" w:lineRule="exact"/>
        <w:ind w:firstLine="640"/>
        <w:jc w:val="both"/>
        <w:outlineLvl w:val="2"/>
      </w:pPr>
      <w:r>
        <w:rPr>
          <w:rFonts w:ascii="黑体" w:hAnsi="黑体" w:eastAsia="黑体"/>
          <w:sz w:val="32"/>
        </w:rPr>
        <w:t>十、其他重要事项的情况说明</w:t>
      </w:r>
    </w:p>
    <w:p w14:paraId="37568E9C">
      <w:pPr>
        <w:spacing w:line="640" w:lineRule="exact"/>
        <w:ind w:firstLine="640"/>
        <w:jc w:val="both"/>
        <w:outlineLvl w:val="3"/>
      </w:pPr>
      <w:r>
        <w:rPr>
          <w:rFonts w:ascii="楷体_GB2312" w:hAnsi="楷体_GB2312" w:eastAsia="楷体_GB2312"/>
          <w:b/>
          <w:sz w:val="32"/>
        </w:rPr>
        <w:t>（一）机关运行经费及公用经费支出情况</w:t>
      </w:r>
    </w:p>
    <w:p w14:paraId="7BE07A7A">
      <w:pPr>
        <w:spacing w:line="580" w:lineRule="exact"/>
        <w:ind w:firstLine="640"/>
        <w:jc w:val="both"/>
      </w:pPr>
      <w:r>
        <w:rPr>
          <w:rFonts w:ascii="仿宋_GB2312" w:hAnsi="仿宋_GB2312" w:eastAsia="仿宋_GB2312"/>
          <w:b w:val="0"/>
          <w:sz w:val="32"/>
        </w:rPr>
        <w:t>2024年度中共喀什地委宣传部（行政单位和参照公务员法管理事业单位）机关运行经费支出51.63万元，比上年减少19.30万元，下降27.21%，主要原因是：</w:t>
      </w:r>
      <w:r>
        <w:rPr>
          <w:rFonts w:hint="eastAsia" w:ascii="仿宋_GB2312" w:hAnsi="仿宋_GB2312" w:eastAsia="仿宋_GB2312"/>
          <w:b w:val="0"/>
          <w:sz w:val="32"/>
          <w:lang w:val="en-US" w:eastAsia="zh-CN"/>
        </w:rPr>
        <w:t>本年劳务费减少，</w:t>
      </w:r>
      <w:r>
        <w:rPr>
          <w:rFonts w:ascii="仿宋_GB2312" w:hAnsi="仿宋_GB2312" w:eastAsia="仿宋_GB2312"/>
          <w:b w:val="0"/>
          <w:sz w:val="32"/>
        </w:rPr>
        <w:t>机关运行经费支出</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7C10C69B">
      <w:pPr>
        <w:spacing w:line="640" w:lineRule="exact"/>
        <w:ind w:firstLine="640"/>
        <w:jc w:val="both"/>
        <w:outlineLvl w:val="3"/>
      </w:pPr>
      <w:r>
        <w:rPr>
          <w:rFonts w:ascii="楷体_GB2312" w:hAnsi="楷体_GB2312" w:eastAsia="楷体_GB2312"/>
          <w:b/>
          <w:sz w:val="32"/>
        </w:rPr>
        <w:t>（二）政府采购情况</w:t>
      </w:r>
    </w:p>
    <w:p w14:paraId="3EE7817E">
      <w:pPr>
        <w:spacing w:line="580" w:lineRule="exact"/>
        <w:ind w:firstLine="640"/>
        <w:jc w:val="both"/>
      </w:pPr>
      <w:r>
        <w:rPr>
          <w:rFonts w:ascii="仿宋_GB2312" w:hAnsi="仿宋_GB2312" w:eastAsia="仿宋_GB2312"/>
          <w:b w:val="0"/>
          <w:sz w:val="32"/>
        </w:rPr>
        <w:t>2024年度政府采购支出总额815.21万元，其中：政府采购货物支出48.99万元、政府采购工程支出2.04万元、政府采购服务支出764.17万元。</w:t>
      </w:r>
    </w:p>
    <w:p w14:paraId="75395246">
      <w:pPr>
        <w:spacing w:line="580" w:lineRule="exact"/>
        <w:ind w:firstLine="640"/>
        <w:jc w:val="both"/>
      </w:pPr>
      <w:r>
        <w:rPr>
          <w:rFonts w:ascii="仿宋_GB2312" w:hAnsi="仿宋_GB2312" w:eastAsia="仿宋_GB2312"/>
          <w:b w:val="0"/>
          <w:sz w:val="32"/>
        </w:rPr>
        <w:t>授予中小企业合同金额815.12万元，占政府采购支出总额的99.99%，其中：授予小微企业合同金额807.93万元，占政府采购支出总额的99.11%。</w:t>
      </w:r>
    </w:p>
    <w:p w14:paraId="64313118">
      <w:pPr>
        <w:spacing w:line="640" w:lineRule="exact"/>
        <w:ind w:firstLine="640"/>
        <w:jc w:val="both"/>
        <w:outlineLvl w:val="3"/>
      </w:pPr>
      <w:r>
        <w:rPr>
          <w:rFonts w:ascii="楷体_GB2312" w:hAnsi="楷体_GB2312" w:eastAsia="楷体_GB2312"/>
          <w:b/>
          <w:sz w:val="32"/>
        </w:rPr>
        <w:t>（三）国有资产占用情况说明</w:t>
      </w:r>
    </w:p>
    <w:p w14:paraId="3283C2A0">
      <w:pPr>
        <w:spacing w:line="580" w:lineRule="exact"/>
        <w:ind w:firstLine="640"/>
        <w:jc w:val="both"/>
      </w:pPr>
      <w:r>
        <w:rPr>
          <w:rFonts w:ascii="仿宋_GB2312" w:hAnsi="仿宋_GB2312" w:eastAsia="仿宋_GB2312"/>
          <w:b w:val="0"/>
          <w:sz w:val="32"/>
        </w:rPr>
        <w:t>截至2024年12月31日，房屋0.00平方米，价值0.00万元。车辆2辆，价值42.76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221F2E07">
      <w:pPr>
        <w:spacing w:line="640" w:lineRule="exact"/>
        <w:ind w:firstLine="640"/>
        <w:jc w:val="both"/>
        <w:outlineLvl w:val="2"/>
      </w:pPr>
      <w:r>
        <w:rPr>
          <w:rFonts w:ascii="黑体" w:hAnsi="黑体" w:eastAsia="黑体"/>
          <w:sz w:val="32"/>
        </w:rPr>
        <w:t>十一、预算绩效的情况说明</w:t>
      </w:r>
    </w:p>
    <w:p w14:paraId="4255680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根据预算绩效管理要求，本单位2024年度预算绩效管理形成整体支出绩效自评表1个，全年预算总额3,570.88万元，实际执行总额3,044.72万元；预算绩效评价项目</w:t>
      </w:r>
      <w:r>
        <w:rPr>
          <w:rFonts w:hint="eastAsia" w:ascii="仿宋_GB2312" w:hAnsi="仿宋_GB2312" w:eastAsia="仿宋_GB2312"/>
          <w:b w:val="0"/>
          <w:sz w:val="32"/>
          <w:lang w:val="en-US" w:eastAsia="zh-CN"/>
        </w:rPr>
        <w:t>20</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3,157.00</w:t>
      </w:r>
      <w:r>
        <w:rPr>
          <w:rFonts w:ascii="仿宋_GB2312" w:hAnsi="仿宋_GB2312" w:eastAsia="仿宋_GB2312"/>
          <w:b w:val="0"/>
          <w:sz w:val="32"/>
        </w:rPr>
        <w:t>万元，全年执行数3</w:t>
      </w:r>
      <w:r>
        <w:rPr>
          <w:rFonts w:hint="eastAsia" w:ascii="仿宋_GB2312" w:hAnsi="仿宋_GB2312" w:eastAsia="仿宋_GB2312"/>
          <w:b w:val="0"/>
          <w:sz w:val="32"/>
          <w:lang w:val="en-US" w:eastAsia="zh-CN"/>
        </w:rPr>
        <w:t>,</w:t>
      </w:r>
      <w:r>
        <w:rPr>
          <w:rFonts w:ascii="仿宋_GB2312" w:hAnsi="仿宋_GB2312" w:eastAsia="仿宋_GB2312"/>
          <w:b w:val="0"/>
          <w:sz w:val="32"/>
        </w:rPr>
        <w:t>121.66万元。预算绩效管理取得的成效：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不予公开。具体附整体支出绩效自评表。</w:t>
      </w:r>
    </w:p>
    <w:p w14:paraId="06ED5016">
      <w:r>
        <w:br w:type="page"/>
      </w:r>
    </w:p>
    <w:p w14:paraId="21C1A44A">
      <w:pPr>
        <w:spacing w:line="640" w:lineRule="exact"/>
        <w:ind w:firstLine="640"/>
        <w:jc w:val="both"/>
        <w:outlineLvl w:val="2"/>
      </w:pPr>
      <w:r>
        <w:rPr>
          <w:rFonts w:ascii="黑体" w:hAnsi="黑体" w:eastAsia="黑体"/>
          <w:sz w:val="32"/>
        </w:rPr>
        <w:t>十二、其他需说明的事项</w:t>
      </w:r>
    </w:p>
    <w:p w14:paraId="035213A0">
      <w:pPr>
        <w:spacing w:line="580" w:lineRule="exact"/>
        <w:ind w:firstLine="640"/>
        <w:jc w:val="both"/>
      </w:pPr>
      <w:r>
        <w:rPr>
          <w:rFonts w:ascii="仿宋_GB2312" w:hAnsi="仿宋_GB2312" w:eastAsia="仿宋_GB2312"/>
          <w:b w:val="0"/>
          <w:sz w:val="32"/>
        </w:rPr>
        <w:t>本年度本单位整体绩效自评表不予公开。</w:t>
      </w:r>
    </w:p>
    <w:p w14:paraId="75FFB8B7">
      <w:pPr>
        <w:spacing w:line="580" w:lineRule="exact"/>
        <w:ind w:firstLine="640"/>
        <w:jc w:val="both"/>
      </w:pPr>
      <w:r>
        <w:rPr>
          <w:rFonts w:ascii="仿宋_GB2312" w:hAnsi="仿宋_GB2312" w:eastAsia="仿宋_GB2312"/>
          <w:b w:val="0"/>
          <w:sz w:val="32"/>
        </w:rPr>
        <w:t>本年涉密项目20个，全</w:t>
      </w:r>
      <w:bookmarkStart w:id="0" w:name="_GoBack"/>
      <w:bookmarkEnd w:id="0"/>
      <w:r>
        <w:rPr>
          <w:rFonts w:ascii="仿宋_GB2312" w:hAnsi="仿宋_GB2312" w:eastAsia="仿宋_GB2312"/>
          <w:b w:val="0"/>
          <w:sz w:val="32"/>
        </w:rPr>
        <w:t>年预算数3</w:t>
      </w:r>
      <w:r>
        <w:rPr>
          <w:rFonts w:hint="eastAsia" w:ascii="仿宋_GB2312" w:hAnsi="仿宋_GB2312" w:eastAsia="仿宋_GB2312"/>
          <w:b w:val="0"/>
          <w:sz w:val="32"/>
          <w:lang w:val="en-US" w:eastAsia="zh-CN"/>
        </w:rPr>
        <w:t>,</w:t>
      </w:r>
      <w:r>
        <w:rPr>
          <w:rFonts w:ascii="仿宋_GB2312" w:hAnsi="仿宋_GB2312" w:eastAsia="仿宋_GB2312"/>
          <w:b w:val="0"/>
          <w:sz w:val="32"/>
        </w:rPr>
        <w:t>157</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万元，全年执行数3</w:t>
      </w:r>
      <w:r>
        <w:rPr>
          <w:rFonts w:hint="eastAsia" w:ascii="仿宋_GB2312" w:hAnsi="仿宋_GB2312" w:eastAsia="仿宋_GB2312"/>
          <w:b w:val="0"/>
          <w:sz w:val="32"/>
          <w:lang w:val="en-US" w:eastAsia="zh-CN"/>
        </w:rPr>
        <w:t>,</w:t>
      </w:r>
      <w:r>
        <w:rPr>
          <w:rFonts w:ascii="仿宋_GB2312" w:hAnsi="仿宋_GB2312" w:eastAsia="仿宋_GB2312"/>
          <w:b w:val="0"/>
          <w:sz w:val="32"/>
        </w:rPr>
        <w:t>121.66万元。</w:t>
      </w:r>
    </w:p>
    <w:p w14:paraId="23667704">
      <w:r>
        <w:br w:type="page"/>
      </w:r>
    </w:p>
    <w:p w14:paraId="45C7838E">
      <w:pPr>
        <w:spacing w:line="240" w:lineRule="auto"/>
        <w:jc w:val="center"/>
        <w:outlineLvl w:val="1"/>
      </w:pPr>
      <w:r>
        <w:rPr>
          <w:rFonts w:ascii="黑体" w:hAnsi="黑体" w:eastAsia="黑体"/>
          <w:sz w:val="32"/>
        </w:rPr>
        <w:t>第三部分 专业名词解释</w:t>
      </w:r>
    </w:p>
    <w:p w14:paraId="33D1FF9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BE2424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EBBF7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D4551E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A29ADF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9A0E25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30536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0274DB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EE258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3393CE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75DFAC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83690E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EF34A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849E3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4ED2256">
      <w:r>
        <w:br w:type="page"/>
      </w:r>
    </w:p>
    <w:p w14:paraId="6D5D249E">
      <w:pPr>
        <w:spacing w:line="240" w:lineRule="auto"/>
        <w:jc w:val="center"/>
        <w:outlineLvl w:val="1"/>
      </w:pPr>
      <w:r>
        <w:rPr>
          <w:rFonts w:ascii="黑体" w:hAnsi="黑体" w:eastAsia="黑体"/>
          <w:sz w:val="32"/>
        </w:rPr>
        <w:t>第四部分 部门决算报表（见附表）</w:t>
      </w:r>
    </w:p>
    <w:p w14:paraId="34DBDEE5">
      <w:pPr>
        <w:spacing w:line="240" w:lineRule="auto"/>
        <w:ind w:firstLine="640"/>
        <w:jc w:val="both"/>
      </w:pPr>
      <w:r>
        <w:rPr>
          <w:rFonts w:ascii="仿宋_GB2312" w:hAnsi="仿宋_GB2312" w:eastAsia="仿宋_GB2312"/>
          <w:b w:val="0"/>
          <w:sz w:val="32"/>
        </w:rPr>
        <w:t>一、《收入支出决算总表》</w:t>
      </w:r>
    </w:p>
    <w:p w14:paraId="5604AC0C">
      <w:pPr>
        <w:spacing w:line="240" w:lineRule="auto"/>
        <w:ind w:firstLine="640"/>
        <w:jc w:val="both"/>
      </w:pPr>
      <w:r>
        <w:rPr>
          <w:rFonts w:ascii="仿宋_GB2312" w:hAnsi="仿宋_GB2312" w:eastAsia="仿宋_GB2312"/>
          <w:b w:val="0"/>
          <w:sz w:val="32"/>
        </w:rPr>
        <w:t>二、《收入决算表》</w:t>
      </w:r>
    </w:p>
    <w:p w14:paraId="411DA3CE">
      <w:pPr>
        <w:spacing w:line="240" w:lineRule="auto"/>
        <w:ind w:firstLine="640"/>
        <w:jc w:val="both"/>
      </w:pPr>
      <w:r>
        <w:rPr>
          <w:rFonts w:ascii="仿宋_GB2312" w:hAnsi="仿宋_GB2312" w:eastAsia="仿宋_GB2312"/>
          <w:b w:val="0"/>
          <w:sz w:val="32"/>
        </w:rPr>
        <w:t>三、《支出决算表》</w:t>
      </w:r>
    </w:p>
    <w:p w14:paraId="5E3EC282">
      <w:pPr>
        <w:spacing w:line="240" w:lineRule="auto"/>
        <w:ind w:firstLine="640"/>
        <w:jc w:val="both"/>
      </w:pPr>
      <w:r>
        <w:rPr>
          <w:rFonts w:ascii="仿宋_GB2312" w:hAnsi="仿宋_GB2312" w:eastAsia="仿宋_GB2312"/>
          <w:b w:val="0"/>
          <w:sz w:val="32"/>
        </w:rPr>
        <w:t>四、《财政拨款收入支出决算总表》</w:t>
      </w:r>
    </w:p>
    <w:p w14:paraId="5ED3BE9B">
      <w:pPr>
        <w:spacing w:line="240" w:lineRule="auto"/>
        <w:ind w:firstLine="640"/>
        <w:jc w:val="both"/>
      </w:pPr>
      <w:r>
        <w:rPr>
          <w:rFonts w:ascii="仿宋_GB2312" w:hAnsi="仿宋_GB2312" w:eastAsia="仿宋_GB2312"/>
          <w:b w:val="0"/>
          <w:sz w:val="32"/>
        </w:rPr>
        <w:t>五、《一般公共预算财政拨款支出决算表》</w:t>
      </w:r>
    </w:p>
    <w:p w14:paraId="78C0EEA4">
      <w:pPr>
        <w:spacing w:line="240" w:lineRule="auto"/>
        <w:ind w:firstLine="640"/>
        <w:jc w:val="both"/>
      </w:pPr>
      <w:r>
        <w:rPr>
          <w:rFonts w:ascii="仿宋_GB2312" w:hAnsi="仿宋_GB2312" w:eastAsia="仿宋_GB2312"/>
          <w:b w:val="0"/>
          <w:sz w:val="32"/>
        </w:rPr>
        <w:t>六、《一般公共预算财政拨款基本支出决算表》</w:t>
      </w:r>
    </w:p>
    <w:p w14:paraId="66C3A321">
      <w:pPr>
        <w:spacing w:line="240" w:lineRule="auto"/>
        <w:ind w:firstLine="640"/>
        <w:jc w:val="both"/>
      </w:pPr>
      <w:r>
        <w:rPr>
          <w:rFonts w:ascii="仿宋_GB2312" w:hAnsi="仿宋_GB2312" w:eastAsia="仿宋_GB2312"/>
          <w:b w:val="0"/>
          <w:sz w:val="32"/>
        </w:rPr>
        <w:t>七、《政府性基金预算财政拨款收入支出决算表》</w:t>
      </w:r>
    </w:p>
    <w:p w14:paraId="3A164D21">
      <w:pPr>
        <w:spacing w:line="240" w:lineRule="auto"/>
        <w:ind w:firstLine="640"/>
        <w:jc w:val="both"/>
      </w:pPr>
      <w:r>
        <w:rPr>
          <w:rFonts w:ascii="仿宋_GB2312" w:hAnsi="仿宋_GB2312" w:eastAsia="仿宋_GB2312"/>
          <w:b w:val="0"/>
          <w:sz w:val="32"/>
        </w:rPr>
        <w:t>八、《国有资本经营预算财政拨款收入支出决算表》</w:t>
      </w:r>
    </w:p>
    <w:p w14:paraId="301669DB">
      <w:pPr>
        <w:spacing w:line="240" w:lineRule="auto"/>
        <w:ind w:firstLine="640"/>
        <w:jc w:val="both"/>
      </w:pPr>
      <w:r>
        <w:rPr>
          <w:rFonts w:ascii="仿宋_GB2312" w:hAnsi="仿宋_GB2312" w:eastAsia="仿宋_GB2312"/>
          <w:b w:val="0"/>
          <w:sz w:val="32"/>
        </w:rPr>
        <w:t>九、《财政拨款“三公”经费支出决算表》</w:t>
      </w:r>
    </w:p>
    <w:p w14:paraId="5832C592">
      <w:pPr>
        <w:spacing w:line="240" w:lineRule="auto"/>
        <w:ind w:firstLine="640"/>
        <w:jc w:val="both"/>
      </w:pPr>
    </w:p>
    <w:p w14:paraId="1756F0C2">
      <w:pPr>
        <w:spacing w:line="240" w:lineRule="auto"/>
        <w:ind w:firstLine="640"/>
        <w:jc w:val="both"/>
      </w:pPr>
    </w:p>
    <w:p w14:paraId="6ADD5A3D">
      <w:pPr>
        <w:spacing w:line="240" w:lineRule="auto"/>
        <w:ind w:firstLine="640"/>
        <w:jc w:val="both"/>
      </w:pPr>
    </w:p>
    <w:p w14:paraId="708427DC">
      <w:pPr>
        <w:spacing w:line="240" w:lineRule="auto"/>
        <w:ind w:firstLine="640"/>
        <w:jc w:val="both"/>
      </w:pPr>
    </w:p>
    <w:p w14:paraId="3DC8CF3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62C628-3647-4D0C-8F1D-CB9310AE86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29D55D9-B2B2-4C61-B0C8-9479F702912E}"/>
  </w:font>
  <w:font w:name="方正小标宋_GBK">
    <w:panose1 w:val="02000000000000000000"/>
    <w:charset w:val="86"/>
    <w:family w:val="script"/>
    <w:pitch w:val="default"/>
    <w:sig w:usb0="A00002BF" w:usb1="38CF7CFA" w:usb2="00082016" w:usb3="00000000" w:csb0="00040001" w:csb1="00000000"/>
    <w:embedRegular r:id="rId3" w:fontKey="{FA96D2E6-9376-46A4-B7C9-FD547F33D95E}"/>
  </w:font>
  <w:font w:name="楷体_GB2312">
    <w:altName w:val="楷体"/>
    <w:panose1 w:val="02010609030101010101"/>
    <w:charset w:val="86"/>
    <w:family w:val="auto"/>
    <w:pitch w:val="default"/>
    <w:sig w:usb0="00000000" w:usb1="00000000" w:usb2="00000000" w:usb3="00000000" w:csb0="00040000" w:csb1="00000000"/>
    <w:embedRegular r:id="rId4" w:fontKey="{763D53BD-0D17-441F-B864-5FD151C5F44D}"/>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D41997"/>
    <w:rsid w:val="0A3C58E8"/>
    <w:rsid w:val="0A7B4867"/>
    <w:rsid w:val="0B8C3ECC"/>
    <w:rsid w:val="0C3613A3"/>
    <w:rsid w:val="0C7227A7"/>
    <w:rsid w:val="0DCA6EF7"/>
    <w:rsid w:val="0E4B1576"/>
    <w:rsid w:val="0EA04331"/>
    <w:rsid w:val="0F9811B3"/>
    <w:rsid w:val="11E15093"/>
    <w:rsid w:val="120E0809"/>
    <w:rsid w:val="12EE7585"/>
    <w:rsid w:val="15C6421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384C90"/>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6072</Words>
  <Characters>6944</Characters>
  <Lines>0</Lines>
  <Paragraphs>0</Paragraphs>
  <TotalTime>31</TotalTime>
  <ScaleCrop>false</ScaleCrop>
  <LinksUpToDate>false</LinksUpToDate>
  <CharactersWithSpaces>6954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2025-09-29T02:53:19Z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