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中共喀什地委政策研究室2024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4D162AE">
      <w:r>
        <w:br w:type="page"/>
      </w:r>
    </w:p>
    <w:p w14:paraId="637C8FF5">
      <w:pPr>
        <w:spacing w:line="640" w:lineRule="exact"/>
        <w:jc w:val="center"/>
        <w:outlineLvl w:val="1"/>
      </w:pPr>
      <w:r>
        <w:rPr>
          <w:rFonts w:ascii="黑体" w:hAnsi="黑体" w:eastAsia="黑体"/>
          <w:sz w:val="32"/>
        </w:rPr>
        <w:t>第一部分 单位概况</w:t>
      </w:r>
    </w:p>
    <w:p w14:paraId="5839E2FF">
      <w:pPr>
        <w:spacing w:line="640" w:lineRule="exact"/>
        <w:ind w:firstLine="640"/>
        <w:jc w:val="both"/>
        <w:outlineLvl w:val="2"/>
      </w:pPr>
      <w:r>
        <w:rPr>
          <w:rFonts w:ascii="黑体" w:hAnsi="黑体" w:eastAsia="黑体"/>
          <w:sz w:val="32"/>
        </w:rPr>
        <w:t>一、主要职能</w:t>
      </w:r>
    </w:p>
    <w:p w14:paraId="7D15F5F4">
      <w:pPr>
        <w:spacing w:line="580" w:lineRule="exact"/>
        <w:ind w:firstLine="640"/>
        <w:jc w:val="both"/>
      </w:pPr>
      <w:r>
        <w:rPr>
          <w:rFonts w:ascii="仿宋_GB2312" w:hAnsi="仿宋_GB2312" w:eastAsia="仿宋_GB2312"/>
          <w:sz w:val="32"/>
        </w:rPr>
        <w:t>1.根据地委指示，起草、参与起草、修改和组织协同有关部门共同起草地委重要文稿。</w:t>
      </w:r>
    </w:p>
    <w:p w14:paraId="0D0EA9E6">
      <w:pPr>
        <w:spacing w:line="580" w:lineRule="exact"/>
        <w:ind w:firstLine="640"/>
        <w:jc w:val="both"/>
      </w:pPr>
      <w:r>
        <w:rPr>
          <w:rFonts w:ascii="仿宋_GB2312" w:hAnsi="仿宋_GB2312" w:eastAsia="仿宋_GB2312"/>
          <w:sz w:val="32"/>
        </w:rPr>
        <w:t>2.围绕地委中心工作，统筹协调各县市各部门，形成合力，开展地区政治、经济、文化、生态文明、民生保障、社会、改革开放、党的建设等方面的重大问题进行调查研究，提出意见和建议，供地委决策参考。</w:t>
      </w:r>
    </w:p>
    <w:p w14:paraId="5ACB6A7E">
      <w:pPr>
        <w:spacing w:line="580" w:lineRule="exact"/>
        <w:ind w:firstLine="640"/>
        <w:jc w:val="both"/>
      </w:pPr>
      <w:r>
        <w:rPr>
          <w:rFonts w:ascii="仿宋_GB2312" w:hAnsi="仿宋_GB2312" w:eastAsia="仿宋_GB2312"/>
          <w:sz w:val="32"/>
        </w:rPr>
        <w:t>3.组织撰写宣传、阐释党的理论和路线方针政策、治疆方略、全面深化改革等方面的文章。</w:t>
      </w:r>
    </w:p>
    <w:p w14:paraId="7368F40A">
      <w:pPr>
        <w:spacing w:line="580" w:lineRule="exact"/>
        <w:ind w:firstLine="640"/>
        <w:jc w:val="both"/>
      </w:pPr>
      <w:r>
        <w:rPr>
          <w:rFonts w:ascii="仿宋_GB2312" w:hAnsi="仿宋_GB2312" w:eastAsia="仿宋_GB2312"/>
          <w:sz w:val="32"/>
        </w:rPr>
        <w:t>4.根据地委全面深化改革委员会要求，统筹协调有关方面制定地区改革方案和措施，协调提出自治区中长期改革规划地区贯彻落实意见，协调推进兵地、军</w:t>
      </w:r>
      <w:r>
        <w:rPr>
          <w:rFonts w:hint="eastAsia" w:ascii="仿宋_GB2312" w:hAnsi="仿宋_GB2312" w:eastAsia="仿宋_GB2312"/>
          <w:sz w:val="32"/>
          <w:lang w:eastAsia="zh-CN"/>
        </w:rPr>
        <w:t>地</w:t>
      </w:r>
      <w:r>
        <w:rPr>
          <w:rFonts w:ascii="仿宋_GB2312" w:hAnsi="仿宋_GB2312" w:eastAsia="仿宋_GB2312"/>
          <w:sz w:val="32"/>
        </w:rPr>
        <w:t>跨专项小组和跨县市改革任务落实。</w:t>
      </w:r>
    </w:p>
    <w:p w14:paraId="47F6E813">
      <w:pPr>
        <w:spacing w:line="640" w:lineRule="exact"/>
        <w:ind w:firstLine="640"/>
        <w:jc w:val="both"/>
        <w:outlineLvl w:val="2"/>
      </w:pPr>
      <w:r>
        <w:rPr>
          <w:rFonts w:ascii="黑体" w:hAnsi="黑体" w:eastAsia="黑体"/>
          <w:sz w:val="32"/>
        </w:rPr>
        <w:t>二、机构设置及人员情况</w:t>
      </w:r>
    </w:p>
    <w:p w14:paraId="250805F5">
      <w:pPr>
        <w:spacing w:line="580" w:lineRule="exact"/>
        <w:ind w:firstLine="640"/>
        <w:jc w:val="both"/>
      </w:pPr>
      <w:r>
        <w:rPr>
          <w:rFonts w:ascii="仿宋_GB2312" w:hAnsi="仿宋_GB2312" w:eastAsia="仿宋_GB2312"/>
          <w:sz w:val="32"/>
        </w:rPr>
        <w:t>中共喀什地委政策研究室2024年度，实有人数12人，其中：在职人员12人，增加0人；离休人员0人，增加0人；退休人员0人,增加0人。</w:t>
      </w:r>
    </w:p>
    <w:p w14:paraId="7821EA79">
      <w:pPr>
        <w:spacing w:line="580" w:lineRule="exact"/>
        <w:ind w:firstLine="640"/>
        <w:jc w:val="both"/>
      </w:pPr>
      <w:r>
        <w:rPr>
          <w:rFonts w:ascii="仿宋_GB2312" w:hAnsi="仿宋_GB2312" w:eastAsia="仿宋_GB2312"/>
          <w:sz w:val="32"/>
        </w:rPr>
        <w:t>中共喀什地委政策研究室无下属预算单位，下设4个科室，分别是：政研一科、政研二科、改革科、政研中心。</w:t>
      </w:r>
    </w:p>
    <w:p w14:paraId="0EE449EA">
      <w:r>
        <w:br w:type="page"/>
      </w:r>
    </w:p>
    <w:p w14:paraId="157EA398">
      <w:pPr>
        <w:spacing w:line="240" w:lineRule="auto"/>
        <w:jc w:val="center"/>
        <w:outlineLvl w:val="1"/>
      </w:pPr>
      <w:r>
        <w:rPr>
          <w:rFonts w:ascii="黑体" w:hAnsi="黑体" w:eastAsia="黑体"/>
          <w:sz w:val="32"/>
        </w:rPr>
        <w:t>第二部分 部门决算情况说明</w:t>
      </w:r>
    </w:p>
    <w:p w14:paraId="7A198832">
      <w:pPr>
        <w:spacing w:line="640" w:lineRule="exact"/>
        <w:ind w:firstLine="640"/>
        <w:jc w:val="both"/>
        <w:outlineLvl w:val="2"/>
      </w:pPr>
      <w:r>
        <w:rPr>
          <w:rFonts w:ascii="黑体" w:hAnsi="黑体" w:eastAsia="黑体"/>
          <w:sz w:val="32"/>
        </w:rPr>
        <w:t>一、收入支出决算总体情况说明</w:t>
      </w:r>
    </w:p>
    <w:p w14:paraId="320EAC34">
      <w:pPr>
        <w:spacing w:line="580" w:lineRule="exact"/>
        <w:ind w:firstLine="640"/>
        <w:jc w:val="both"/>
      </w:pPr>
      <w:r>
        <w:rPr>
          <w:rFonts w:ascii="仿宋_GB2312" w:hAnsi="仿宋_GB2312" w:eastAsia="仿宋_GB2312"/>
          <w:b/>
          <w:sz w:val="32"/>
        </w:rPr>
        <w:t>2024年度收入总计420.40万元，</w:t>
      </w:r>
      <w:r>
        <w:rPr>
          <w:rFonts w:ascii="仿宋_GB2312" w:hAnsi="仿宋_GB2312" w:eastAsia="仿宋_GB2312"/>
          <w:b w:val="0"/>
          <w:sz w:val="32"/>
        </w:rPr>
        <w:t>其中：本年收入合计420.40万元，使用非财政拨款结余（含专用结余）0.00万元，年初结转和结余0.00万元。</w:t>
      </w:r>
    </w:p>
    <w:p w14:paraId="51B48D17">
      <w:pPr>
        <w:spacing w:line="580" w:lineRule="exact"/>
        <w:ind w:firstLine="640"/>
        <w:jc w:val="both"/>
      </w:pPr>
      <w:r>
        <w:rPr>
          <w:rFonts w:ascii="仿宋_GB2312" w:hAnsi="仿宋_GB2312" w:eastAsia="仿宋_GB2312"/>
          <w:b/>
          <w:sz w:val="32"/>
        </w:rPr>
        <w:t>2024年度支出总计420.40万元，</w:t>
      </w:r>
      <w:r>
        <w:rPr>
          <w:rFonts w:ascii="仿宋_GB2312" w:hAnsi="仿宋_GB2312" w:eastAsia="仿宋_GB2312"/>
          <w:b w:val="0"/>
          <w:sz w:val="32"/>
        </w:rPr>
        <w:t>其中：本年支出合计420.40万元，结余分配0.00万元，年末结转和结余0.00万元。</w:t>
      </w:r>
    </w:p>
    <w:p w14:paraId="4F9DD8F3">
      <w:pPr>
        <w:spacing w:line="580" w:lineRule="exact"/>
        <w:ind w:firstLine="640"/>
        <w:jc w:val="both"/>
      </w:pPr>
      <w:r>
        <w:rPr>
          <w:rFonts w:ascii="仿宋_GB2312" w:hAnsi="仿宋_GB2312" w:eastAsia="仿宋_GB2312"/>
          <w:b w:val="0"/>
          <w:sz w:val="32"/>
        </w:rPr>
        <w:t>收入支出总体与上年相比，增加147.63万元，增长54.12%，主要原因是：一是本年在职人员工资调增，社保、公积金基数调增，人员经费增加。二是本年度新增喀什地区宣传政研综合服务项目。</w:t>
      </w:r>
    </w:p>
    <w:p w14:paraId="29BAFE5A">
      <w:pPr>
        <w:spacing w:line="640" w:lineRule="exact"/>
        <w:ind w:firstLine="640"/>
        <w:jc w:val="both"/>
        <w:outlineLvl w:val="2"/>
      </w:pPr>
      <w:r>
        <w:rPr>
          <w:rFonts w:ascii="黑体" w:hAnsi="黑体" w:eastAsia="黑体"/>
          <w:sz w:val="32"/>
        </w:rPr>
        <w:t>二、收入决算情况说明</w:t>
      </w:r>
    </w:p>
    <w:p w14:paraId="124A7BB3">
      <w:pPr>
        <w:spacing w:line="580" w:lineRule="exact"/>
        <w:ind w:firstLine="640"/>
        <w:jc w:val="both"/>
      </w:pPr>
      <w:r>
        <w:rPr>
          <w:rFonts w:ascii="仿宋_GB2312" w:hAnsi="仿宋_GB2312" w:eastAsia="仿宋_GB2312"/>
          <w:b/>
          <w:sz w:val="32"/>
        </w:rPr>
        <w:t>本年收入420.40万元，</w:t>
      </w:r>
      <w:r>
        <w:rPr>
          <w:rFonts w:ascii="仿宋_GB2312" w:hAnsi="仿宋_GB2312" w:eastAsia="仿宋_GB2312"/>
          <w:b w:val="0"/>
          <w:sz w:val="32"/>
        </w:rPr>
        <w:t>其中：财政拨款收入420.40万元，占100.00%；上级补助收入0.00万元，占0.00%；事业收入0.00万元，占0.00%；经营收入0.00万元，占0.00%；附属单位上缴收入0.00万元，占0.00%；其他收入0.00万元，占0.00%。</w:t>
      </w:r>
    </w:p>
    <w:p w14:paraId="29465372">
      <w:pPr>
        <w:spacing w:line="640" w:lineRule="exact"/>
        <w:ind w:firstLine="640"/>
        <w:jc w:val="both"/>
        <w:outlineLvl w:val="2"/>
      </w:pPr>
      <w:r>
        <w:rPr>
          <w:rFonts w:ascii="黑体" w:hAnsi="黑体" w:eastAsia="黑体"/>
          <w:sz w:val="32"/>
        </w:rPr>
        <w:t>三、支出决算情况说明</w:t>
      </w:r>
    </w:p>
    <w:p w14:paraId="336BE7C6">
      <w:pPr>
        <w:spacing w:line="580" w:lineRule="exact"/>
        <w:ind w:firstLine="640"/>
        <w:jc w:val="both"/>
      </w:pPr>
      <w:r>
        <w:rPr>
          <w:rFonts w:ascii="仿宋_GB2312" w:hAnsi="仿宋_GB2312" w:eastAsia="仿宋_GB2312"/>
          <w:b/>
          <w:sz w:val="32"/>
        </w:rPr>
        <w:t>本年支出420.40万元，</w:t>
      </w:r>
      <w:r>
        <w:rPr>
          <w:rFonts w:ascii="仿宋_GB2312" w:hAnsi="仿宋_GB2312" w:eastAsia="仿宋_GB2312"/>
          <w:b w:val="0"/>
          <w:sz w:val="32"/>
        </w:rPr>
        <w:t>其中：基本支出231.76万元，占55.13%；项目支出188.65万元，占44.87%；上缴上级支出0.00万元，占0.00%；经营支出0.00万元，占0.00%；对附属单位补助支出0.00万元，占0.00%。</w:t>
      </w:r>
    </w:p>
    <w:p w14:paraId="2AE043D6">
      <w:pPr>
        <w:spacing w:line="640" w:lineRule="exact"/>
        <w:ind w:firstLine="640"/>
        <w:jc w:val="both"/>
        <w:outlineLvl w:val="2"/>
      </w:pPr>
      <w:r>
        <w:rPr>
          <w:rFonts w:ascii="黑体" w:hAnsi="黑体" w:eastAsia="黑体"/>
          <w:sz w:val="32"/>
        </w:rPr>
        <w:t>四、财政拨款收入支出决算总体情况说明</w:t>
      </w:r>
    </w:p>
    <w:p w14:paraId="6E24EA4F">
      <w:pPr>
        <w:spacing w:line="580" w:lineRule="exact"/>
        <w:ind w:firstLine="640"/>
        <w:jc w:val="both"/>
      </w:pPr>
      <w:r>
        <w:rPr>
          <w:rFonts w:ascii="仿宋_GB2312" w:hAnsi="仿宋_GB2312" w:eastAsia="仿宋_GB2312"/>
          <w:b/>
          <w:sz w:val="32"/>
        </w:rPr>
        <w:t>2024年度财政拨款收入总计420.40万元，</w:t>
      </w:r>
      <w:r>
        <w:rPr>
          <w:rFonts w:ascii="仿宋_GB2312" w:hAnsi="仿宋_GB2312" w:eastAsia="仿宋_GB2312"/>
          <w:b w:val="0"/>
          <w:sz w:val="32"/>
        </w:rPr>
        <w:t>其中：年初财政拨款结转和结余0.00万元，本年财政拨款收入420.40万元。</w:t>
      </w:r>
      <w:r>
        <w:rPr>
          <w:rFonts w:ascii="仿宋_GB2312" w:hAnsi="仿宋_GB2312" w:eastAsia="仿宋_GB2312"/>
          <w:b/>
          <w:sz w:val="32"/>
        </w:rPr>
        <w:t>财政拨款支出总计420.40万元，</w:t>
      </w:r>
      <w:r>
        <w:rPr>
          <w:rFonts w:ascii="仿宋_GB2312" w:hAnsi="仿宋_GB2312" w:eastAsia="仿宋_GB2312"/>
          <w:b w:val="0"/>
          <w:sz w:val="32"/>
        </w:rPr>
        <w:t>其中：年末财政拨款结转和结余0.00万元，本年财政拨款支出420.40万元。</w:t>
      </w:r>
    </w:p>
    <w:p w14:paraId="1CBD956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增加147.63万元，增长54.12%，主要原因是：一是本年在职人员工资调增，社保、公积金基数调增，人员经费增加。二是本年度新增喀什地区宣传政研综合服务项目。</w:t>
      </w:r>
      <w:r>
        <w:rPr>
          <w:rFonts w:ascii="仿宋_GB2312" w:hAnsi="仿宋_GB2312" w:eastAsia="仿宋_GB2312"/>
          <w:b/>
          <w:sz w:val="32"/>
        </w:rPr>
        <w:t>与年初预算相比，</w:t>
      </w:r>
      <w:r>
        <w:rPr>
          <w:rFonts w:ascii="仿宋_GB2312" w:hAnsi="仿宋_GB2312" w:eastAsia="仿宋_GB2312"/>
          <w:b w:val="0"/>
          <w:sz w:val="32"/>
        </w:rPr>
        <w:t>年初预算数530.51万元，决算数420.40万元，预决算差异率-20.76%，主要原因是：本年度喀什地区宣传政研合作综合服务保障项目、政研改革调研业务保障项目均未执行完毕，年中调减项目经费。</w:t>
      </w:r>
    </w:p>
    <w:p w14:paraId="1773B813">
      <w:pPr>
        <w:spacing w:line="640" w:lineRule="exact"/>
        <w:ind w:firstLine="640"/>
        <w:jc w:val="both"/>
        <w:outlineLvl w:val="2"/>
      </w:pPr>
      <w:r>
        <w:rPr>
          <w:rFonts w:ascii="黑体" w:hAnsi="黑体" w:eastAsia="黑体"/>
          <w:sz w:val="32"/>
        </w:rPr>
        <w:t>五、一般公共预算财政拨款支出决算情况说明</w:t>
      </w:r>
    </w:p>
    <w:p w14:paraId="530F0E77">
      <w:pPr>
        <w:spacing w:line="640" w:lineRule="exact"/>
        <w:ind w:firstLine="640"/>
        <w:jc w:val="both"/>
        <w:outlineLvl w:val="3"/>
      </w:pPr>
      <w:r>
        <w:rPr>
          <w:rFonts w:ascii="楷体_GB2312" w:hAnsi="楷体_GB2312" w:eastAsia="楷体_GB2312"/>
          <w:b/>
          <w:sz w:val="32"/>
        </w:rPr>
        <w:t>（一）一般公共预算财政拨款支出决算总体情况</w:t>
      </w:r>
    </w:p>
    <w:p w14:paraId="21687F29">
      <w:pPr>
        <w:spacing w:line="580" w:lineRule="exact"/>
        <w:ind w:firstLine="640"/>
        <w:jc w:val="both"/>
      </w:pPr>
      <w:r>
        <w:rPr>
          <w:rFonts w:ascii="仿宋_GB2312" w:hAnsi="仿宋_GB2312" w:eastAsia="仿宋_GB2312"/>
          <w:b/>
          <w:sz w:val="32"/>
        </w:rPr>
        <w:t>2024年度一般公共预算财政拨款支出420.40万元，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增加147.63万元，增长54.12%，主要原因是：一是本年在职人员工资调增，社保、公积金基数调增，人员经费增加。二是本年度新增喀什地区宣传政研综合服务项目。</w:t>
      </w:r>
      <w:r>
        <w:rPr>
          <w:rFonts w:ascii="仿宋_GB2312" w:hAnsi="仿宋_GB2312" w:eastAsia="仿宋_GB2312"/>
          <w:b/>
          <w:sz w:val="32"/>
        </w:rPr>
        <w:t>与年初预算相比,</w:t>
      </w:r>
      <w:r>
        <w:rPr>
          <w:rFonts w:ascii="仿宋_GB2312" w:hAnsi="仿宋_GB2312" w:eastAsia="仿宋_GB2312"/>
          <w:b w:val="0"/>
          <w:sz w:val="32"/>
        </w:rPr>
        <w:t>年初预算数530.51万元，决算数420.40万元，预决算差异率-20.76%，主要原因是：本年度喀什地区宣传政研合作综合服务保障项目、政研改革调研业务保障项目均未执行完毕，年中调减项目经费。</w:t>
      </w:r>
    </w:p>
    <w:p w14:paraId="511437F6">
      <w:pPr>
        <w:spacing w:line="640" w:lineRule="exact"/>
        <w:ind w:firstLine="640"/>
        <w:jc w:val="both"/>
        <w:outlineLvl w:val="3"/>
      </w:pPr>
      <w:r>
        <w:rPr>
          <w:rFonts w:ascii="楷体_GB2312" w:hAnsi="楷体_GB2312" w:eastAsia="楷体_GB2312"/>
          <w:b/>
          <w:sz w:val="32"/>
        </w:rPr>
        <w:t>（二）一般公共预算财政拨款支出决算结构情况</w:t>
      </w:r>
    </w:p>
    <w:p w14:paraId="25E04286">
      <w:pPr>
        <w:spacing w:line="580" w:lineRule="exact"/>
        <w:ind w:firstLine="640"/>
        <w:jc w:val="both"/>
      </w:pPr>
      <w:r>
        <w:rPr>
          <w:rFonts w:ascii="仿宋_GB2312" w:hAnsi="仿宋_GB2312" w:eastAsia="仿宋_GB2312"/>
          <w:b w:val="0"/>
          <w:sz w:val="32"/>
        </w:rPr>
        <w:t>1.一般公共服务支出(类)370.06万元,占88.03%。</w:t>
      </w:r>
    </w:p>
    <w:p w14:paraId="125D04F9">
      <w:pPr>
        <w:spacing w:line="580" w:lineRule="exact"/>
        <w:ind w:firstLine="640"/>
        <w:jc w:val="both"/>
      </w:pPr>
      <w:r>
        <w:rPr>
          <w:rFonts w:ascii="仿宋_GB2312" w:hAnsi="仿宋_GB2312" w:eastAsia="仿宋_GB2312"/>
          <w:b w:val="0"/>
          <w:sz w:val="32"/>
        </w:rPr>
        <w:t>2.社会保障和就业支出(类)21.41万元,占5.09%。</w:t>
      </w:r>
    </w:p>
    <w:p w14:paraId="7BC645C8">
      <w:pPr>
        <w:spacing w:line="580" w:lineRule="exact"/>
        <w:ind w:firstLine="640"/>
        <w:jc w:val="both"/>
      </w:pPr>
      <w:r>
        <w:rPr>
          <w:rFonts w:ascii="仿宋_GB2312" w:hAnsi="仿宋_GB2312" w:eastAsia="仿宋_GB2312"/>
          <w:b w:val="0"/>
          <w:sz w:val="32"/>
        </w:rPr>
        <w:t>3.卫生健康支出(类)10.64万元,占2.53%。</w:t>
      </w:r>
    </w:p>
    <w:p w14:paraId="6D048E67">
      <w:pPr>
        <w:spacing w:line="580" w:lineRule="exact"/>
        <w:ind w:firstLine="640"/>
        <w:jc w:val="both"/>
      </w:pPr>
      <w:r>
        <w:rPr>
          <w:rFonts w:ascii="仿宋_GB2312" w:hAnsi="仿宋_GB2312" w:eastAsia="仿宋_GB2312"/>
          <w:b w:val="0"/>
          <w:sz w:val="32"/>
        </w:rPr>
        <w:t>4.住房保障支出(类)18.29万元,占4.35%。</w:t>
      </w:r>
    </w:p>
    <w:p w14:paraId="2AF7F08C">
      <w:pPr>
        <w:spacing w:line="640" w:lineRule="exact"/>
        <w:ind w:firstLine="640"/>
        <w:jc w:val="both"/>
        <w:outlineLvl w:val="3"/>
      </w:pPr>
      <w:r>
        <w:rPr>
          <w:rFonts w:ascii="楷体_GB2312" w:hAnsi="楷体_GB2312" w:eastAsia="楷体_GB2312"/>
          <w:b/>
          <w:sz w:val="32"/>
        </w:rPr>
        <w:t>（三）一般公共预算财政拨款支出决算具体情况</w:t>
      </w:r>
    </w:p>
    <w:p w14:paraId="52F24178">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1.一般公共服务支出(类)党委办公厅（室）及相关机构事务(款)行政运行(项):支出决算数为181.41万元，比上年决算减少4.33万元，下降2.33%,主要原因是：本年度1名聘用人员辞职，相关人员经费减少。</w:t>
      </w:r>
    </w:p>
    <w:p w14:paraId="1F46C40D">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188.57万元，比上年决算增加152.27万元，增长419.48%,主要原因是：本年度新增喀什地区宣传政研合作综合服务保障项目。</w:t>
      </w:r>
    </w:p>
    <w:p w14:paraId="7E0467FC">
      <w:pPr>
        <w:spacing w:line="580" w:lineRule="exact"/>
        <w:ind w:firstLine="640"/>
        <w:jc w:val="both"/>
        <w:rPr>
          <w:rFonts w:hint="default" w:eastAsia="仿宋_GB2312"/>
          <w:lang w:val="en-US" w:eastAsia="zh-CN"/>
        </w:rPr>
      </w:pPr>
      <w:r>
        <w:rPr>
          <w:rFonts w:ascii="仿宋_GB2312" w:hAnsi="仿宋_GB2312" w:eastAsia="仿宋_GB2312"/>
          <w:b w:val="0"/>
          <w:sz w:val="32"/>
        </w:rPr>
        <w:t>3.一般公共服务支出(类)党委办公厅（室）及相关机构事务(款)其他党委办公厅（室）及相关机构事务支出(项):支出决算数为0.08万元，比上年决算增加0.08万元，增长100.00%,主要原因是：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科目调整，地区</w:t>
      </w:r>
      <w:r>
        <w:rPr>
          <w:rFonts w:hint="eastAsia" w:ascii="仿宋_GB2312" w:hAnsi="仿宋_GB2312" w:eastAsia="仿宋_GB2312"/>
          <w:b w:val="0"/>
          <w:sz w:val="32"/>
          <w:lang w:val="en-US" w:eastAsia="zh-CN"/>
        </w:rPr>
        <w:t>信息化</w:t>
      </w:r>
      <w:r>
        <w:rPr>
          <w:rFonts w:ascii="仿宋_GB2312" w:hAnsi="仿宋_GB2312" w:eastAsia="仿宋_GB2312"/>
          <w:b w:val="0"/>
          <w:sz w:val="32"/>
        </w:rPr>
        <w:t>建设项目从其他支出科目调整至其他党委办公厅（室）及相关机构事务支出科目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导致此科目经费增加。</w:t>
      </w:r>
    </w:p>
    <w:p w14:paraId="72FD67A1">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21.41万元，比上年决算增加0.20万元，增长0.94%,主要原因是：本年在职人员工资基数调增，养老缴费基数上涨，相应支出增加。</w:t>
      </w:r>
    </w:p>
    <w:p w14:paraId="2D2A63F6">
      <w:pPr>
        <w:spacing w:line="580" w:lineRule="exact"/>
        <w:ind w:firstLine="640"/>
        <w:jc w:val="both"/>
      </w:pPr>
      <w:r>
        <w:rPr>
          <w:rFonts w:ascii="仿宋_GB2312" w:hAnsi="仿宋_GB2312" w:eastAsia="仿宋_GB2312"/>
          <w:b w:val="0"/>
          <w:sz w:val="32"/>
        </w:rPr>
        <w:t>5.卫生健康支出(类)行政事业单位医疗(款)行政单位医疗(项):支出决算数为9.10万元，比上年决算增加0.09万元，增长1.00%,主要原因是：本年在职人员工资基数调增，医疗缴费基数上涨，相应支出增加。</w:t>
      </w:r>
    </w:p>
    <w:p w14:paraId="6A034E31">
      <w:pPr>
        <w:spacing w:line="580" w:lineRule="exact"/>
        <w:ind w:firstLine="640"/>
        <w:jc w:val="both"/>
      </w:pPr>
      <w:r>
        <w:rPr>
          <w:rFonts w:ascii="仿宋_GB2312" w:hAnsi="仿宋_GB2312" w:eastAsia="仿宋_GB2312"/>
          <w:b w:val="0"/>
          <w:sz w:val="32"/>
        </w:rPr>
        <w:t>6.卫生健康支出(类)行政事业单位医疗(款)公务员医疗补助(项):支出决算数为1.54万元，比上年决算减少0.20万元，下降11.49%,主要原因是：本年在职人员调入调出，人员职级不同，缴费基数不同，导致公务员医疗补助较上年减少。</w:t>
      </w:r>
    </w:p>
    <w:p w14:paraId="71481068">
      <w:pPr>
        <w:spacing w:line="580" w:lineRule="exact"/>
        <w:ind w:firstLine="640"/>
        <w:jc w:val="both"/>
      </w:pPr>
      <w:r>
        <w:rPr>
          <w:rFonts w:ascii="仿宋_GB2312" w:hAnsi="仿宋_GB2312" w:eastAsia="仿宋_GB2312"/>
          <w:b w:val="0"/>
          <w:sz w:val="32"/>
        </w:rPr>
        <w:t>7.住房保障支出(类)住房改革支出(款)住房公积金(项):支出决算数为18.29万元，比上年决算增加0.76万元，增长4.34%,主要原因是：本年在职人员工资基数调增，公积金缴费基数上涨，相应支出增加。</w:t>
      </w:r>
    </w:p>
    <w:p w14:paraId="46F480C9">
      <w:pPr>
        <w:spacing w:line="580" w:lineRule="exact"/>
        <w:ind w:firstLine="640"/>
        <w:jc w:val="both"/>
      </w:pPr>
      <w:r>
        <w:rPr>
          <w:rFonts w:ascii="仿宋_GB2312" w:hAnsi="仿宋_GB2312" w:eastAsia="仿宋_GB2312"/>
          <w:b w:val="0"/>
          <w:sz w:val="32"/>
        </w:rPr>
        <w:t>8.其他支出(类)其他支出(款)其他支出(项):支出决算数为0.00万元，比上年决算减少1.24万元，下降100.00%,主要原因是：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科目调整，地区</w:t>
      </w:r>
      <w:r>
        <w:rPr>
          <w:rFonts w:hint="eastAsia" w:ascii="仿宋_GB2312" w:hAnsi="仿宋_GB2312" w:eastAsia="仿宋_GB2312"/>
          <w:b w:val="0"/>
          <w:sz w:val="32"/>
          <w:lang w:val="en-US" w:eastAsia="zh-CN"/>
        </w:rPr>
        <w:t>信息化</w:t>
      </w:r>
      <w:r>
        <w:rPr>
          <w:rFonts w:ascii="仿宋_GB2312" w:hAnsi="仿宋_GB2312" w:eastAsia="仿宋_GB2312"/>
          <w:b w:val="0"/>
          <w:sz w:val="32"/>
        </w:rPr>
        <w:t>建设项</w:t>
      </w:r>
      <w:bookmarkStart w:id="0" w:name="_GoBack"/>
      <w:bookmarkEnd w:id="0"/>
      <w:r>
        <w:rPr>
          <w:rFonts w:ascii="仿宋_GB2312" w:hAnsi="仿宋_GB2312" w:eastAsia="仿宋_GB2312"/>
          <w:b w:val="0"/>
          <w:sz w:val="32"/>
        </w:rPr>
        <w:t>目从其他支出科目调整至其他党委办公厅（室）及相关机构事务支出科目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导致此科目经费减少。</w:t>
      </w:r>
    </w:p>
    <w:p w14:paraId="031F90CE">
      <w:pPr>
        <w:spacing w:line="640" w:lineRule="exact"/>
        <w:ind w:firstLine="640"/>
        <w:jc w:val="both"/>
        <w:outlineLvl w:val="2"/>
      </w:pPr>
      <w:r>
        <w:rPr>
          <w:rFonts w:ascii="黑体" w:hAnsi="黑体" w:eastAsia="黑体"/>
          <w:sz w:val="32"/>
        </w:rPr>
        <w:t>六、一般公共预算财政拨款基本支出决算情况说明</w:t>
      </w:r>
    </w:p>
    <w:p w14:paraId="181A3EF7">
      <w:pPr>
        <w:spacing w:line="580" w:lineRule="exact"/>
        <w:ind w:firstLine="640"/>
        <w:jc w:val="both"/>
      </w:pPr>
      <w:r>
        <w:rPr>
          <w:rFonts w:ascii="仿宋_GB2312" w:hAnsi="仿宋_GB2312" w:eastAsia="仿宋_GB2312"/>
          <w:b w:val="0"/>
          <w:sz w:val="32"/>
        </w:rPr>
        <w:t>2024年度一般公共预算财政拨款基本支出231.76万元，其中：</w:t>
      </w:r>
      <w:r>
        <w:rPr>
          <w:rFonts w:ascii="仿宋_GB2312" w:hAnsi="仿宋_GB2312" w:eastAsia="仿宋_GB2312"/>
          <w:b/>
          <w:sz w:val="32"/>
        </w:rPr>
        <w:t>人员经费214.53万元，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w:t>
      </w:r>
    </w:p>
    <w:p w14:paraId="38224180">
      <w:pPr>
        <w:spacing w:line="580" w:lineRule="exact"/>
        <w:ind w:firstLine="640"/>
        <w:jc w:val="both"/>
      </w:pPr>
      <w:r>
        <w:rPr>
          <w:rFonts w:ascii="仿宋_GB2312" w:hAnsi="仿宋_GB2312" w:eastAsia="仿宋_GB2312"/>
          <w:b/>
          <w:sz w:val="32"/>
        </w:rPr>
        <w:t>公用经费17.22万元，</w:t>
      </w:r>
      <w:r>
        <w:rPr>
          <w:rFonts w:ascii="仿宋_GB2312" w:hAnsi="仿宋_GB2312" w:eastAsia="仿宋_GB2312"/>
          <w:b w:val="0"/>
          <w:sz w:val="32"/>
        </w:rPr>
        <w:t>包括：办公费、水费、电费、邮电费、差旅费、专用材料费、劳务费、工会经费、公务用车运行维护费、其他交通费用、其他商品和服务支出。</w:t>
      </w:r>
    </w:p>
    <w:p w14:paraId="3536587C">
      <w:pPr>
        <w:spacing w:line="640" w:lineRule="exact"/>
        <w:ind w:firstLine="640"/>
        <w:jc w:val="both"/>
        <w:outlineLvl w:val="2"/>
      </w:pPr>
      <w:r>
        <w:rPr>
          <w:rFonts w:ascii="黑体" w:hAnsi="黑体" w:eastAsia="黑体"/>
          <w:sz w:val="32"/>
        </w:rPr>
        <w:t>七、政府性基金预算财政拨款收入支出决算情况说明</w:t>
      </w:r>
    </w:p>
    <w:p w14:paraId="09508AA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471699B">
      <w:pPr>
        <w:spacing w:line="640" w:lineRule="exact"/>
        <w:ind w:firstLine="640"/>
        <w:jc w:val="both"/>
        <w:outlineLvl w:val="2"/>
      </w:pPr>
      <w:r>
        <w:rPr>
          <w:rFonts w:ascii="黑体" w:hAnsi="黑体" w:eastAsia="黑体"/>
          <w:sz w:val="32"/>
        </w:rPr>
        <w:t>八、国有资本经营预算财政拨款收入支出决算情况说明</w:t>
      </w:r>
    </w:p>
    <w:p w14:paraId="2183491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81A4141">
      <w:pPr>
        <w:spacing w:line="640" w:lineRule="exact"/>
        <w:ind w:firstLine="640"/>
        <w:jc w:val="both"/>
        <w:outlineLvl w:val="2"/>
      </w:pPr>
      <w:r>
        <w:rPr>
          <w:rFonts w:ascii="黑体" w:hAnsi="黑体" w:eastAsia="黑体"/>
          <w:sz w:val="32"/>
        </w:rPr>
        <w:t>九、财政拨款“三公”经费支出决算情况说明</w:t>
      </w:r>
    </w:p>
    <w:p w14:paraId="3E74ADD3">
      <w:pPr>
        <w:spacing w:line="580" w:lineRule="exact"/>
        <w:ind w:firstLine="640"/>
        <w:jc w:val="both"/>
      </w:pPr>
      <w:r>
        <w:rPr>
          <w:rFonts w:ascii="仿宋_GB2312" w:hAnsi="仿宋_GB2312" w:eastAsia="仿宋_GB2312"/>
          <w:b/>
          <w:sz w:val="32"/>
        </w:rPr>
        <w:t>2024年度财政拨款“三公”经费支出2.10万元，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2.10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10DDE917">
      <w:pPr>
        <w:spacing w:line="580" w:lineRule="exact"/>
        <w:ind w:firstLine="640"/>
        <w:jc w:val="both"/>
      </w:pPr>
      <w:r>
        <w:rPr>
          <w:rFonts w:ascii="仿宋_GB2312" w:hAnsi="仿宋_GB2312" w:eastAsia="仿宋_GB2312"/>
          <w:b/>
          <w:sz w:val="32"/>
        </w:rPr>
        <w:t>具体情况如下：</w:t>
      </w:r>
    </w:p>
    <w:p w14:paraId="308CF5D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45981D">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6F4167D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510138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2.10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0.00万元，决算数0.00万元，预决算差异率0.00%，主要原因是：本单位无公务接待费。</w:t>
      </w:r>
    </w:p>
    <w:p w14:paraId="74DD59FC">
      <w:pPr>
        <w:spacing w:line="640" w:lineRule="exact"/>
        <w:ind w:firstLine="640"/>
        <w:jc w:val="both"/>
        <w:outlineLvl w:val="2"/>
      </w:pPr>
      <w:r>
        <w:rPr>
          <w:rFonts w:ascii="黑体" w:hAnsi="黑体" w:eastAsia="黑体"/>
          <w:sz w:val="32"/>
        </w:rPr>
        <w:t>十、其他重要事项的情况说明</w:t>
      </w:r>
    </w:p>
    <w:p w14:paraId="21BDABBC">
      <w:pPr>
        <w:spacing w:line="640" w:lineRule="exact"/>
        <w:ind w:firstLine="640"/>
        <w:jc w:val="both"/>
        <w:outlineLvl w:val="3"/>
      </w:pPr>
      <w:r>
        <w:rPr>
          <w:rFonts w:ascii="楷体_GB2312" w:hAnsi="楷体_GB2312" w:eastAsia="楷体_GB2312"/>
          <w:b/>
          <w:sz w:val="32"/>
        </w:rPr>
        <w:t>（一）机关运行经费及公用经费支出情况</w:t>
      </w:r>
    </w:p>
    <w:p w14:paraId="55C1ADF7">
      <w:pPr>
        <w:spacing w:line="580" w:lineRule="exact"/>
        <w:ind w:firstLine="640"/>
        <w:jc w:val="both"/>
      </w:pPr>
      <w:r>
        <w:rPr>
          <w:rFonts w:ascii="仿宋_GB2312" w:hAnsi="仿宋_GB2312" w:eastAsia="仿宋_GB2312"/>
          <w:b w:val="0"/>
          <w:sz w:val="32"/>
        </w:rPr>
        <w:t>2024年度中共喀什地委政策研究室（行政单位和参照公务员法管理事业单位）机关运行经费支出17.22万元，比上年减少0.46万元，下降2.60%，主要原因是：严控经费支出，厉行节约，减少经费支出。</w:t>
      </w:r>
    </w:p>
    <w:p w14:paraId="1173EC55">
      <w:pPr>
        <w:spacing w:line="640" w:lineRule="exact"/>
        <w:ind w:firstLine="640"/>
        <w:jc w:val="both"/>
        <w:outlineLvl w:val="3"/>
      </w:pPr>
      <w:r>
        <w:rPr>
          <w:rFonts w:ascii="楷体_GB2312" w:hAnsi="楷体_GB2312" w:eastAsia="楷体_GB2312"/>
          <w:b/>
          <w:sz w:val="32"/>
        </w:rPr>
        <w:t>（二）政府采购情况</w:t>
      </w:r>
    </w:p>
    <w:p w14:paraId="4EF9F752">
      <w:pPr>
        <w:spacing w:line="580" w:lineRule="exact"/>
        <w:ind w:firstLine="640"/>
        <w:jc w:val="both"/>
      </w:pPr>
      <w:r>
        <w:rPr>
          <w:rFonts w:ascii="仿宋_GB2312" w:hAnsi="仿宋_GB2312" w:eastAsia="仿宋_GB2312"/>
          <w:b w:val="0"/>
          <w:sz w:val="32"/>
        </w:rPr>
        <w:t>2024年度政府采购支出总额13.30万元，其中：政府采购货物支出7.78万元、政府采购工程支出0.00万元、政府采购服务支出5.53万元。</w:t>
      </w:r>
    </w:p>
    <w:p w14:paraId="438880FD">
      <w:pPr>
        <w:spacing w:line="580" w:lineRule="exact"/>
        <w:ind w:firstLine="640"/>
        <w:jc w:val="both"/>
      </w:pPr>
      <w:r>
        <w:rPr>
          <w:rFonts w:ascii="仿宋_GB2312" w:hAnsi="仿宋_GB2312" w:eastAsia="仿宋_GB2312"/>
          <w:b w:val="0"/>
          <w:sz w:val="32"/>
        </w:rPr>
        <w:t>授予中小企业合同金额10.14万元，占政府采购支出总额的76.24%，其中：授予小微企业合同金额10.14万元，占政府采购支出总额的76.24%。</w:t>
      </w:r>
    </w:p>
    <w:p w14:paraId="45330B36">
      <w:pPr>
        <w:spacing w:line="640" w:lineRule="exact"/>
        <w:ind w:firstLine="640"/>
        <w:jc w:val="both"/>
        <w:outlineLvl w:val="3"/>
      </w:pPr>
      <w:r>
        <w:rPr>
          <w:rFonts w:ascii="楷体_GB2312" w:hAnsi="楷体_GB2312" w:eastAsia="楷体_GB2312"/>
          <w:b/>
          <w:sz w:val="32"/>
        </w:rPr>
        <w:t>（三）国有资产占用情况说明</w:t>
      </w:r>
    </w:p>
    <w:p w14:paraId="26E69195">
      <w:pPr>
        <w:spacing w:line="580" w:lineRule="exact"/>
        <w:ind w:firstLine="640"/>
        <w:jc w:val="both"/>
      </w:pPr>
      <w:r>
        <w:rPr>
          <w:rFonts w:ascii="仿宋_GB2312" w:hAnsi="仿宋_GB2312" w:eastAsia="仿宋_GB2312"/>
          <w:b w:val="0"/>
          <w:sz w:val="32"/>
        </w:rPr>
        <w:t>截至2024年12月31日，房屋0.00平方米，价值0.00万元。车辆1辆，价值28.58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44FB4642">
      <w:pPr>
        <w:spacing w:line="640" w:lineRule="exact"/>
        <w:ind w:firstLine="640"/>
        <w:jc w:val="both"/>
        <w:outlineLvl w:val="2"/>
      </w:pPr>
      <w:r>
        <w:rPr>
          <w:rFonts w:ascii="黑体" w:hAnsi="黑体" w:eastAsia="黑体"/>
          <w:sz w:val="32"/>
        </w:rPr>
        <w:t>十一、预算绩效的情况说明</w:t>
      </w:r>
    </w:p>
    <w:p w14:paraId="2171EB2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438.58万元，实际执行总额420.40万元；预算绩效评价项目1个，全年预算数41.82万元，全年执行数23.64万元。预算绩效管理取得的成效：一是决算数据来源真实，完整、连续，准确。二是加强项目预算绩效管理，通过认真开展绩效事前评估，事中加强绩效目标管理、做实绩效跟踪工作，事后开展绩效评价和结果应用四项举措，完善会计核算工作，提高了财务管理水平。发现的问题及原因：与各科室对接还需进一步加强，确保年初预算编制更为科学、精准。下一步改进措施：在编制年度预算工作环节前，将编制程序、要求、事前评估报告模板、目标设置方式、编制注意事项，下发各科室并对各科室负责人进行讲解，确保业务数据服务财务数据。督促各科室结合下一年度工作计划提前谋划下一年度项目预算，提前对预算可行性进行研究。具体附整体支出绩效自评表，项目支出绩效自评表。</w:t>
      </w:r>
    </w:p>
    <w:p w14:paraId="2396166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A7587AD">
        <w:tblPrEx>
          <w:tblCellMar>
            <w:top w:w="0" w:type="dxa"/>
            <w:left w:w="108" w:type="dxa"/>
            <w:bottom w:w="0" w:type="dxa"/>
            <w:right w:w="108" w:type="dxa"/>
          </w:tblCellMar>
        </w:tblPrEx>
        <w:tc>
          <w:tcPr>
            <w:tcW w:w="8847" w:type="dxa"/>
            <w:gridSpan w:val="9"/>
            <w:vAlign w:val="center"/>
          </w:tcPr>
          <w:p w14:paraId="75D9DDEE">
            <w:pPr>
              <w:jc w:val="center"/>
            </w:pPr>
            <w:r>
              <w:rPr>
                <w:rFonts w:ascii="宋体" w:hAnsi="宋体" w:eastAsia="宋体"/>
                <w:sz w:val="24"/>
              </w:rPr>
              <w:t>单位整体支出绩效自评表</w:t>
            </w:r>
          </w:p>
        </w:tc>
      </w:tr>
      <w:tr w14:paraId="4DC94D82">
        <w:tblPrEx>
          <w:tblCellMar>
            <w:top w:w="0" w:type="dxa"/>
            <w:left w:w="108" w:type="dxa"/>
            <w:bottom w:w="0" w:type="dxa"/>
            <w:right w:w="108" w:type="dxa"/>
          </w:tblCellMar>
        </w:tblPrEx>
        <w:tc>
          <w:tcPr>
            <w:tcW w:w="8847" w:type="dxa"/>
            <w:gridSpan w:val="9"/>
            <w:vAlign w:val="center"/>
          </w:tcPr>
          <w:p w14:paraId="5D2FC334">
            <w:pPr>
              <w:jc w:val="center"/>
            </w:pPr>
            <w:r>
              <w:rPr>
                <w:rFonts w:ascii="宋体" w:hAnsi="宋体" w:eastAsia="宋体"/>
                <w:sz w:val="24"/>
              </w:rPr>
              <w:t>（2024年度）</w:t>
            </w:r>
          </w:p>
        </w:tc>
      </w:tr>
      <w:tr w14:paraId="746C09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852A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487702E">
            <w:pPr>
              <w:jc w:val="center"/>
            </w:pPr>
            <w:r>
              <w:rPr>
                <w:rFonts w:ascii="宋体" w:hAnsi="宋体" w:eastAsia="宋体"/>
                <w:sz w:val="16"/>
              </w:rPr>
              <w:t>中共喀什地委政策研究室</w:t>
            </w:r>
          </w:p>
        </w:tc>
      </w:tr>
      <w:tr w14:paraId="2B610B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87CF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F7C9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4D22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05C7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34B3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DC85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6BCE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56D6C">
            <w:pPr>
              <w:jc w:val="center"/>
            </w:pPr>
            <w:r>
              <w:rPr>
                <w:rFonts w:ascii="宋体" w:hAnsi="宋体" w:eastAsia="宋体"/>
                <w:sz w:val="16"/>
              </w:rPr>
              <w:t>得分</w:t>
            </w:r>
          </w:p>
        </w:tc>
      </w:tr>
      <w:tr w14:paraId="407103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72A5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2D07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A08D8">
            <w:pPr>
              <w:jc w:val="center"/>
            </w:pPr>
            <w:r>
              <w:rPr>
                <w:rFonts w:ascii="宋体" w:hAnsi="宋体" w:eastAsia="宋体"/>
                <w:sz w:val="16"/>
              </w:rPr>
              <w:t>530.51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964EB">
            <w:pPr>
              <w:jc w:val="center"/>
            </w:pPr>
            <w:r>
              <w:rPr>
                <w:rFonts w:ascii="宋体" w:hAnsi="宋体" w:eastAsia="宋体"/>
                <w:sz w:val="16"/>
              </w:rPr>
              <w:t>438.58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F40FF">
            <w:pPr>
              <w:jc w:val="center"/>
            </w:pPr>
            <w:r>
              <w:rPr>
                <w:rFonts w:ascii="宋体" w:hAnsi="宋体" w:eastAsia="宋体"/>
                <w:sz w:val="16"/>
              </w:rPr>
              <w:t>420.40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233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AB9D8">
            <w:pPr>
              <w:jc w:val="center"/>
            </w:pPr>
            <w:r>
              <w:rPr>
                <w:rFonts w:ascii="宋体" w:hAnsi="宋体" w:eastAsia="宋体"/>
                <w:sz w:val="16"/>
              </w:rPr>
              <w:t>95.85%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F8DF8">
            <w:pPr>
              <w:jc w:val="center"/>
            </w:pPr>
            <w:r>
              <w:rPr>
                <w:rFonts w:ascii="宋体" w:hAnsi="宋体" w:eastAsia="宋体"/>
                <w:sz w:val="16"/>
              </w:rPr>
              <w:t>9.59</w:t>
            </w:r>
          </w:p>
        </w:tc>
      </w:tr>
      <w:tr w14:paraId="56DC5D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EE96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DF1A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913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D953B">
            <w:pPr>
              <w:jc w:val="center"/>
            </w:pPr>
            <w:r>
              <w:rPr>
                <w:rFonts w:ascii="宋体" w:hAnsi="宋体" w:eastAsia="宋体"/>
                <w:sz w:val="16"/>
              </w:rPr>
              <w:t>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CFBC2">
            <w:pPr>
              <w:jc w:val="center"/>
            </w:pPr>
            <w:r>
              <w:rPr>
                <w:rFonts w:ascii="宋体" w:hAnsi="宋体" w:eastAsia="宋体"/>
                <w:sz w:val="16"/>
              </w:rPr>
              <w:t>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5BE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A4DE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B434E">
            <w:pPr>
              <w:jc w:val="center"/>
            </w:pPr>
            <w:r>
              <w:rPr>
                <w:rFonts w:ascii="宋体" w:hAnsi="宋体" w:eastAsia="宋体"/>
                <w:sz w:val="16"/>
              </w:rPr>
              <w:t>—</w:t>
            </w:r>
          </w:p>
        </w:tc>
      </w:tr>
      <w:tr w14:paraId="374F8F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B763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638F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E3C45">
            <w:pPr>
              <w:jc w:val="center"/>
            </w:pPr>
            <w:r>
              <w:rPr>
                <w:rFonts w:ascii="宋体" w:hAnsi="宋体" w:eastAsia="宋体"/>
                <w:sz w:val="16"/>
              </w:rPr>
              <w:t>530.51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3C72F">
            <w:pPr>
              <w:jc w:val="center"/>
            </w:pPr>
            <w:r>
              <w:rPr>
                <w:rFonts w:ascii="宋体" w:hAnsi="宋体" w:eastAsia="宋体"/>
                <w:sz w:val="16"/>
              </w:rPr>
              <w:t>434.90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85104">
            <w:pPr>
              <w:jc w:val="center"/>
            </w:pPr>
            <w:r>
              <w:rPr>
                <w:rFonts w:ascii="宋体" w:hAnsi="宋体" w:eastAsia="宋体"/>
                <w:sz w:val="16"/>
              </w:rPr>
              <w:t>416.72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F35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E4F6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264B8">
            <w:pPr>
              <w:jc w:val="center"/>
            </w:pPr>
            <w:r>
              <w:rPr>
                <w:rFonts w:ascii="宋体" w:hAnsi="宋体" w:eastAsia="宋体"/>
                <w:sz w:val="16"/>
              </w:rPr>
              <w:t>—</w:t>
            </w:r>
          </w:p>
        </w:tc>
      </w:tr>
      <w:tr w14:paraId="1D5AED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454F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FF95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234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598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58E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EE6B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27D4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C2444">
            <w:pPr>
              <w:jc w:val="center"/>
            </w:pPr>
            <w:r>
              <w:rPr>
                <w:rFonts w:ascii="宋体" w:hAnsi="宋体" w:eastAsia="宋体"/>
                <w:sz w:val="16"/>
              </w:rPr>
              <w:t>—</w:t>
            </w:r>
          </w:p>
        </w:tc>
      </w:tr>
      <w:tr w14:paraId="4E1D02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8AB7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D9440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88666D">
            <w:pPr>
              <w:jc w:val="center"/>
            </w:pPr>
            <w:r>
              <w:rPr>
                <w:rFonts w:ascii="宋体" w:hAnsi="宋体" w:eastAsia="宋体"/>
                <w:sz w:val="16"/>
              </w:rPr>
              <w:t>实际完成情况</w:t>
            </w:r>
          </w:p>
        </w:tc>
      </w:tr>
      <w:tr w14:paraId="0F2E5A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5D4E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BF227B">
            <w:pPr>
              <w:jc w:val="both"/>
            </w:pPr>
            <w:r>
              <w:rPr>
                <w:rFonts w:ascii="宋体" w:hAnsi="宋体" w:eastAsia="宋体"/>
                <w:sz w:val="16"/>
              </w:rPr>
              <w:t>喀什地委政策研究室坚定不移围绕中心、服务大局，在地委的坚强领导下，积极主动服务地委工作大局，扎实做好文稿起草、调查研究、深化改革、政策宣传、机关党建、接亲联谊等工作，全年起草重大文稿不少于300篇，形成调研专报不少于16篇，推进改革督察考核不少于1次，编发学习与借鉴不少于11期，抓好党建与各项工作融合发展不少于5次，切实为地委决策提供参谋咨询，为地委工作运转提供有力支撑，为推进全区发展作出积极贡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A6E4BE">
            <w:pPr>
              <w:jc w:val="both"/>
            </w:pPr>
            <w:r>
              <w:rPr>
                <w:rFonts w:ascii="宋体" w:hAnsi="宋体" w:eastAsia="宋体"/>
                <w:sz w:val="16"/>
              </w:rPr>
              <w:t>2024年，地委政研室始终围绕中心、服务大局，在地委的坚强领导下，当好以文辅政“智囊团”，起草各类综合文稿300篇。当好服务决策“参谋部”，形成各类《调研专报》16期，编发《学习与借鉴》11期。当好深化改革“主攻手”，认真落实深改委“一规则两细则”，健全完善责任落实、会议推进、台账管理、督察考核等工作机制，推进项目化管理、责任制推进、清单式落实，筹备召开地委深改委会议3次、地委改革办联席会议3次，组织开展2023年重点改革工作“回头看”，对7个改革专项小组和12个县市开展1次全覆盖改革督察，地委深改委确定的年度改革任务全部完成。当干事创业“排头兵”，开展党建与业务融合发展5次，政研室党支部被地委直属机关工委命名为“五个好”党支部。</w:t>
            </w:r>
          </w:p>
        </w:tc>
      </w:tr>
      <w:tr w14:paraId="73EB94D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69D1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CEFF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43B2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9227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F3BE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8997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7AAE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DD30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BEA9D">
            <w:pPr>
              <w:jc w:val="center"/>
            </w:pPr>
            <w:r>
              <w:rPr>
                <w:rFonts w:ascii="宋体" w:hAnsi="宋体" w:eastAsia="宋体"/>
                <w:sz w:val="16"/>
              </w:rPr>
              <w:t>得分</w:t>
            </w:r>
          </w:p>
        </w:tc>
      </w:tr>
      <w:tr w14:paraId="31ACDB1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3799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8AA9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2B413">
            <w:pPr>
              <w:jc w:val="center"/>
            </w:pPr>
            <w:r>
              <w:rPr>
                <w:rFonts w:ascii="宋体" w:hAnsi="宋体" w:eastAsia="宋体"/>
                <w:sz w:val="16"/>
              </w:rPr>
              <w:t>重大文稿起草篇数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0CDF2">
            <w:pPr>
              <w:jc w:val="center"/>
            </w:pPr>
            <w:r>
              <w:rPr>
                <w:rFonts w:ascii="宋体" w:hAnsi="宋体" w:eastAsia="宋体"/>
                <w:sz w:val="16"/>
              </w:rPr>
              <w:t>&gt;=300篇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86901">
            <w:pPr>
              <w:jc w:val="center"/>
            </w:pPr>
            <w:r>
              <w:rPr>
                <w:rFonts w:ascii="宋体" w:hAnsi="宋体" w:eastAsia="宋体"/>
                <w:sz w:val="16"/>
              </w:rPr>
              <w:t>2023年工作总结、地委政研室2024年工作计划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062F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09F99">
            <w:pPr>
              <w:jc w:val="center"/>
            </w:pPr>
            <w:r>
              <w:rPr>
                <w:rFonts w:ascii="宋体" w:hAnsi="宋体" w:eastAsia="宋体"/>
                <w:sz w:val="16"/>
              </w:rPr>
              <w:t>300篇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1A0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03A45">
            <w:pPr>
              <w:jc w:val="center"/>
            </w:pPr>
            <w:r>
              <w:rPr>
                <w:rFonts w:ascii="宋体" w:hAnsi="宋体" w:eastAsia="宋体"/>
                <w:sz w:val="16"/>
              </w:rPr>
              <w:t>30</w:t>
            </w:r>
          </w:p>
        </w:tc>
      </w:tr>
      <w:tr w14:paraId="593B50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BFF6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D19E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E890E">
            <w:pPr>
              <w:jc w:val="center"/>
            </w:pPr>
            <w:r>
              <w:rPr>
                <w:rFonts w:ascii="宋体" w:hAnsi="宋体" w:eastAsia="宋体"/>
                <w:sz w:val="16"/>
              </w:rPr>
              <w:t>形成调研专报篇数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D073B">
            <w:pPr>
              <w:jc w:val="center"/>
            </w:pPr>
            <w:r>
              <w:rPr>
                <w:rFonts w:ascii="宋体" w:hAnsi="宋体" w:eastAsia="宋体"/>
                <w:sz w:val="16"/>
              </w:rPr>
              <w:t>&gt;=16篇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5FF36">
            <w:pPr>
              <w:jc w:val="center"/>
            </w:pPr>
            <w:r>
              <w:rPr>
                <w:rFonts w:ascii="宋体" w:hAnsi="宋体" w:eastAsia="宋体"/>
                <w:sz w:val="16"/>
              </w:rPr>
              <w:t>2023年工作总结、地委政研室2024年工作计划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9861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8941F">
            <w:pPr>
              <w:jc w:val="center"/>
            </w:pPr>
            <w:r>
              <w:rPr>
                <w:rFonts w:ascii="宋体" w:hAnsi="宋体" w:eastAsia="宋体"/>
                <w:sz w:val="16"/>
              </w:rPr>
              <w:t>16篇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404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A7964">
            <w:pPr>
              <w:jc w:val="center"/>
            </w:pPr>
            <w:r>
              <w:rPr>
                <w:rFonts w:ascii="宋体" w:hAnsi="宋体" w:eastAsia="宋体"/>
                <w:sz w:val="16"/>
              </w:rPr>
              <w:t>20</w:t>
            </w:r>
          </w:p>
        </w:tc>
      </w:tr>
      <w:tr w14:paraId="0BB137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53C9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A833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D00F7">
            <w:pPr>
              <w:jc w:val="center"/>
            </w:pPr>
            <w:r>
              <w:rPr>
                <w:rFonts w:ascii="宋体" w:hAnsi="宋体" w:eastAsia="宋体"/>
                <w:sz w:val="16"/>
              </w:rPr>
              <w:t>推进改革督察考核次数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5DC43">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C76F9">
            <w:pPr>
              <w:jc w:val="center"/>
            </w:pPr>
            <w:r>
              <w:rPr>
                <w:rFonts w:ascii="宋体" w:hAnsi="宋体" w:eastAsia="宋体"/>
                <w:sz w:val="16"/>
              </w:rPr>
              <w:t>2023年工作总结、地委政研室2024年工作计划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B3F5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C8E41">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456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7A19A">
            <w:pPr>
              <w:jc w:val="center"/>
            </w:pPr>
            <w:r>
              <w:rPr>
                <w:rFonts w:ascii="宋体" w:hAnsi="宋体" w:eastAsia="宋体"/>
                <w:sz w:val="16"/>
              </w:rPr>
              <w:t>20</w:t>
            </w:r>
          </w:p>
        </w:tc>
      </w:tr>
      <w:tr w14:paraId="7F8056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B2B5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EA91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0FDD6">
            <w:pPr>
              <w:jc w:val="center"/>
            </w:pPr>
            <w:r>
              <w:rPr>
                <w:rFonts w:ascii="宋体" w:hAnsi="宋体" w:eastAsia="宋体"/>
                <w:sz w:val="16"/>
              </w:rPr>
              <w:t>编辑《学习与借鉴》期数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CC944">
            <w:pPr>
              <w:jc w:val="center"/>
            </w:pPr>
            <w:r>
              <w:rPr>
                <w:rFonts w:ascii="宋体" w:hAnsi="宋体" w:eastAsia="宋体"/>
                <w:sz w:val="16"/>
              </w:rPr>
              <w:t>&gt;=11期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883CC">
            <w:pPr>
              <w:jc w:val="center"/>
            </w:pPr>
            <w:r>
              <w:rPr>
                <w:rFonts w:ascii="宋体" w:hAnsi="宋体" w:eastAsia="宋体"/>
                <w:sz w:val="16"/>
              </w:rPr>
              <w:t>2023年工作总结、地委政研室2024年工作计划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A5F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A88FE">
            <w:pPr>
              <w:jc w:val="center"/>
            </w:pPr>
            <w:r>
              <w:rPr>
                <w:rFonts w:ascii="宋体" w:hAnsi="宋体" w:eastAsia="宋体"/>
                <w:sz w:val="16"/>
              </w:rPr>
              <w:t>11期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424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0F120">
            <w:pPr>
              <w:jc w:val="center"/>
            </w:pPr>
            <w:r>
              <w:rPr>
                <w:rFonts w:ascii="宋体" w:hAnsi="宋体" w:eastAsia="宋体"/>
                <w:sz w:val="16"/>
              </w:rPr>
              <w:t>10</w:t>
            </w:r>
          </w:p>
        </w:tc>
      </w:tr>
      <w:tr w14:paraId="4C090A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DF07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DFCA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5BC65">
            <w:pPr>
              <w:jc w:val="center"/>
            </w:pPr>
            <w:r>
              <w:rPr>
                <w:rFonts w:ascii="宋体" w:hAnsi="宋体" w:eastAsia="宋体"/>
                <w:sz w:val="16"/>
              </w:rPr>
              <w:t>抓好党建与各项工作融合发展次数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D0062">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D2E36">
            <w:pPr>
              <w:jc w:val="center"/>
            </w:pPr>
            <w:r>
              <w:rPr>
                <w:rFonts w:ascii="宋体" w:hAnsi="宋体" w:eastAsia="宋体"/>
                <w:sz w:val="16"/>
              </w:rPr>
              <w:t>2023年工作总结、地委政研室党支部2024年工作计划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940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AECB0">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132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215C9">
            <w:pPr>
              <w:jc w:val="center"/>
            </w:pPr>
            <w:r>
              <w:rPr>
                <w:rFonts w:ascii="宋体" w:hAnsi="宋体" w:eastAsia="宋体"/>
                <w:sz w:val="16"/>
              </w:rPr>
              <w:t>10</w:t>
            </w:r>
          </w:p>
        </w:tc>
      </w:tr>
    </w:tbl>
    <w:p w14:paraId="09B1106F">
      <w:r>
        <w:br w:type="page"/>
      </w:r>
    </w:p>
    <w:tbl>
      <w:tblPr>
        <w:tblStyle w:val="9"/>
        <w:tblW w:w="9360" w:type="dxa"/>
        <w:tblInd w:w="0" w:type="dxa"/>
        <w:tblLayout w:type="fixed"/>
        <w:tblCellMar>
          <w:top w:w="0" w:type="dxa"/>
          <w:left w:w="108" w:type="dxa"/>
          <w:bottom w:w="0" w:type="dxa"/>
          <w:right w:w="108" w:type="dxa"/>
        </w:tblCellMar>
      </w:tblPr>
      <w:tblGrid>
        <w:gridCol w:w="650"/>
        <w:gridCol w:w="648"/>
        <w:gridCol w:w="650"/>
        <w:gridCol w:w="650"/>
        <w:gridCol w:w="802"/>
        <w:gridCol w:w="648"/>
        <w:gridCol w:w="653"/>
        <w:gridCol w:w="655"/>
        <w:gridCol w:w="648"/>
        <w:gridCol w:w="648"/>
        <w:gridCol w:w="719"/>
        <w:gridCol w:w="432"/>
        <w:gridCol w:w="892"/>
        <w:gridCol w:w="665"/>
      </w:tblGrid>
      <w:tr w14:paraId="11323CC7">
        <w:tblPrEx>
          <w:tblCellMar>
            <w:top w:w="0" w:type="dxa"/>
            <w:left w:w="108" w:type="dxa"/>
            <w:bottom w:w="0" w:type="dxa"/>
            <w:right w:w="108" w:type="dxa"/>
          </w:tblCellMar>
        </w:tblPrEx>
        <w:trPr>
          <w:trHeight w:val="326" w:hRule="atLeast"/>
        </w:trPr>
        <w:tc>
          <w:tcPr>
            <w:tcW w:w="9360" w:type="dxa"/>
            <w:gridSpan w:val="14"/>
            <w:vAlign w:val="center"/>
          </w:tcPr>
          <w:p w14:paraId="48514296">
            <w:pPr>
              <w:jc w:val="center"/>
            </w:pPr>
            <w:r>
              <w:rPr>
                <w:rFonts w:ascii="宋体" w:hAnsi="宋体" w:eastAsia="宋体"/>
                <w:sz w:val="24"/>
              </w:rPr>
              <w:t>项目支出绩效自评表</w:t>
            </w:r>
          </w:p>
        </w:tc>
      </w:tr>
      <w:tr w14:paraId="3098B546">
        <w:tblPrEx>
          <w:tblCellMar>
            <w:top w:w="0" w:type="dxa"/>
            <w:left w:w="108" w:type="dxa"/>
            <w:bottom w:w="0" w:type="dxa"/>
            <w:right w:w="108" w:type="dxa"/>
          </w:tblCellMar>
        </w:tblPrEx>
        <w:trPr>
          <w:trHeight w:val="326" w:hRule="atLeast"/>
        </w:trPr>
        <w:tc>
          <w:tcPr>
            <w:tcW w:w="9360" w:type="dxa"/>
            <w:gridSpan w:val="14"/>
            <w:vAlign w:val="center"/>
          </w:tcPr>
          <w:p w14:paraId="67DCA448">
            <w:pPr>
              <w:jc w:val="center"/>
            </w:pPr>
            <w:r>
              <w:rPr>
                <w:rFonts w:ascii="宋体" w:hAnsi="宋体" w:eastAsia="宋体"/>
                <w:sz w:val="24"/>
              </w:rPr>
              <w:t>(2024年度)</w:t>
            </w:r>
          </w:p>
        </w:tc>
      </w:tr>
      <w:tr w14:paraId="6AF9077C">
        <w:tblPrEx>
          <w:tblCellMar>
            <w:top w:w="0" w:type="dxa"/>
            <w:left w:w="108" w:type="dxa"/>
            <w:bottom w:w="0" w:type="dxa"/>
            <w:right w:w="108" w:type="dxa"/>
          </w:tblCellMar>
        </w:tblPrEx>
        <w:trPr>
          <w:trHeight w:val="679" w:hRule="atLeast"/>
        </w:trPr>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6C208BDE">
            <w:pPr>
              <w:jc w:val="center"/>
            </w:pPr>
            <w:r>
              <w:rPr>
                <w:rFonts w:ascii="宋体" w:hAnsi="宋体" w:eastAsia="宋体"/>
                <w:sz w:val="16"/>
              </w:rPr>
              <w:t>项目名称</w:t>
            </w:r>
          </w:p>
        </w:tc>
        <w:tc>
          <w:tcPr>
            <w:tcW w:w="871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8E9314">
            <w:pPr>
              <w:jc w:val="center"/>
            </w:pPr>
            <w:r>
              <w:rPr>
                <w:rFonts w:ascii="宋体" w:hAnsi="宋体" w:eastAsia="宋体"/>
                <w:sz w:val="16"/>
              </w:rPr>
              <w:t>政研改革调研业务保障项目</w:t>
            </w:r>
          </w:p>
        </w:tc>
      </w:tr>
      <w:tr w14:paraId="3BF5E45B">
        <w:tblPrEx>
          <w:tblCellMar>
            <w:top w:w="0" w:type="dxa"/>
            <w:left w:w="108" w:type="dxa"/>
            <w:bottom w:w="0" w:type="dxa"/>
            <w:right w:w="108" w:type="dxa"/>
          </w:tblCellMar>
        </w:tblPrEx>
        <w:trPr>
          <w:trHeight w:val="679" w:hRule="atLeast"/>
        </w:trPr>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497C6A40">
            <w:pPr>
              <w:jc w:val="center"/>
            </w:pPr>
            <w:r>
              <w:rPr>
                <w:rFonts w:ascii="宋体" w:hAnsi="宋体" w:eastAsia="宋体"/>
                <w:sz w:val="16"/>
              </w:rPr>
              <w:t>主管部门</w:t>
            </w:r>
          </w:p>
        </w:tc>
        <w:tc>
          <w:tcPr>
            <w:tcW w:w="47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0D60BF">
            <w:pPr>
              <w:jc w:val="center"/>
            </w:pPr>
            <w:r>
              <w:rPr>
                <w:rFonts w:ascii="宋体" w:hAnsi="宋体" w:eastAsia="宋体"/>
                <w:sz w:val="16"/>
              </w:rPr>
              <w:t>中共喀什地委政策研究室</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5DC458FA">
            <w:pPr>
              <w:jc w:val="center"/>
            </w:pPr>
            <w:r>
              <w:rPr>
                <w:rFonts w:ascii="宋体" w:hAnsi="宋体" w:eastAsia="宋体"/>
                <w:sz w:val="16"/>
              </w:rPr>
              <w:t>实施单位</w:t>
            </w:r>
          </w:p>
        </w:tc>
        <w:tc>
          <w:tcPr>
            <w:tcW w:w="33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34104A">
            <w:pPr>
              <w:jc w:val="center"/>
            </w:pPr>
            <w:r>
              <w:rPr>
                <w:rFonts w:ascii="宋体" w:hAnsi="宋体" w:eastAsia="宋体"/>
                <w:sz w:val="16"/>
              </w:rPr>
              <w:t>中共喀什地委政策研究室</w:t>
            </w:r>
          </w:p>
        </w:tc>
      </w:tr>
      <w:tr w14:paraId="03CC10FD">
        <w:tblPrEx>
          <w:tblCellMar>
            <w:top w:w="0" w:type="dxa"/>
            <w:left w:w="108" w:type="dxa"/>
            <w:bottom w:w="0" w:type="dxa"/>
            <w:right w:w="108" w:type="dxa"/>
          </w:tblCellMar>
        </w:tblPrEx>
        <w:trPr>
          <w:trHeight w:val="679" w:hRule="atLeast"/>
        </w:trPr>
        <w:tc>
          <w:tcPr>
            <w:tcW w:w="65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A1665">
            <w:pPr>
              <w:jc w:val="center"/>
            </w:pPr>
            <w:r>
              <w:rPr>
                <w:rFonts w:ascii="宋体" w:hAnsi="宋体" w:eastAsia="宋体"/>
                <w:sz w:val="16"/>
              </w:rPr>
              <w:t>项目资金 （万元）</w:t>
            </w:r>
          </w:p>
        </w:tc>
        <w:tc>
          <w:tcPr>
            <w:tcW w:w="12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B8FDF">
            <w:pPr>
              <w:jc w:val="center"/>
            </w:pPr>
          </w:p>
        </w:tc>
        <w:tc>
          <w:tcPr>
            <w:tcW w:w="14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F7990">
            <w:pPr>
              <w:jc w:val="center"/>
            </w:pPr>
            <w:r>
              <w:rPr>
                <w:rFonts w:ascii="宋体" w:hAnsi="宋体" w:eastAsia="宋体"/>
                <w:sz w:val="16"/>
              </w:rPr>
              <w:t>年初预算数</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C4366">
            <w:pPr>
              <w:jc w:val="center"/>
            </w:pPr>
            <w:r>
              <w:rPr>
                <w:rFonts w:ascii="宋体" w:hAnsi="宋体" w:eastAsia="宋体"/>
                <w:sz w:val="16"/>
              </w:rPr>
              <w:t>全年预算数</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B2DD6">
            <w:pPr>
              <w:jc w:val="center"/>
            </w:pPr>
            <w:r>
              <w:rPr>
                <w:rFonts w:ascii="宋体" w:hAnsi="宋体" w:eastAsia="宋体"/>
                <w:sz w:val="16"/>
              </w:rPr>
              <w:t>全年执行数</w:t>
            </w:r>
          </w:p>
        </w:tc>
        <w:tc>
          <w:tcPr>
            <w:tcW w:w="13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BEAAB">
            <w:pPr>
              <w:jc w:val="center"/>
            </w:pPr>
            <w:r>
              <w:rPr>
                <w:rFonts w:ascii="宋体" w:hAnsi="宋体" w:eastAsia="宋体"/>
                <w:sz w:val="16"/>
              </w:rPr>
              <w:t>分值</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AA76A">
            <w:pPr>
              <w:jc w:val="center"/>
            </w:pPr>
            <w:r>
              <w:rPr>
                <w:rFonts w:ascii="宋体" w:hAnsi="宋体" w:eastAsia="宋体"/>
                <w:sz w:val="16"/>
              </w:rPr>
              <w:t>执行率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3358D3B3">
            <w:pPr>
              <w:jc w:val="center"/>
            </w:pPr>
            <w:r>
              <w:rPr>
                <w:rFonts w:ascii="宋体" w:hAnsi="宋体" w:eastAsia="宋体"/>
                <w:sz w:val="16"/>
              </w:rPr>
              <w:t>得分</w:t>
            </w:r>
          </w:p>
        </w:tc>
      </w:tr>
      <w:tr w14:paraId="0767D006">
        <w:tblPrEx>
          <w:tblCellMar>
            <w:top w:w="0" w:type="dxa"/>
            <w:left w:w="108" w:type="dxa"/>
            <w:bottom w:w="0" w:type="dxa"/>
            <w:right w:w="108" w:type="dxa"/>
          </w:tblCellMar>
        </w:tblPrEx>
        <w:trPr>
          <w:trHeight w:val="679" w:hRule="atLeast"/>
        </w:trPr>
        <w:tc>
          <w:tcPr>
            <w:tcW w:w="650" w:type="dxa"/>
            <w:vMerge w:val="continue"/>
            <w:tcBorders>
              <w:top w:val="single" w:color="auto" w:sz="10" w:space="0"/>
              <w:left w:val="single" w:color="auto" w:sz="10" w:space="0"/>
              <w:bottom w:val="single" w:color="auto" w:sz="10" w:space="0"/>
              <w:right w:val="single" w:color="auto" w:sz="10" w:space="0"/>
              <w:insideV w:val="single" w:sz="10" w:space="0"/>
            </w:tcBorders>
          </w:tcPr>
          <w:p w14:paraId="3450B290"/>
        </w:tc>
        <w:tc>
          <w:tcPr>
            <w:tcW w:w="12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E65D2">
            <w:pPr>
              <w:jc w:val="center"/>
            </w:pPr>
            <w:r>
              <w:rPr>
                <w:rFonts w:ascii="宋体" w:hAnsi="宋体" w:eastAsia="宋体"/>
                <w:sz w:val="16"/>
              </w:rPr>
              <w:t>年度资金总额</w:t>
            </w:r>
          </w:p>
        </w:tc>
        <w:tc>
          <w:tcPr>
            <w:tcW w:w="14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6B5BE">
            <w:pPr>
              <w:jc w:val="center"/>
            </w:pPr>
            <w:r>
              <w:rPr>
                <w:rFonts w:ascii="宋体" w:hAnsi="宋体" w:eastAsia="宋体"/>
                <w:sz w:val="16"/>
              </w:rPr>
              <w:t>53.06</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B5CB9">
            <w:pPr>
              <w:jc w:val="center"/>
            </w:pPr>
            <w:r>
              <w:rPr>
                <w:rFonts w:ascii="宋体" w:hAnsi="宋体" w:eastAsia="宋体"/>
                <w:sz w:val="16"/>
              </w:rPr>
              <w:t>41.82</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1F185">
            <w:pPr>
              <w:jc w:val="center"/>
            </w:pPr>
            <w:r>
              <w:rPr>
                <w:rFonts w:ascii="宋体" w:hAnsi="宋体" w:eastAsia="宋体"/>
                <w:sz w:val="16"/>
              </w:rPr>
              <w:t>23.64</w:t>
            </w:r>
          </w:p>
        </w:tc>
        <w:tc>
          <w:tcPr>
            <w:tcW w:w="13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D7C2E">
            <w:pPr>
              <w:jc w:val="center"/>
            </w:pPr>
            <w:r>
              <w:rPr>
                <w:rFonts w:ascii="宋体" w:hAnsi="宋体" w:eastAsia="宋体"/>
                <w:sz w:val="16"/>
              </w:rPr>
              <w:t>10</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635A4">
            <w:pPr>
              <w:jc w:val="center"/>
            </w:pPr>
            <w:r>
              <w:rPr>
                <w:rFonts w:ascii="宋体" w:hAnsi="宋体" w:eastAsia="宋体"/>
                <w:sz w:val="16"/>
              </w:rPr>
              <w:t>56.5%</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790B8ED8">
            <w:pPr>
              <w:jc w:val="center"/>
            </w:pPr>
            <w:r>
              <w:rPr>
                <w:rFonts w:ascii="宋体" w:hAnsi="宋体" w:eastAsia="宋体"/>
                <w:sz w:val="16"/>
              </w:rPr>
              <w:t>0.00分</w:t>
            </w:r>
          </w:p>
        </w:tc>
      </w:tr>
      <w:tr w14:paraId="4F048B06">
        <w:tblPrEx>
          <w:tblCellMar>
            <w:top w:w="0" w:type="dxa"/>
            <w:left w:w="108" w:type="dxa"/>
            <w:bottom w:w="0" w:type="dxa"/>
            <w:right w:w="108" w:type="dxa"/>
          </w:tblCellMar>
        </w:tblPrEx>
        <w:trPr>
          <w:trHeight w:val="679" w:hRule="atLeast"/>
        </w:trPr>
        <w:tc>
          <w:tcPr>
            <w:tcW w:w="650" w:type="dxa"/>
            <w:vMerge w:val="continue"/>
            <w:tcBorders>
              <w:top w:val="single" w:color="auto" w:sz="10" w:space="0"/>
              <w:left w:val="single" w:color="auto" w:sz="10" w:space="0"/>
              <w:bottom w:val="single" w:color="auto" w:sz="10" w:space="0"/>
              <w:right w:val="single" w:color="auto" w:sz="10" w:space="0"/>
              <w:insideV w:val="single" w:sz="10" w:space="0"/>
            </w:tcBorders>
          </w:tcPr>
          <w:p w14:paraId="325EBFC8"/>
        </w:tc>
        <w:tc>
          <w:tcPr>
            <w:tcW w:w="12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7BFE2">
            <w:pPr>
              <w:jc w:val="center"/>
            </w:pPr>
            <w:r>
              <w:rPr>
                <w:rFonts w:ascii="宋体" w:hAnsi="宋体" w:eastAsia="宋体"/>
                <w:sz w:val="16"/>
              </w:rPr>
              <w:t>其中：当年财政拨款</w:t>
            </w:r>
          </w:p>
        </w:tc>
        <w:tc>
          <w:tcPr>
            <w:tcW w:w="14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7F4F0">
            <w:pPr>
              <w:jc w:val="center"/>
            </w:pPr>
            <w:r>
              <w:rPr>
                <w:rFonts w:ascii="宋体" w:hAnsi="宋体" w:eastAsia="宋体"/>
                <w:sz w:val="16"/>
              </w:rPr>
              <w:t>53.06</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F44C4">
            <w:pPr>
              <w:jc w:val="center"/>
            </w:pPr>
            <w:r>
              <w:rPr>
                <w:rFonts w:ascii="宋体" w:hAnsi="宋体" w:eastAsia="宋体"/>
                <w:sz w:val="16"/>
              </w:rPr>
              <w:t>41.82</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E55DB">
            <w:pPr>
              <w:jc w:val="center"/>
            </w:pPr>
            <w:r>
              <w:rPr>
                <w:rFonts w:ascii="宋体" w:hAnsi="宋体" w:eastAsia="宋体"/>
                <w:sz w:val="16"/>
              </w:rPr>
              <w:t>23.64</w:t>
            </w:r>
          </w:p>
        </w:tc>
        <w:tc>
          <w:tcPr>
            <w:tcW w:w="13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86C0C">
            <w:pPr>
              <w:jc w:val="center"/>
            </w:pPr>
            <w:r>
              <w:rPr>
                <w:rFonts w:ascii="宋体" w:hAnsi="宋体" w:eastAsia="宋体"/>
                <w:sz w:val="16"/>
              </w:rPr>
              <w:t>—</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A1D67">
            <w:pPr>
              <w:jc w:val="center"/>
            </w:pPr>
            <w:r>
              <w:rPr>
                <w:rFonts w:ascii="宋体" w:hAnsi="宋体" w:eastAsia="宋体"/>
                <w:sz w:val="16"/>
              </w:rPr>
              <w:t>—</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72C0852D">
            <w:pPr>
              <w:jc w:val="center"/>
            </w:pPr>
            <w:r>
              <w:rPr>
                <w:rFonts w:ascii="宋体" w:hAnsi="宋体" w:eastAsia="宋体"/>
                <w:sz w:val="16"/>
              </w:rPr>
              <w:t>—</w:t>
            </w:r>
          </w:p>
        </w:tc>
      </w:tr>
      <w:tr w14:paraId="785471D1">
        <w:tblPrEx>
          <w:tblCellMar>
            <w:top w:w="0" w:type="dxa"/>
            <w:left w:w="108" w:type="dxa"/>
            <w:bottom w:w="0" w:type="dxa"/>
            <w:right w:w="108" w:type="dxa"/>
          </w:tblCellMar>
        </w:tblPrEx>
        <w:trPr>
          <w:trHeight w:val="352" w:hRule="atLeast"/>
        </w:trPr>
        <w:tc>
          <w:tcPr>
            <w:tcW w:w="650" w:type="dxa"/>
            <w:vMerge w:val="continue"/>
            <w:tcBorders>
              <w:top w:val="single" w:color="auto" w:sz="10" w:space="0"/>
              <w:left w:val="single" w:color="auto" w:sz="10" w:space="0"/>
              <w:bottom w:val="single" w:color="auto" w:sz="10" w:space="0"/>
              <w:right w:val="single" w:color="auto" w:sz="10" w:space="0"/>
              <w:insideV w:val="single" w:sz="10" w:space="0"/>
            </w:tcBorders>
          </w:tcPr>
          <w:p w14:paraId="2EAA31A9"/>
        </w:tc>
        <w:tc>
          <w:tcPr>
            <w:tcW w:w="12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86065">
            <w:pPr>
              <w:jc w:val="center"/>
            </w:pPr>
            <w:r>
              <w:rPr>
                <w:rFonts w:ascii="宋体" w:hAnsi="宋体" w:eastAsia="宋体"/>
                <w:sz w:val="16"/>
              </w:rPr>
              <w:t xml:space="preserve">  其他资金</w:t>
            </w:r>
          </w:p>
        </w:tc>
        <w:tc>
          <w:tcPr>
            <w:tcW w:w="14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C7E5C">
            <w:pPr>
              <w:jc w:val="center"/>
            </w:pPr>
            <w:r>
              <w:rPr>
                <w:rFonts w:ascii="宋体" w:hAnsi="宋体" w:eastAsia="宋体"/>
                <w:sz w:val="16"/>
              </w:rPr>
              <w:t>0.00</w:t>
            </w:r>
          </w:p>
        </w:tc>
        <w:tc>
          <w:tcPr>
            <w:tcW w:w="13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09FE6">
            <w:pPr>
              <w:jc w:val="center"/>
            </w:pPr>
            <w:r>
              <w:rPr>
                <w:rFonts w:ascii="宋体" w:hAnsi="宋体" w:eastAsia="宋体"/>
                <w:sz w:val="16"/>
              </w:rPr>
              <w:t>0.00</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15123">
            <w:pPr>
              <w:jc w:val="center"/>
            </w:pPr>
            <w:r>
              <w:rPr>
                <w:rFonts w:ascii="宋体" w:hAnsi="宋体" w:eastAsia="宋体"/>
                <w:sz w:val="16"/>
              </w:rPr>
              <w:t>0.00</w:t>
            </w:r>
          </w:p>
        </w:tc>
        <w:tc>
          <w:tcPr>
            <w:tcW w:w="13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50853">
            <w:pPr>
              <w:jc w:val="center"/>
            </w:pPr>
            <w:r>
              <w:rPr>
                <w:rFonts w:ascii="宋体" w:hAnsi="宋体" w:eastAsia="宋体"/>
                <w:sz w:val="16"/>
              </w:rPr>
              <w:t>—</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F1DF7">
            <w:pPr>
              <w:jc w:val="center"/>
            </w:pPr>
            <w:r>
              <w:rPr>
                <w:rFonts w:ascii="宋体" w:hAnsi="宋体" w:eastAsia="宋体"/>
                <w:sz w:val="16"/>
              </w:rPr>
              <w:t>—</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14:paraId="1E80D0D9">
            <w:pPr>
              <w:jc w:val="center"/>
            </w:pPr>
            <w:r>
              <w:rPr>
                <w:rFonts w:ascii="宋体" w:hAnsi="宋体" w:eastAsia="宋体"/>
                <w:sz w:val="16"/>
              </w:rPr>
              <w:t>—</w:t>
            </w:r>
          </w:p>
        </w:tc>
      </w:tr>
      <w:tr w14:paraId="160A04F6">
        <w:tblPrEx>
          <w:tblCellMar>
            <w:top w:w="0" w:type="dxa"/>
            <w:left w:w="108" w:type="dxa"/>
            <w:bottom w:w="0" w:type="dxa"/>
            <w:right w:w="108" w:type="dxa"/>
          </w:tblCellMar>
        </w:tblPrEx>
        <w:trPr>
          <w:trHeight w:val="352" w:hRule="atLeast"/>
        </w:trPr>
        <w:tc>
          <w:tcPr>
            <w:tcW w:w="65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A0689">
            <w:pPr>
              <w:jc w:val="center"/>
            </w:pPr>
            <w:r>
              <w:rPr>
                <w:rFonts w:ascii="宋体" w:hAnsi="宋体" w:eastAsia="宋体"/>
                <w:sz w:val="16"/>
              </w:rPr>
              <w:t>三、目标完成情况</w:t>
            </w:r>
          </w:p>
        </w:tc>
        <w:tc>
          <w:tcPr>
            <w:tcW w:w="47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FC08C4">
            <w:pPr>
              <w:jc w:val="center"/>
            </w:pPr>
            <w:r>
              <w:rPr>
                <w:rFonts w:ascii="宋体" w:hAnsi="宋体" w:eastAsia="宋体"/>
                <w:sz w:val="16"/>
              </w:rPr>
              <w:t>预期目标</w:t>
            </w:r>
          </w:p>
        </w:tc>
        <w:tc>
          <w:tcPr>
            <w:tcW w:w="40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310775">
            <w:pPr>
              <w:jc w:val="center"/>
            </w:pPr>
            <w:r>
              <w:rPr>
                <w:rFonts w:ascii="宋体" w:hAnsi="宋体" w:eastAsia="宋体"/>
                <w:sz w:val="16"/>
              </w:rPr>
              <w:t>实际完成情况</w:t>
            </w:r>
          </w:p>
        </w:tc>
      </w:tr>
      <w:tr w14:paraId="0E306B14">
        <w:tblPrEx>
          <w:tblCellMar>
            <w:top w:w="0" w:type="dxa"/>
            <w:left w:w="108" w:type="dxa"/>
            <w:bottom w:w="0" w:type="dxa"/>
            <w:right w:w="108" w:type="dxa"/>
          </w:tblCellMar>
        </w:tblPrEx>
        <w:trPr>
          <w:trHeight w:val="2311" w:hRule="atLeast"/>
        </w:trPr>
        <w:tc>
          <w:tcPr>
            <w:tcW w:w="650" w:type="dxa"/>
            <w:vMerge w:val="continue"/>
            <w:tcBorders>
              <w:top w:val="single" w:color="auto" w:sz="10" w:space="0"/>
              <w:left w:val="single" w:color="auto" w:sz="10" w:space="0"/>
              <w:bottom w:val="single" w:color="auto" w:sz="10" w:space="0"/>
              <w:right w:val="single" w:color="auto" w:sz="10" w:space="0"/>
              <w:insideV w:val="single" w:sz="10" w:space="0"/>
            </w:tcBorders>
          </w:tcPr>
          <w:p w14:paraId="4911146F"/>
        </w:tc>
        <w:tc>
          <w:tcPr>
            <w:tcW w:w="47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3EC329">
            <w:pPr>
              <w:jc w:val="both"/>
            </w:pPr>
            <w:r>
              <w:rPr>
                <w:rFonts w:ascii="宋体" w:hAnsi="宋体" w:eastAsia="宋体"/>
                <w:sz w:val="16"/>
              </w:rPr>
              <w:t>根据三定方案工作职能，强化政研改革调查工作协调指导，抓好改革任务督察问效，确保各项举措在喀什落地生根，该项目用于保障政研改革调研业务相关工作支出，主要保障办公设备的购置、行政运行、干部外出调研和改革督察指导、学习、交通、培训等方面支出。为顺利完成2024年政研改革业务各项工作任务提供保障，积极推进本地经济社会发展改革，为地委重要决策部署提供依据，全面实现喀什改革发展工作的方针政策和决策部署的目标。</w:t>
            </w:r>
          </w:p>
        </w:tc>
        <w:tc>
          <w:tcPr>
            <w:tcW w:w="400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750725">
            <w:pPr>
              <w:jc w:val="both"/>
            </w:pPr>
            <w:r>
              <w:rPr>
                <w:rFonts w:ascii="宋体" w:hAnsi="宋体" w:eastAsia="宋体"/>
                <w:sz w:val="16"/>
              </w:rPr>
              <w:t>地委政研室政研改革调研业务保障项目主要包括保障单位内部行政运行、干部外出调研、改革督察、培训等各方面支出，其中</w:t>
            </w:r>
            <w:r>
              <w:rPr>
                <w:rFonts w:hint="eastAsia" w:ascii="宋体" w:hAnsi="宋体"/>
                <w:sz w:val="16"/>
                <w:lang w:eastAsia="zh-CN"/>
              </w:rPr>
              <w:t>支付</w:t>
            </w:r>
            <w:r>
              <w:rPr>
                <w:rFonts w:ascii="宋体" w:hAnsi="宋体" w:eastAsia="宋体"/>
                <w:sz w:val="16"/>
              </w:rPr>
              <w:t>差旅费12.23万元、交通保障5.5万元、办公费5万元、邮电费0.2万元等，有效保障了政研改革调研业务相关工作支出，为更好履行综合文稿服务、调查研究、全面深化改革提供了坚实的基础，为地委重要决策部署提供了有力参考依据。</w:t>
            </w:r>
          </w:p>
        </w:tc>
      </w:tr>
      <w:tr w14:paraId="2929285C">
        <w:tblPrEx>
          <w:tblCellMar>
            <w:top w:w="0" w:type="dxa"/>
            <w:left w:w="108" w:type="dxa"/>
            <w:bottom w:w="0" w:type="dxa"/>
            <w:right w:w="108" w:type="dxa"/>
          </w:tblCellMar>
        </w:tblPrEx>
        <w:trPr>
          <w:trHeight w:val="1005" w:hRule="atLeast"/>
        </w:trPr>
        <w:tc>
          <w:tcPr>
            <w:tcW w:w="650" w:type="dxa"/>
            <w:tcBorders>
              <w:top w:val="single" w:color="auto" w:sz="10" w:space="0"/>
              <w:left w:val="single" w:color="auto" w:sz="10" w:space="0"/>
              <w:bottom w:val="single" w:color="auto" w:sz="10" w:space="0"/>
              <w:right w:val="single" w:color="auto" w:sz="10" w:space="0"/>
              <w:insideV w:val="single" w:sz="10" w:space="0"/>
            </w:tcBorders>
          </w:tcPr>
          <w:p w14:paraId="14F7C3AD"/>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43F59700">
            <w:pPr>
              <w:jc w:val="center"/>
            </w:pPr>
            <w:r>
              <w:rPr>
                <w:rFonts w:ascii="宋体" w:hAnsi="宋体" w:eastAsia="宋体"/>
                <w:sz w:val="16"/>
              </w:rPr>
              <w:t>一级指标</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3F6A4A3B">
            <w:pPr>
              <w:jc w:val="center"/>
            </w:pPr>
            <w:r>
              <w:rPr>
                <w:rFonts w:ascii="宋体" w:hAnsi="宋体" w:eastAsia="宋体"/>
                <w:sz w:val="16"/>
              </w:rPr>
              <w:t>二级指标</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0486A6D5">
            <w:pPr>
              <w:jc w:val="center"/>
            </w:pPr>
            <w:r>
              <w:rPr>
                <w:rFonts w:ascii="宋体" w:hAnsi="宋体" w:eastAsia="宋体"/>
                <w:sz w:val="16"/>
              </w:rPr>
              <w:t>三级指标</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14056E7D">
            <w:pPr>
              <w:jc w:val="center"/>
            </w:pPr>
            <w:r>
              <w:rPr>
                <w:rFonts w:ascii="宋体" w:hAnsi="宋体" w:eastAsia="宋体"/>
                <w:sz w:val="16"/>
              </w:rPr>
              <w:t>年度指标值</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35819607">
            <w:pPr>
              <w:jc w:val="center"/>
            </w:pPr>
            <w:r>
              <w:rPr>
                <w:rFonts w:ascii="宋体" w:hAnsi="宋体" w:eastAsia="宋体"/>
                <w:sz w:val="16"/>
              </w:rPr>
              <w:t>指标值设定依据</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2D62ACA9">
            <w:pPr>
              <w:jc w:val="center"/>
            </w:pPr>
            <w:r>
              <w:rPr>
                <w:rFonts w:ascii="宋体" w:hAnsi="宋体" w:eastAsia="宋体"/>
                <w:sz w:val="16"/>
              </w:rPr>
              <w:t>上年完成情况</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3563DADB">
            <w:pPr>
              <w:jc w:val="center"/>
            </w:pPr>
            <w:r>
              <w:rPr>
                <w:rFonts w:ascii="宋体" w:hAnsi="宋体" w:eastAsia="宋体"/>
                <w:sz w:val="16"/>
              </w:rPr>
              <w:t>权重</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719A10F5">
            <w:pPr>
              <w:jc w:val="center"/>
            </w:pPr>
            <w:r>
              <w:rPr>
                <w:rFonts w:ascii="宋体" w:hAnsi="宋体" w:eastAsia="宋体"/>
                <w:sz w:val="16"/>
              </w:rPr>
              <w:t>赋分规则</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2434B7FB">
            <w:pPr>
              <w:jc w:val="center"/>
            </w:pPr>
            <w:r>
              <w:rPr>
                <w:rFonts w:ascii="宋体" w:hAnsi="宋体" w:eastAsia="宋体"/>
                <w:sz w:val="16"/>
              </w:rPr>
              <w:t>佐证资料</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57915D07">
            <w:pPr>
              <w:jc w:val="center"/>
            </w:pPr>
            <w:r>
              <w:rPr>
                <w:rFonts w:ascii="宋体" w:hAnsi="宋体" w:eastAsia="宋体"/>
                <w:sz w:val="16"/>
              </w:rPr>
              <w:t>实际完成值</w:t>
            </w:r>
          </w:p>
        </w:tc>
        <w:tc>
          <w:tcPr>
            <w:tcW w:w="432" w:type="dxa"/>
            <w:tcBorders>
              <w:top w:val="single" w:color="auto" w:sz="10" w:space="0"/>
              <w:left w:val="single" w:color="auto" w:sz="10" w:space="0"/>
              <w:bottom w:val="single" w:color="auto" w:sz="10" w:space="0"/>
              <w:right w:val="single" w:color="auto" w:sz="10" w:space="0"/>
              <w:insideV w:val="single" w:sz="10" w:space="0"/>
            </w:tcBorders>
            <w:vAlign w:val="center"/>
          </w:tcPr>
          <w:p w14:paraId="6C33D430">
            <w:pPr>
              <w:jc w:val="center"/>
            </w:pPr>
            <w:r>
              <w:rPr>
                <w:rFonts w:ascii="宋体" w:hAnsi="宋体" w:eastAsia="宋体"/>
                <w:sz w:val="16"/>
              </w:rPr>
              <w:t>得分</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CA4C2">
            <w:pPr>
              <w:jc w:val="center"/>
            </w:pPr>
            <w:r>
              <w:rPr>
                <w:rFonts w:ascii="宋体" w:hAnsi="宋体" w:eastAsia="宋体"/>
                <w:sz w:val="16"/>
              </w:rPr>
              <w:t>偏差原因分析及改进措施</w:t>
            </w:r>
          </w:p>
        </w:tc>
      </w:tr>
      <w:tr w14:paraId="73AC50DB">
        <w:tblPrEx>
          <w:tblCellMar>
            <w:top w:w="0" w:type="dxa"/>
            <w:left w:w="108" w:type="dxa"/>
            <w:bottom w:w="0" w:type="dxa"/>
            <w:right w:w="108" w:type="dxa"/>
          </w:tblCellMar>
        </w:tblPrEx>
        <w:trPr>
          <w:trHeight w:val="679" w:hRule="atLeast"/>
        </w:trPr>
        <w:tc>
          <w:tcPr>
            <w:tcW w:w="65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60AB16">
            <w:pPr>
              <w:jc w:val="center"/>
            </w:pPr>
            <w:r>
              <w:rPr>
                <w:rFonts w:ascii="宋体" w:hAnsi="宋体" w:eastAsia="宋体"/>
                <w:sz w:val="16"/>
              </w:rPr>
              <w:t>年度绩效指标完成情况</w:t>
            </w:r>
          </w:p>
        </w:tc>
        <w:tc>
          <w:tcPr>
            <w:tcW w:w="64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8C804">
            <w:pPr>
              <w:jc w:val="center"/>
            </w:pPr>
            <w:r>
              <w:rPr>
                <w:rFonts w:ascii="宋体" w:hAnsi="宋体" w:eastAsia="宋体"/>
                <w:sz w:val="16"/>
              </w:rPr>
              <w:t>产出指标</w:t>
            </w:r>
          </w:p>
        </w:tc>
        <w:tc>
          <w:tcPr>
            <w:tcW w:w="65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881A2">
            <w:pPr>
              <w:jc w:val="center"/>
            </w:pPr>
            <w:r>
              <w:rPr>
                <w:rFonts w:ascii="宋体" w:hAnsi="宋体" w:eastAsia="宋体"/>
                <w:sz w:val="16"/>
              </w:rPr>
              <w:t>数量指标</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56D11111">
            <w:pPr>
              <w:jc w:val="center"/>
            </w:pPr>
            <w:r>
              <w:rPr>
                <w:rFonts w:ascii="宋体" w:hAnsi="宋体" w:eastAsia="宋体"/>
                <w:sz w:val="16"/>
              </w:rPr>
              <w:t>业务保障种类</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50223324">
            <w:pPr>
              <w:jc w:val="center"/>
            </w:pPr>
            <w:r>
              <w:rPr>
                <w:rFonts w:ascii="宋体" w:hAnsi="宋体" w:eastAsia="宋体"/>
                <w:sz w:val="16"/>
              </w:rPr>
              <w:t>=2类</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5D46900D">
            <w:pPr>
              <w:jc w:val="center"/>
            </w:pPr>
            <w:r>
              <w:rPr>
                <w:rFonts w:ascii="宋体" w:hAnsi="宋体" w:eastAsia="宋体"/>
                <w:sz w:val="16"/>
              </w:rPr>
              <w:t>计划标准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3AC4F706">
            <w:pPr>
              <w:jc w:val="center"/>
            </w:pPr>
            <w:r>
              <w:rPr>
                <w:rFonts w:ascii="宋体" w:hAnsi="宋体" w:eastAsia="宋体"/>
                <w:sz w:val="16"/>
              </w:rPr>
              <w:t>2类</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64F92C12">
            <w:pPr>
              <w:jc w:val="center"/>
            </w:pPr>
            <w:r>
              <w:rPr>
                <w:rFonts w:ascii="宋体" w:hAnsi="宋体" w:eastAsia="宋体"/>
                <w:sz w:val="16"/>
              </w:rPr>
              <w:t>10</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00CED647">
            <w:pPr>
              <w:jc w:val="center"/>
            </w:pPr>
            <w:r>
              <w:rPr>
                <w:rFonts w:ascii="宋体" w:hAnsi="宋体" w:eastAsia="宋体"/>
                <w:sz w:val="16"/>
              </w:rPr>
              <w:t>直接赋分</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24872C49">
            <w:pPr>
              <w:jc w:val="center"/>
            </w:pPr>
            <w:r>
              <w:rPr>
                <w:rFonts w:ascii="宋体" w:hAnsi="宋体" w:eastAsia="宋体"/>
                <w:sz w:val="16"/>
              </w:rPr>
              <w:t>工作资料</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69CFEE27">
            <w:pPr>
              <w:jc w:val="center"/>
            </w:pPr>
            <w:r>
              <w:rPr>
                <w:rFonts w:ascii="宋体" w:hAnsi="宋体" w:eastAsia="宋体"/>
                <w:sz w:val="16"/>
              </w:rPr>
              <w:t>=2类</w:t>
            </w:r>
          </w:p>
        </w:tc>
        <w:tc>
          <w:tcPr>
            <w:tcW w:w="432" w:type="dxa"/>
            <w:tcBorders>
              <w:top w:val="single" w:color="auto" w:sz="10" w:space="0"/>
              <w:left w:val="single" w:color="auto" w:sz="10" w:space="0"/>
              <w:bottom w:val="single" w:color="auto" w:sz="10" w:space="0"/>
              <w:right w:val="single" w:color="auto" w:sz="10" w:space="0"/>
              <w:insideV w:val="single" w:sz="10" w:space="0"/>
            </w:tcBorders>
            <w:vAlign w:val="center"/>
          </w:tcPr>
          <w:p w14:paraId="38C7CDAE">
            <w:pPr>
              <w:jc w:val="center"/>
            </w:pPr>
            <w:r>
              <w:rPr>
                <w:rFonts w:ascii="宋体" w:hAnsi="宋体" w:eastAsia="宋体"/>
                <w:sz w:val="16"/>
              </w:rPr>
              <w:t>10</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81AE0">
            <w:pPr>
              <w:jc w:val="center"/>
            </w:pPr>
          </w:p>
        </w:tc>
      </w:tr>
      <w:tr w14:paraId="3F0894AB">
        <w:tblPrEx>
          <w:tblCellMar>
            <w:top w:w="0" w:type="dxa"/>
            <w:left w:w="108" w:type="dxa"/>
            <w:bottom w:w="0" w:type="dxa"/>
            <w:right w:w="108" w:type="dxa"/>
          </w:tblCellMar>
        </w:tblPrEx>
        <w:trPr>
          <w:trHeight w:val="679" w:hRule="atLeast"/>
        </w:trPr>
        <w:tc>
          <w:tcPr>
            <w:tcW w:w="650" w:type="dxa"/>
            <w:vMerge w:val="continue"/>
            <w:tcBorders>
              <w:top w:val="single" w:color="auto" w:sz="10" w:space="0"/>
              <w:left w:val="single" w:color="auto" w:sz="10" w:space="0"/>
              <w:bottom w:val="single" w:color="auto" w:sz="10" w:space="0"/>
              <w:right w:val="single" w:color="auto" w:sz="10" w:space="0"/>
              <w:insideV w:val="single" w:sz="10" w:space="0"/>
            </w:tcBorders>
          </w:tcPr>
          <w:p w14:paraId="3C1FDD19"/>
        </w:tc>
        <w:tc>
          <w:tcPr>
            <w:tcW w:w="648" w:type="dxa"/>
            <w:vMerge w:val="continue"/>
            <w:tcBorders>
              <w:top w:val="single" w:color="auto" w:sz="10" w:space="0"/>
              <w:left w:val="single" w:color="auto" w:sz="10" w:space="0"/>
              <w:bottom w:val="single" w:color="auto" w:sz="10" w:space="0"/>
              <w:right w:val="single" w:color="auto" w:sz="10" w:space="0"/>
              <w:insideV w:val="single" w:sz="10" w:space="0"/>
            </w:tcBorders>
          </w:tcPr>
          <w:p w14:paraId="48D0B2DB"/>
        </w:tc>
        <w:tc>
          <w:tcPr>
            <w:tcW w:w="650" w:type="dxa"/>
            <w:vMerge w:val="continue"/>
            <w:tcBorders>
              <w:top w:val="single" w:color="auto" w:sz="10" w:space="0"/>
              <w:left w:val="single" w:color="auto" w:sz="10" w:space="0"/>
              <w:bottom w:val="single" w:color="auto" w:sz="10" w:space="0"/>
              <w:right w:val="single" w:color="auto" w:sz="10" w:space="0"/>
              <w:insideV w:val="single" w:sz="10" w:space="0"/>
            </w:tcBorders>
          </w:tcPr>
          <w:p w14:paraId="3FBAB904"/>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5062019D">
            <w:pPr>
              <w:jc w:val="center"/>
            </w:pPr>
            <w:r>
              <w:rPr>
                <w:rFonts w:ascii="宋体" w:hAnsi="宋体" w:eastAsia="宋体"/>
                <w:sz w:val="16"/>
              </w:rPr>
              <w:t>业务保障周期</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193A23E7">
            <w:pPr>
              <w:jc w:val="center"/>
            </w:pPr>
            <w:r>
              <w:rPr>
                <w:rFonts w:ascii="宋体" w:hAnsi="宋体" w:eastAsia="宋体"/>
                <w:sz w:val="16"/>
              </w:rPr>
              <w:t>=1年</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086E7FD3">
            <w:pPr>
              <w:jc w:val="center"/>
            </w:pPr>
            <w:r>
              <w:rPr>
                <w:rFonts w:ascii="宋体" w:hAnsi="宋体" w:eastAsia="宋体"/>
                <w:sz w:val="16"/>
              </w:rPr>
              <w:t>计划标准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202098A2">
            <w:pPr>
              <w:jc w:val="center"/>
            </w:pPr>
            <w:r>
              <w:rPr>
                <w:rFonts w:ascii="宋体" w:hAnsi="宋体" w:eastAsia="宋体"/>
                <w:sz w:val="16"/>
              </w:rPr>
              <w:t>=1年</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1BB865A5">
            <w:pPr>
              <w:jc w:val="center"/>
            </w:pPr>
            <w:r>
              <w:rPr>
                <w:rFonts w:ascii="宋体" w:hAnsi="宋体" w:eastAsia="宋体"/>
                <w:sz w:val="16"/>
              </w:rPr>
              <w:t>10</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1DB896CF">
            <w:pPr>
              <w:jc w:val="center"/>
            </w:pPr>
            <w:r>
              <w:rPr>
                <w:rFonts w:ascii="宋体" w:hAnsi="宋体" w:eastAsia="宋体"/>
                <w:sz w:val="16"/>
              </w:rPr>
              <w:t>直接赋分</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3A93A07A">
            <w:pPr>
              <w:jc w:val="center"/>
            </w:pPr>
            <w:r>
              <w:rPr>
                <w:rFonts w:ascii="宋体" w:hAnsi="宋体" w:eastAsia="宋体"/>
                <w:sz w:val="16"/>
              </w:rPr>
              <w:t>工作资料</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32D5ADE8">
            <w:pPr>
              <w:jc w:val="center"/>
            </w:pPr>
            <w:r>
              <w:rPr>
                <w:rFonts w:ascii="宋体" w:hAnsi="宋体" w:eastAsia="宋体"/>
                <w:sz w:val="16"/>
              </w:rPr>
              <w:t>=1年</w:t>
            </w:r>
          </w:p>
        </w:tc>
        <w:tc>
          <w:tcPr>
            <w:tcW w:w="432" w:type="dxa"/>
            <w:tcBorders>
              <w:top w:val="single" w:color="auto" w:sz="10" w:space="0"/>
              <w:left w:val="single" w:color="auto" w:sz="10" w:space="0"/>
              <w:bottom w:val="single" w:color="auto" w:sz="10" w:space="0"/>
              <w:right w:val="single" w:color="auto" w:sz="10" w:space="0"/>
              <w:insideV w:val="single" w:sz="10" w:space="0"/>
            </w:tcBorders>
            <w:vAlign w:val="center"/>
          </w:tcPr>
          <w:p w14:paraId="197828BA">
            <w:pPr>
              <w:jc w:val="center"/>
            </w:pPr>
            <w:r>
              <w:rPr>
                <w:rFonts w:ascii="宋体" w:hAnsi="宋体" w:eastAsia="宋体"/>
                <w:sz w:val="16"/>
              </w:rPr>
              <w:t>10</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A9B83">
            <w:pPr>
              <w:jc w:val="center"/>
            </w:pPr>
          </w:p>
        </w:tc>
      </w:tr>
      <w:tr w14:paraId="3D8B20EB">
        <w:tblPrEx>
          <w:tblCellMar>
            <w:top w:w="0" w:type="dxa"/>
            <w:left w:w="108" w:type="dxa"/>
            <w:bottom w:w="0" w:type="dxa"/>
            <w:right w:w="108" w:type="dxa"/>
          </w:tblCellMar>
        </w:tblPrEx>
        <w:trPr>
          <w:trHeight w:val="1005" w:hRule="atLeast"/>
        </w:trPr>
        <w:tc>
          <w:tcPr>
            <w:tcW w:w="650" w:type="dxa"/>
            <w:vMerge w:val="continue"/>
            <w:tcBorders>
              <w:top w:val="single" w:color="auto" w:sz="10" w:space="0"/>
              <w:left w:val="single" w:color="auto" w:sz="10" w:space="0"/>
              <w:bottom w:val="single" w:color="auto" w:sz="10" w:space="0"/>
              <w:right w:val="single" w:color="auto" w:sz="10" w:space="0"/>
              <w:insideV w:val="single" w:sz="10" w:space="0"/>
            </w:tcBorders>
          </w:tcPr>
          <w:p w14:paraId="1D7F3B0A"/>
        </w:tc>
        <w:tc>
          <w:tcPr>
            <w:tcW w:w="648" w:type="dxa"/>
            <w:vMerge w:val="continue"/>
            <w:tcBorders>
              <w:top w:val="single" w:color="auto" w:sz="10" w:space="0"/>
              <w:left w:val="single" w:color="auto" w:sz="10" w:space="0"/>
              <w:bottom w:val="single" w:color="auto" w:sz="10" w:space="0"/>
              <w:right w:val="single" w:color="auto" w:sz="10" w:space="0"/>
              <w:insideV w:val="single" w:sz="10" w:space="0"/>
            </w:tcBorders>
          </w:tcPr>
          <w:p w14:paraId="6DE9FCA9"/>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49C5CF6A">
            <w:pPr>
              <w:jc w:val="center"/>
            </w:pPr>
            <w:r>
              <w:rPr>
                <w:rFonts w:ascii="宋体" w:hAnsi="宋体" w:eastAsia="宋体"/>
                <w:sz w:val="16"/>
              </w:rPr>
              <w:t>质量指标</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140D23AB">
            <w:pPr>
              <w:jc w:val="center"/>
            </w:pPr>
            <w:r>
              <w:rPr>
                <w:rFonts w:ascii="宋体" w:hAnsi="宋体" w:eastAsia="宋体"/>
                <w:sz w:val="16"/>
              </w:rPr>
              <w:t>业务保障支出采购率</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55EA7F9C">
            <w:pPr>
              <w:jc w:val="center"/>
            </w:pPr>
            <w:r>
              <w:rPr>
                <w:rFonts w:ascii="宋体" w:hAnsi="宋体" w:eastAsia="宋体"/>
                <w:sz w:val="16"/>
              </w:rPr>
              <w:t>=100%</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4F4FC6AE">
            <w:pPr>
              <w:jc w:val="center"/>
            </w:pPr>
            <w:r>
              <w:rPr>
                <w:rFonts w:ascii="宋体" w:hAnsi="宋体" w:eastAsia="宋体"/>
                <w:sz w:val="16"/>
              </w:rPr>
              <w:t>历史标准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69DAE265">
            <w:pPr>
              <w:jc w:val="center"/>
            </w:pPr>
            <w:r>
              <w:rPr>
                <w:rFonts w:ascii="宋体" w:hAnsi="宋体" w:eastAsia="宋体"/>
                <w:sz w:val="16"/>
              </w:rPr>
              <w:t>100%</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5D740352">
            <w:pPr>
              <w:jc w:val="center"/>
            </w:pPr>
            <w:r>
              <w:rPr>
                <w:rFonts w:ascii="宋体" w:hAnsi="宋体" w:eastAsia="宋体"/>
                <w:sz w:val="16"/>
              </w:rPr>
              <w:t>10</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5C64FD47">
            <w:pPr>
              <w:jc w:val="center"/>
            </w:pPr>
            <w:r>
              <w:rPr>
                <w:rFonts w:ascii="宋体" w:hAnsi="宋体" w:eastAsia="宋体"/>
                <w:sz w:val="16"/>
              </w:rPr>
              <w:t>直接赋分</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5041E7B0">
            <w:pPr>
              <w:jc w:val="center"/>
            </w:pPr>
            <w:r>
              <w:rPr>
                <w:rFonts w:ascii="宋体" w:hAnsi="宋体" w:eastAsia="宋体"/>
                <w:sz w:val="16"/>
              </w:rPr>
              <w:t>工作资料</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554C1475">
            <w:pPr>
              <w:jc w:val="center"/>
            </w:pPr>
            <w:r>
              <w:rPr>
                <w:rFonts w:ascii="宋体" w:hAnsi="宋体" w:eastAsia="宋体"/>
                <w:sz w:val="16"/>
              </w:rPr>
              <w:t>=100%</w:t>
            </w:r>
          </w:p>
        </w:tc>
        <w:tc>
          <w:tcPr>
            <w:tcW w:w="432" w:type="dxa"/>
            <w:tcBorders>
              <w:top w:val="single" w:color="auto" w:sz="10" w:space="0"/>
              <w:left w:val="single" w:color="auto" w:sz="10" w:space="0"/>
              <w:bottom w:val="single" w:color="auto" w:sz="10" w:space="0"/>
              <w:right w:val="single" w:color="auto" w:sz="10" w:space="0"/>
              <w:insideV w:val="single" w:sz="10" w:space="0"/>
            </w:tcBorders>
            <w:vAlign w:val="center"/>
          </w:tcPr>
          <w:p w14:paraId="36EDE896">
            <w:pPr>
              <w:jc w:val="center"/>
            </w:pPr>
            <w:r>
              <w:rPr>
                <w:rFonts w:ascii="宋体" w:hAnsi="宋体" w:eastAsia="宋体"/>
                <w:sz w:val="16"/>
              </w:rPr>
              <w:t>10</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2932D">
            <w:pPr>
              <w:jc w:val="center"/>
            </w:pPr>
          </w:p>
        </w:tc>
      </w:tr>
      <w:tr w14:paraId="6A7F21D9">
        <w:tblPrEx>
          <w:tblCellMar>
            <w:top w:w="0" w:type="dxa"/>
            <w:left w:w="108" w:type="dxa"/>
            <w:bottom w:w="0" w:type="dxa"/>
            <w:right w:w="108" w:type="dxa"/>
          </w:tblCellMar>
        </w:tblPrEx>
        <w:trPr>
          <w:trHeight w:val="1005" w:hRule="atLeast"/>
        </w:trPr>
        <w:tc>
          <w:tcPr>
            <w:tcW w:w="650" w:type="dxa"/>
            <w:vMerge w:val="continue"/>
            <w:tcBorders>
              <w:top w:val="single" w:color="auto" w:sz="10" w:space="0"/>
              <w:left w:val="single" w:color="auto" w:sz="10" w:space="0"/>
              <w:bottom w:val="single" w:color="auto" w:sz="10" w:space="0"/>
              <w:right w:val="single" w:color="auto" w:sz="10" w:space="0"/>
              <w:insideV w:val="single" w:sz="10" w:space="0"/>
            </w:tcBorders>
          </w:tcPr>
          <w:p w14:paraId="02B04157"/>
        </w:tc>
        <w:tc>
          <w:tcPr>
            <w:tcW w:w="648" w:type="dxa"/>
            <w:vMerge w:val="continue"/>
            <w:tcBorders>
              <w:top w:val="single" w:color="auto" w:sz="10" w:space="0"/>
              <w:left w:val="single" w:color="auto" w:sz="10" w:space="0"/>
              <w:bottom w:val="single" w:color="auto" w:sz="10" w:space="0"/>
              <w:right w:val="single" w:color="auto" w:sz="10" w:space="0"/>
              <w:insideV w:val="single" w:sz="10" w:space="0"/>
            </w:tcBorders>
          </w:tcPr>
          <w:p w14:paraId="7BF0A6D2"/>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3D2B7C5A">
            <w:pPr>
              <w:jc w:val="center"/>
            </w:pPr>
            <w:r>
              <w:rPr>
                <w:rFonts w:ascii="宋体" w:hAnsi="宋体" w:eastAsia="宋体"/>
                <w:sz w:val="16"/>
              </w:rPr>
              <w:t>时效指标</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043E0D05">
            <w:pPr>
              <w:jc w:val="center"/>
            </w:pPr>
            <w:r>
              <w:rPr>
                <w:rFonts w:ascii="宋体" w:hAnsi="宋体" w:eastAsia="宋体"/>
                <w:sz w:val="16"/>
              </w:rPr>
              <w:t>项目完成时间</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1AD90ACF">
            <w:pPr>
              <w:jc w:val="center"/>
            </w:pPr>
            <w:r>
              <w:rPr>
                <w:rFonts w:ascii="宋体" w:hAnsi="宋体" w:eastAsia="宋体"/>
                <w:sz w:val="16"/>
              </w:rPr>
              <w:t>=2024年12月25日前</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06B5D978">
            <w:pPr>
              <w:jc w:val="center"/>
            </w:pPr>
            <w:r>
              <w:rPr>
                <w:rFonts w:ascii="宋体" w:hAnsi="宋体" w:eastAsia="宋体"/>
                <w:sz w:val="16"/>
              </w:rPr>
              <w:t>计划标准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2665F155">
            <w:pPr>
              <w:jc w:val="center"/>
            </w:pPr>
            <w:r>
              <w:rPr>
                <w:rFonts w:ascii="宋体" w:hAnsi="宋体" w:eastAsia="宋体"/>
                <w:sz w:val="16"/>
              </w:rPr>
              <w:t>新增</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530C0C83">
            <w:pPr>
              <w:jc w:val="center"/>
            </w:pPr>
            <w:r>
              <w:rPr>
                <w:rFonts w:ascii="宋体" w:hAnsi="宋体" w:eastAsia="宋体"/>
                <w:sz w:val="16"/>
              </w:rPr>
              <w:t>10</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7552DA2B">
            <w:pPr>
              <w:jc w:val="center"/>
            </w:pPr>
            <w:r>
              <w:rPr>
                <w:rFonts w:ascii="宋体" w:hAnsi="宋体" w:eastAsia="宋体"/>
                <w:sz w:val="16"/>
              </w:rPr>
              <w:t>按照完成比例赋分</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037E217B">
            <w:pPr>
              <w:jc w:val="center"/>
            </w:pPr>
            <w:r>
              <w:rPr>
                <w:rFonts w:ascii="宋体" w:hAnsi="宋体" w:eastAsia="宋体"/>
                <w:sz w:val="16"/>
              </w:rPr>
              <w:t>工作资料</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4DAF2E79">
            <w:pPr>
              <w:jc w:val="center"/>
            </w:pPr>
            <w:r>
              <w:rPr>
                <w:rFonts w:ascii="宋体" w:hAnsi="宋体" w:eastAsia="宋体"/>
                <w:sz w:val="16"/>
              </w:rPr>
              <w:t>=2024年12月25日前</w:t>
            </w:r>
          </w:p>
        </w:tc>
        <w:tc>
          <w:tcPr>
            <w:tcW w:w="432" w:type="dxa"/>
            <w:tcBorders>
              <w:top w:val="single" w:color="auto" w:sz="10" w:space="0"/>
              <w:left w:val="single" w:color="auto" w:sz="10" w:space="0"/>
              <w:bottom w:val="single" w:color="auto" w:sz="10" w:space="0"/>
              <w:right w:val="single" w:color="auto" w:sz="10" w:space="0"/>
              <w:insideV w:val="single" w:sz="10" w:space="0"/>
            </w:tcBorders>
            <w:vAlign w:val="center"/>
          </w:tcPr>
          <w:p w14:paraId="737A6641">
            <w:pPr>
              <w:jc w:val="center"/>
            </w:pPr>
            <w:r>
              <w:rPr>
                <w:rFonts w:ascii="宋体" w:hAnsi="宋体" w:eastAsia="宋体"/>
                <w:sz w:val="16"/>
              </w:rPr>
              <w:t>10</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1A86B">
            <w:pPr>
              <w:jc w:val="center"/>
            </w:pPr>
          </w:p>
        </w:tc>
      </w:tr>
      <w:tr w14:paraId="680A0A94">
        <w:tblPrEx>
          <w:tblCellMar>
            <w:top w:w="0" w:type="dxa"/>
            <w:left w:w="108" w:type="dxa"/>
            <w:bottom w:w="0" w:type="dxa"/>
            <w:right w:w="108" w:type="dxa"/>
          </w:tblCellMar>
        </w:tblPrEx>
        <w:trPr>
          <w:trHeight w:val="1658" w:hRule="atLeast"/>
        </w:trPr>
        <w:tc>
          <w:tcPr>
            <w:tcW w:w="650" w:type="dxa"/>
            <w:vMerge w:val="continue"/>
            <w:tcBorders>
              <w:top w:val="single" w:color="auto" w:sz="10" w:space="0"/>
              <w:left w:val="single" w:color="auto" w:sz="10" w:space="0"/>
              <w:bottom w:val="single" w:color="auto" w:sz="10" w:space="0"/>
              <w:right w:val="single" w:color="auto" w:sz="10" w:space="0"/>
              <w:insideV w:val="single" w:sz="10" w:space="0"/>
            </w:tcBorders>
          </w:tcPr>
          <w:p w14:paraId="4F2169D8"/>
        </w:tc>
        <w:tc>
          <w:tcPr>
            <w:tcW w:w="64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2CEE7">
            <w:pPr>
              <w:jc w:val="center"/>
            </w:pPr>
            <w:r>
              <w:rPr>
                <w:rFonts w:ascii="宋体" w:hAnsi="宋体" w:eastAsia="宋体"/>
                <w:sz w:val="16"/>
              </w:rPr>
              <w:t>成本指标</w:t>
            </w:r>
          </w:p>
        </w:tc>
        <w:tc>
          <w:tcPr>
            <w:tcW w:w="65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CEDB3">
            <w:pPr>
              <w:jc w:val="center"/>
            </w:pPr>
            <w:r>
              <w:rPr>
                <w:rFonts w:ascii="宋体" w:hAnsi="宋体" w:eastAsia="宋体"/>
                <w:sz w:val="16"/>
              </w:rPr>
              <w:t>经济成本指标</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5EA31F37">
            <w:pPr>
              <w:jc w:val="center"/>
            </w:pPr>
            <w:r>
              <w:rPr>
                <w:rFonts w:ascii="宋体" w:hAnsi="宋体" w:eastAsia="宋体"/>
                <w:sz w:val="16"/>
              </w:rPr>
              <w:t>业务保障调研、督察等差旅费支出成本</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0742A034">
            <w:pPr>
              <w:jc w:val="center"/>
            </w:pPr>
            <w:r>
              <w:rPr>
                <w:rFonts w:ascii="宋体" w:hAnsi="宋体" w:eastAsia="宋体"/>
                <w:sz w:val="16"/>
              </w:rPr>
              <w:t>&lt;=17万元</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008FCC86">
            <w:pPr>
              <w:jc w:val="center"/>
            </w:pPr>
            <w:r>
              <w:rPr>
                <w:rFonts w:ascii="宋体" w:hAnsi="宋体" w:eastAsia="宋体"/>
                <w:sz w:val="16"/>
              </w:rPr>
              <w:t>预算支出标准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6DD78225">
            <w:pPr>
              <w:jc w:val="center"/>
            </w:pPr>
            <w:r>
              <w:rPr>
                <w:rFonts w:ascii="宋体" w:hAnsi="宋体" w:eastAsia="宋体"/>
                <w:sz w:val="16"/>
              </w:rPr>
              <w:t>新增</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7E420A09">
            <w:pPr>
              <w:jc w:val="center"/>
            </w:pPr>
            <w:r>
              <w:rPr>
                <w:rFonts w:ascii="宋体" w:hAnsi="宋体" w:eastAsia="宋体"/>
                <w:sz w:val="16"/>
              </w:rPr>
              <w:t>15</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68AC75F1">
            <w:pPr>
              <w:jc w:val="center"/>
            </w:pPr>
            <w:r>
              <w:rPr>
                <w:rFonts w:ascii="宋体" w:hAnsi="宋体" w:eastAsia="宋体"/>
                <w:sz w:val="16"/>
              </w:rPr>
              <w:t>按照完成比例赋分</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2824DF37">
            <w:pPr>
              <w:jc w:val="center"/>
            </w:pPr>
            <w:r>
              <w:rPr>
                <w:rFonts w:ascii="宋体" w:hAnsi="宋体" w:eastAsia="宋体"/>
                <w:sz w:val="16"/>
              </w:rPr>
              <w:t>原始凭证</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73CD7DBE">
            <w:pPr>
              <w:jc w:val="center"/>
            </w:pPr>
            <w:r>
              <w:rPr>
                <w:rFonts w:ascii="宋体" w:hAnsi="宋体" w:eastAsia="宋体"/>
                <w:sz w:val="16"/>
              </w:rPr>
              <w:t>=12.23万元</w:t>
            </w:r>
          </w:p>
        </w:tc>
        <w:tc>
          <w:tcPr>
            <w:tcW w:w="432" w:type="dxa"/>
            <w:tcBorders>
              <w:top w:val="single" w:color="auto" w:sz="10" w:space="0"/>
              <w:left w:val="single" w:color="auto" w:sz="10" w:space="0"/>
              <w:bottom w:val="single" w:color="auto" w:sz="10" w:space="0"/>
              <w:right w:val="single" w:color="auto" w:sz="10" w:space="0"/>
              <w:insideV w:val="single" w:sz="10" w:space="0"/>
            </w:tcBorders>
            <w:vAlign w:val="center"/>
          </w:tcPr>
          <w:p w14:paraId="45DD1600">
            <w:pPr>
              <w:jc w:val="center"/>
            </w:pPr>
            <w:r>
              <w:rPr>
                <w:rFonts w:ascii="宋体" w:hAnsi="宋体" w:eastAsia="宋体"/>
                <w:sz w:val="16"/>
              </w:rPr>
              <w:t>4.48</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12B65">
            <w:pPr>
              <w:jc w:val="center"/>
            </w:pPr>
            <w:r>
              <w:rPr>
                <w:rFonts w:ascii="宋体" w:hAnsi="宋体" w:eastAsia="宋体"/>
                <w:sz w:val="16"/>
              </w:rPr>
              <w:t>偏差原因：因在实际支出中，本着认真落实党政机关习惯性过紧日子思想，不断提高业务履职能力，确保高效完成政研改革调研各项业务。改进措施：坚持勤俭办事业，科学精准做好预算，设置科目，又实现达到履行好职能的目标。</w:t>
            </w:r>
          </w:p>
        </w:tc>
      </w:tr>
      <w:tr w14:paraId="545EDA37">
        <w:tblPrEx>
          <w:tblCellMar>
            <w:top w:w="0" w:type="dxa"/>
            <w:left w:w="108" w:type="dxa"/>
            <w:bottom w:w="0" w:type="dxa"/>
            <w:right w:w="108" w:type="dxa"/>
          </w:tblCellMar>
        </w:tblPrEx>
        <w:trPr>
          <w:trHeight w:val="3944" w:hRule="atLeast"/>
        </w:trPr>
        <w:tc>
          <w:tcPr>
            <w:tcW w:w="650" w:type="dxa"/>
            <w:vMerge w:val="continue"/>
            <w:tcBorders>
              <w:top w:val="single" w:color="auto" w:sz="10" w:space="0"/>
              <w:left w:val="single" w:color="auto" w:sz="10" w:space="0"/>
              <w:bottom w:val="single" w:color="auto" w:sz="10" w:space="0"/>
              <w:right w:val="single" w:color="auto" w:sz="10" w:space="0"/>
              <w:insideV w:val="single" w:sz="10" w:space="0"/>
            </w:tcBorders>
          </w:tcPr>
          <w:p w14:paraId="53BAFB4C"/>
        </w:tc>
        <w:tc>
          <w:tcPr>
            <w:tcW w:w="648" w:type="dxa"/>
            <w:vMerge w:val="continue"/>
            <w:tcBorders>
              <w:top w:val="single" w:color="auto" w:sz="10" w:space="0"/>
              <w:left w:val="single" w:color="auto" w:sz="10" w:space="0"/>
              <w:bottom w:val="single" w:color="auto" w:sz="10" w:space="0"/>
              <w:right w:val="single" w:color="auto" w:sz="10" w:space="0"/>
              <w:insideV w:val="single" w:sz="10" w:space="0"/>
            </w:tcBorders>
          </w:tcPr>
          <w:p w14:paraId="5DFB5149"/>
        </w:tc>
        <w:tc>
          <w:tcPr>
            <w:tcW w:w="650" w:type="dxa"/>
            <w:vMerge w:val="continue"/>
            <w:tcBorders>
              <w:top w:val="single" w:color="auto" w:sz="10" w:space="0"/>
              <w:left w:val="single" w:color="auto" w:sz="10" w:space="0"/>
              <w:bottom w:val="single" w:color="auto" w:sz="10" w:space="0"/>
              <w:right w:val="single" w:color="auto" w:sz="10" w:space="0"/>
              <w:insideV w:val="single" w:sz="10" w:space="0"/>
            </w:tcBorders>
          </w:tcPr>
          <w:p w14:paraId="4A46AE46"/>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35EE41CE">
            <w:pPr>
              <w:jc w:val="center"/>
            </w:pPr>
            <w:r>
              <w:rPr>
                <w:rFonts w:ascii="宋体" w:hAnsi="宋体" w:eastAsia="宋体"/>
                <w:sz w:val="16"/>
              </w:rPr>
              <w:t>保障办公设备、用品、耗材、车辆等运转成本</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249F625D">
            <w:pPr>
              <w:jc w:val="center"/>
            </w:pPr>
            <w:r>
              <w:rPr>
                <w:rFonts w:ascii="宋体" w:hAnsi="宋体" w:eastAsia="宋体"/>
                <w:sz w:val="16"/>
              </w:rPr>
              <w:t>&lt;=24.82万元</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30F9A672">
            <w:pPr>
              <w:jc w:val="center"/>
            </w:pPr>
            <w:r>
              <w:rPr>
                <w:rFonts w:ascii="宋体" w:hAnsi="宋体" w:eastAsia="宋体"/>
                <w:sz w:val="16"/>
              </w:rPr>
              <w:t>预算支出标准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5BA5D4A8">
            <w:pPr>
              <w:jc w:val="center"/>
            </w:pPr>
            <w:r>
              <w:rPr>
                <w:rFonts w:ascii="宋体" w:hAnsi="宋体" w:eastAsia="宋体"/>
                <w:sz w:val="16"/>
              </w:rPr>
              <w:t>新增</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0CD5528B">
            <w:pPr>
              <w:jc w:val="center"/>
            </w:pPr>
            <w:r>
              <w:rPr>
                <w:rFonts w:ascii="宋体" w:hAnsi="宋体" w:eastAsia="宋体"/>
                <w:sz w:val="16"/>
              </w:rPr>
              <w:t>5</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4DCD9327">
            <w:pPr>
              <w:jc w:val="center"/>
            </w:pPr>
            <w:r>
              <w:rPr>
                <w:rFonts w:ascii="宋体" w:hAnsi="宋体" w:eastAsia="宋体"/>
                <w:sz w:val="16"/>
              </w:rPr>
              <w:t>按照完成比例赋分</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556EAECE">
            <w:pPr>
              <w:jc w:val="center"/>
            </w:pPr>
            <w:r>
              <w:rPr>
                <w:rFonts w:ascii="宋体" w:hAnsi="宋体" w:eastAsia="宋体"/>
                <w:sz w:val="16"/>
              </w:rPr>
              <w:t>原始凭证</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4EF0527F">
            <w:pPr>
              <w:jc w:val="center"/>
            </w:pPr>
            <w:r>
              <w:rPr>
                <w:rFonts w:ascii="宋体" w:hAnsi="宋体" w:eastAsia="宋体"/>
                <w:sz w:val="16"/>
              </w:rPr>
              <w:t>=11.41万元</w:t>
            </w:r>
          </w:p>
        </w:tc>
        <w:tc>
          <w:tcPr>
            <w:tcW w:w="432" w:type="dxa"/>
            <w:tcBorders>
              <w:top w:val="single" w:color="auto" w:sz="10" w:space="0"/>
              <w:left w:val="single" w:color="auto" w:sz="10" w:space="0"/>
              <w:bottom w:val="single" w:color="auto" w:sz="10" w:space="0"/>
              <w:right w:val="single" w:color="auto" w:sz="10" w:space="0"/>
              <w:insideV w:val="single" w:sz="10" w:space="0"/>
            </w:tcBorders>
            <w:vAlign w:val="center"/>
          </w:tcPr>
          <w:p w14:paraId="451B75AD">
            <w:pPr>
              <w:jc w:val="center"/>
            </w:pPr>
            <w:r>
              <w:rPr>
                <w:rFonts w:ascii="宋体" w:hAnsi="宋体" w:eastAsia="宋体"/>
                <w:sz w:val="16"/>
              </w:rPr>
              <w:t>0</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37A67">
            <w:pPr>
              <w:jc w:val="center"/>
            </w:pPr>
            <w:r>
              <w:rPr>
                <w:rFonts w:ascii="宋体" w:hAnsi="宋体" w:eastAsia="宋体"/>
                <w:sz w:val="16"/>
              </w:rPr>
              <w:t>偏差原因：因未新进干部与调出干部持平，最终无新增干部，以及上级部门对评比达标工作进行规范，预算资金等未产生相关费用。改进措施：加强前瞻性预见，合理确定预算需求，保障正常办公需求。</w:t>
            </w:r>
          </w:p>
        </w:tc>
      </w:tr>
      <w:tr w14:paraId="46D9C811">
        <w:tblPrEx>
          <w:tblCellMar>
            <w:top w:w="0" w:type="dxa"/>
            <w:left w:w="108" w:type="dxa"/>
            <w:bottom w:w="0" w:type="dxa"/>
            <w:right w:w="108" w:type="dxa"/>
          </w:tblCellMar>
        </w:tblPrEx>
        <w:trPr>
          <w:trHeight w:val="1332" w:hRule="atLeast"/>
        </w:trPr>
        <w:tc>
          <w:tcPr>
            <w:tcW w:w="650" w:type="dxa"/>
            <w:vMerge w:val="continue"/>
            <w:tcBorders>
              <w:top w:val="single" w:color="auto" w:sz="10" w:space="0"/>
              <w:left w:val="single" w:color="auto" w:sz="10" w:space="0"/>
              <w:bottom w:val="single" w:color="auto" w:sz="10" w:space="0"/>
              <w:right w:val="single" w:color="auto" w:sz="10" w:space="0"/>
              <w:insideV w:val="single" w:sz="10" w:space="0"/>
            </w:tcBorders>
          </w:tcPr>
          <w:p w14:paraId="356FFB33"/>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37F8BED2">
            <w:pPr>
              <w:jc w:val="center"/>
            </w:pPr>
            <w:r>
              <w:rPr>
                <w:rFonts w:ascii="宋体" w:hAnsi="宋体" w:eastAsia="宋体"/>
                <w:sz w:val="16"/>
              </w:rPr>
              <w:t>效益指标</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3D72ABC8">
            <w:pPr>
              <w:jc w:val="center"/>
            </w:pPr>
            <w:r>
              <w:rPr>
                <w:rFonts w:ascii="宋体" w:hAnsi="宋体" w:eastAsia="宋体"/>
                <w:sz w:val="16"/>
              </w:rPr>
              <w:t>社会效益指标</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6E8C9498">
            <w:pPr>
              <w:jc w:val="center"/>
            </w:pPr>
            <w:r>
              <w:rPr>
                <w:rFonts w:ascii="宋体" w:hAnsi="宋体" w:eastAsia="宋体"/>
                <w:sz w:val="16"/>
              </w:rPr>
              <w:t>提高保障单位履职能力</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276BE2FA">
            <w:pPr>
              <w:jc w:val="center"/>
            </w:pPr>
            <w:r>
              <w:rPr>
                <w:rFonts w:ascii="宋体" w:hAnsi="宋体" w:eastAsia="宋体"/>
                <w:sz w:val="16"/>
              </w:rPr>
              <w:t>提高</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64AED610">
            <w:pPr>
              <w:jc w:val="center"/>
            </w:pPr>
            <w:r>
              <w:rPr>
                <w:rFonts w:ascii="宋体" w:hAnsi="宋体" w:eastAsia="宋体"/>
                <w:sz w:val="16"/>
              </w:rPr>
              <w:t>其他标准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78AEACA7">
            <w:pPr>
              <w:jc w:val="center"/>
            </w:pPr>
            <w:r>
              <w:rPr>
                <w:rFonts w:ascii="宋体" w:hAnsi="宋体" w:eastAsia="宋体"/>
                <w:sz w:val="16"/>
              </w:rPr>
              <w:t>提高</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345CF4D0">
            <w:pPr>
              <w:jc w:val="center"/>
            </w:pPr>
            <w:r>
              <w:rPr>
                <w:rFonts w:ascii="宋体" w:hAnsi="宋体" w:eastAsia="宋体"/>
                <w:sz w:val="16"/>
              </w:rPr>
              <w:t>20</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2CE510EA">
            <w:pPr>
              <w:jc w:val="center"/>
            </w:pPr>
            <w:r>
              <w:rPr>
                <w:rFonts w:ascii="宋体" w:hAnsi="宋体" w:eastAsia="宋体"/>
                <w:sz w:val="16"/>
              </w:rPr>
              <w:t>按评判等级赋分</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78D24641">
            <w:pPr>
              <w:jc w:val="center"/>
            </w:pPr>
            <w:r>
              <w:rPr>
                <w:rFonts w:ascii="宋体" w:hAnsi="宋体" w:eastAsia="宋体"/>
                <w:sz w:val="16"/>
              </w:rPr>
              <w:t>工作资料</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17406F5C">
            <w:pPr>
              <w:jc w:val="center"/>
            </w:pPr>
            <w:r>
              <w:rPr>
                <w:rFonts w:ascii="宋体" w:hAnsi="宋体" w:eastAsia="宋体"/>
                <w:sz w:val="16"/>
              </w:rPr>
              <w:t>提高</w:t>
            </w:r>
          </w:p>
        </w:tc>
        <w:tc>
          <w:tcPr>
            <w:tcW w:w="432" w:type="dxa"/>
            <w:tcBorders>
              <w:top w:val="single" w:color="auto" w:sz="10" w:space="0"/>
              <w:left w:val="single" w:color="auto" w:sz="10" w:space="0"/>
              <w:bottom w:val="single" w:color="auto" w:sz="10" w:space="0"/>
              <w:right w:val="single" w:color="auto" w:sz="10" w:space="0"/>
              <w:insideV w:val="single" w:sz="10" w:space="0"/>
            </w:tcBorders>
            <w:vAlign w:val="center"/>
          </w:tcPr>
          <w:p w14:paraId="60D10C48">
            <w:pPr>
              <w:jc w:val="center"/>
            </w:pPr>
            <w:r>
              <w:rPr>
                <w:rFonts w:ascii="宋体" w:hAnsi="宋体" w:eastAsia="宋体"/>
                <w:sz w:val="16"/>
              </w:rPr>
              <w:t>20</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8750D">
            <w:pPr>
              <w:jc w:val="center"/>
            </w:pPr>
          </w:p>
        </w:tc>
      </w:tr>
      <w:tr w14:paraId="04482AF9">
        <w:tblPrEx>
          <w:tblCellMar>
            <w:top w:w="0" w:type="dxa"/>
            <w:left w:w="108" w:type="dxa"/>
            <w:bottom w:w="0" w:type="dxa"/>
            <w:right w:w="108" w:type="dxa"/>
          </w:tblCellMar>
        </w:tblPrEx>
        <w:trPr>
          <w:trHeight w:val="1005" w:hRule="atLeast"/>
        </w:trPr>
        <w:tc>
          <w:tcPr>
            <w:tcW w:w="650" w:type="dxa"/>
            <w:vMerge w:val="continue"/>
            <w:tcBorders>
              <w:top w:val="single" w:color="auto" w:sz="10" w:space="0"/>
              <w:left w:val="single" w:color="auto" w:sz="10" w:space="0"/>
              <w:bottom w:val="single" w:color="auto" w:sz="10" w:space="0"/>
              <w:right w:val="single" w:color="auto" w:sz="10" w:space="0"/>
              <w:insideV w:val="single" w:sz="10" w:space="0"/>
            </w:tcBorders>
          </w:tcPr>
          <w:p w14:paraId="470F929E"/>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72830B31">
            <w:pPr>
              <w:jc w:val="center"/>
            </w:pPr>
            <w:r>
              <w:rPr>
                <w:rFonts w:ascii="宋体" w:hAnsi="宋体" w:eastAsia="宋体"/>
                <w:sz w:val="16"/>
              </w:rPr>
              <w:t>满意度指标</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19487DFC">
            <w:pPr>
              <w:jc w:val="center"/>
            </w:pPr>
            <w:r>
              <w:rPr>
                <w:rFonts w:ascii="宋体" w:hAnsi="宋体" w:eastAsia="宋体"/>
                <w:sz w:val="16"/>
              </w:rPr>
              <w:t>满意度指标</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1C9C27CA">
            <w:pPr>
              <w:jc w:val="center"/>
            </w:pPr>
            <w:r>
              <w:rPr>
                <w:rFonts w:ascii="宋体" w:hAnsi="宋体" w:eastAsia="宋体"/>
                <w:sz w:val="16"/>
              </w:rPr>
              <w:t>保障对象满意度</w:t>
            </w:r>
          </w:p>
        </w:tc>
        <w:tc>
          <w:tcPr>
            <w:tcW w:w="802" w:type="dxa"/>
            <w:tcBorders>
              <w:top w:val="single" w:color="auto" w:sz="10" w:space="0"/>
              <w:left w:val="single" w:color="auto" w:sz="10" w:space="0"/>
              <w:bottom w:val="single" w:color="auto" w:sz="10" w:space="0"/>
              <w:right w:val="single" w:color="auto" w:sz="10" w:space="0"/>
              <w:insideV w:val="single" w:sz="10" w:space="0"/>
            </w:tcBorders>
            <w:vAlign w:val="center"/>
          </w:tcPr>
          <w:p w14:paraId="59325827">
            <w:pPr>
              <w:jc w:val="center"/>
            </w:pPr>
            <w:r>
              <w:rPr>
                <w:rFonts w:ascii="宋体" w:hAnsi="宋体" w:eastAsia="宋体"/>
                <w:sz w:val="16"/>
              </w:rPr>
              <w:t>=100%</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6E116A7F">
            <w:pPr>
              <w:jc w:val="center"/>
            </w:pPr>
            <w:r>
              <w:rPr>
                <w:rFonts w:ascii="宋体" w:hAnsi="宋体" w:eastAsia="宋体"/>
                <w:sz w:val="16"/>
              </w:rPr>
              <w:t>计划标准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4826538C">
            <w:pPr>
              <w:jc w:val="center"/>
            </w:pPr>
            <w:r>
              <w:rPr>
                <w:rFonts w:ascii="宋体" w:hAnsi="宋体" w:eastAsia="宋体"/>
                <w:sz w:val="16"/>
              </w:rPr>
              <w:t>=100%</w:t>
            </w:r>
          </w:p>
        </w:tc>
        <w:tc>
          <w:tcPr>
            <w:tcW w:w="655" w:type="dxa"/>
            <w:tcBorders>
              <w:top w:val="single" w:color="auto" w:sz="10" w:space="0"/>
              <w:left w:val="single" w:color="auto" w:sz="10" w:space="0"/>
              <w:bottom w:val="single" w:color="auto" w:sz="10" w:space="0"/>
              <w:right w:val="single" w:color="auto" w:sz="10" w:space="0"/>
              <w:insideV w:val="single" w:sz="10" w:space="0"/>
            </w:tcBorders>
            <w:vAlign w:val="center"/>
          </w:tcPr>
          <w:p w14:paraId="12BEBB6C">
            <w:pPr>
              <w:jc w:val="center"/>
            </w:pPr>
            <w:r>
              <w:rPr>
                <w:rFonts w:ascii="宋体" w:hAnsi="宋体" w:eastAsia="宋体"/>
                <w:sz w:val="16"/>
              </w:rPr>
              <w:t>10</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16A54A46">
            <w:pPr>
              <w:jc w:val="center"/>
            </w:pPr>
            <w:r>
              <w:rPr>
                <w:rFonts w:ascii="宋体" w:hAnsi="宋体" w:eastAsia="宋体"/>
                <w:sz w:val="16"/>
              </w:rPr>
              <w:t>满意度赋分</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503B57FB">
            <w:pPr>
              <w:jc w:val="center"/>
            </w:pPr>
            <w:r>
              <w:rPr>
                <w:rFonts w:ascii="宋体" w:hAnsi="宋体" w:eastAsia="宋体"/>
                <w:sz w:val="16"/>
              </w:rPr>
              <w:t>工作资料</w:t>
            </w:r>
          </w:p>
        </w:tc>
        <w:tc>
          <w:tcPr>
            <w:tcW w:w="719" w:type="dxa"/>
            <w:tcBorders>
              <w:top w:val="single" w:color="auto" w:sz="10" w:space="0"/>
              <w:left w:val="single" w:color="auto" w:sz="10" w:space="0"/>
              <w:bottom w:val="single" w:color="auto" w:sz="10" w:space="0"/>
              <w:right w:val="single" w:color="auto" w:sz="10" w:space="0"/>
              <w:insideV w:val="single" w:sz="10" w:space="0"/>
            </w:tcBorders>
            <w:vAlign w:val="center"/>
          </w:tcPr>
          <w:p w14:paraId="2D9260E4">
            <w:pPr>
              <w:jc w:val="center"/>
            </w:pPr>
            <w:r>
              <w:rPr>
                <w:rFonts w:ascii="宋体" w:hAnsi="宋体" w:eastAsia="宋体"/>
                <w:sz w:val="16"/>
              </w:rPr>
              <w:t>=100%</w:t>
            </w:r>
          </w:p>
        </w:tc>
        <w:tc>
          <w:tcPr>
            <w:tcW w:w="432" w:type="dxa"/>
            <w:tcBorders>
              <w:top w:val="single" w:color="auto" w:sz="10" w:space="0"/>
              <w:left w:val="single" w:color="auto" w:sz="10" w:space="0"/>
              <w:bottom w:val="single" w:color="auto" w:sz="10" w:space="0"/>
              <w:right w:val="single" w:color="auto" w:sz="10" w:space="0"/>
              <w:insideV w:val="single" w:sz="10" w:space="0"/>
            </w:tcBorders>
            <w:vAlign w:val="center"/>
          </w:tcPr>
          <w:p w14:paraId="3BEA921D">
            <w:pPr>
              <w:jc w:val="center"/>
            </w:pPr>
            <w:r>
              <w:rPr>
                <w:rFonts w:ascii="宋体" w:hAnsi="宋体" w:eastAsia="宋体"/>
                <w:sz w:val="16"/>
              </w:rPr>
              <w:t>10</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AA7BF">
            <w:pPr>
              <w:jc w:val="center"/>
            </w:pPr>
          </w:p>
        </w:tc>
      </w:tr>
      <w:tr w14:paraId="2899284D">
        <w:tblPrEx>
          <w:tblCellMar>
            <w:top w:w="0" w:type="dxa"/>
            <w:left w:w="108" w:type="dxa"/>
            <w:bottom w:w="0" w:type="dxa"/>
            <w:right w:w="108" w:type="dxa"/>
          </w:tblCellMar>
        </w:tblPrEx>
        <w:trPr>
          <w:trHeight w:val="378" w:hRule="atLeast"/>
        </w:trPr>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4AF24875">
            <w:pPr>
              <w:jc w:val="center"/>
            </w:pPr>
            <w:r>
              <w:rPr>
                <w:rFonts w:ascii="宋体" w:hAnsi="宋体" w:eastAsia="宋体"/>
                <w:sz w:val="16"/>
              </w:rPr>
              <w:t>总分</w:t>
            </w:r>
          </w:p>
        </w:tc>
        <w:tc>
          <w:tcPr>
            <w:tcW w:w="47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F8505A">
            <w:pPr>
              <w:jc w:val="center"/>
            </w:pPr>
            <w:r>
              <w:rPr>
                <w:rFonts w:ascii="宋体" w:hAnsi="宋体" w:eastAsia="宋体"/>
                <w:sz w:val="16"/>
              </w:rPr>
              <w:t>100</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365FE232">
            <w:pPr>
              <w:jc w:val="center"/>
            </w:pPr>
            <w:r>
              <w:rPr>
                <w:rFonts w:ascii="宋体" w:hAnsi="宋体" w:eastAsia="宋体"/>
                <w:sz w:val="16"/>
              </w:rPr>
              <w:t>得分</w:t>
            </w:r>
          </w:p>
        </w:tc>
        <w:tc>
          <w:tcPr>
            <w:tcW w:w="335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DA3CC8">
            <w:pPr>
              <w:jc w:val="center"/>
            </w:pPr>
            <w:r>
              <w:rPr>
                <w:rFonts w:ascii="宋体" w:hAnsi="宋体" w:eastAsia="宋体"/>
                <w:sz w:val="16"/>
              </w:rPr>
              <w:t>74.48分</w:t>
            </w:r>
          </w:p>
        </w:tc>
      </w:tr>
    </w:tbl>
    <w:p w14:paraId="3122FEBC">
      <w:r>
        <w:br w:type="page"/>
      </w:r>
    </w:p>
    <w:p w14:paraId="30C77078">
      <w:pPr>
        <w:spacing w:line="640" w:lineRule="exact"/>
        <w:ind w:firstLine="640"/>
        <w:jc w:val="both"/>
        <w:outlineLvl w:val="2"/>
      </w:pPr>
      <w:r>
        <w:rPr>
          <w:rFonts w:ascii="黑体" w:hAnsi="黑体" w:eastAsia="黑体"/>
          <w:sz w:val="32"/>
        </w:rPr>
        <w:t>十二、其他需说明的事项</w:t>
      </w:r>
    </w:p>
    <w:p w14:paraId="2036C468">
      <w:pPr>
        <w:spacing w:line="580" w:lineRule="exact"/>
        <w:ind w:firstLine="640"/>
        <w:jc w:val="both"/>
      </w:pPr>
      <w:r>
        <w:rPr>
          <w:rFonts w:ascii="仿宋_GB2312" w:hAnsi="仿宋_GB2312" w:eastAsia="仿宋_GB2312"/>
          <w:b w:val="0"/>
          <w:sz w:val="32"/>
        </w:rPr>
        <w:t>本单位无其他需说明的事项。</w:t>
      </w:r>
    </w:p>
    <w:p w14:paraId="6E242E54">
      <w:r>
        <w:br w:type="page"/>
      </w:r>
    </w:p>
    <w:p w14:paraId="0D743410">
      <w:pPr>
        <w:spacing w:line="240" w:lineRule="auto"/>
        <w:jc w:val="center"/>
        <w:outlineLvl w:val="1"/>
      </w:pPr>
      <w:r>
        <w:rPr>
          <w:rFonts w:ascii="黑体" w:hAnsi="黑体" w:eastAsia="黑体"/>
          <w:sz w:val="32"/>
        </w:rPr>
        <w:t>第三部分 专业名词解释</w:t>
      </w:r>
    </w:p>
    <w:p w14:paraId="02E542D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EC844C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B188D4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14293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58391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BE367A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F71CE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A0623C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5204E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0553AC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72DB32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15F78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40FF31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B7DC4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8C748B3">
      <w:r>
        <w:br w:type="page"/>
      </w:r>
    </w:p>
    <w:p w14:paraId="3B18A054">
      <w:pPr>
        <w:spacing w:line="240" w:lineRule="auto"/>
        <w:jc w:val="center"/>
        <w:outlineLvl w:val="1"/>
      </w:pPr>
      <w:r>
        <w:rPr>
          <w:rFonts w:ascii="黑体" w:hAnsi="黑体" w:eastAsia="黑体"/>
          <w:sz w:val="32"/>
        </w:rPr>
        <w:t>第四部分 部门决算报表（见附表）</w:t>
      </w:r>
    </w:p>
    <w:p w14:paraId="567EA30A">
      <w:pPr>
        <w:spacing w:line="240" w:lineRule="auto"/>
        <w:ind w:firstLine="640"/>
        <w:jc w:val="both"/>
      </w:pPr>
      <w:r>
        <w:rPr>
          <w:rFonts w:ascii="仿宋_GB2312" w:hAnsi="仿宋_GB2312" w:eastAsia="仿宋_GB2312"/>
          <w:b w:val="0"/>
          <w:sz w:val="32"/>
        </w:rPr>
        <w:t>一、《收入支出决算总表》</w:t>
      </w:r>
    </w:p>
    <w:p w14:paraId="5AFB4E74">
      <w:pPr>
        <w:spacing w:line="240" w:lineRule="auto"/>
        <w:ind w:firstLine="640"/>
        <w:jc w:val="both"/>
      </w:pPr>
      <w:r>
        <w:rPr>
          <w:rFonts w:ascii="仿宋_GB2312" w:hAnsi="仿宋_GB2312" w:eastAsia="仿宋_GB2312"/>
          <w:b w:val="0"/>
          <w:sz w:val="32"/>
        </w:rPr>
        <w:t>二、《收入决算表》</w:t>
      </w:r>
    </w:p>
    <w:p w14:paraId="052EF2CE">
      <w:pPr>
        <w:spacing w:line="240" w:lineRule="auto"/>
        <w:ind w:firstLine="640"/>
        <w:jc w:val="both"/>
      </w:pPr>
      <w:r>
        <w:rPr>
          <w:rFonts w:ascii="仿宋_GB2312" w:hAnsi="仿宋_GB2312" w:eastAsia="仿宋_GB2312"/>
          <w:b w:val="0"/>
          <w:sz w:val="32"/>
        </w:rPr>
        <w:t>三、《支出决算表》</w:t>
      </w:r>
    </w:p>
    <w:p w14:paraId="2A4E746A">
      <w:pPr>
        <w:spacing w:line="240" w:lineRule="auto"/>
        <w:ind w:firstLine="640"/>
        <w:jc w:val="both"/>
      </w:pPr>
      <w:r>
        <w:rPr>
          <w:rFonts w:ascii="仿宋_GB2312" w:hAnsi="仿宋_GB2312" w:eastAsia="仿宋_GB2312"/>
          <w:b w:val="0"/>
          <w:sz w:val="32"/>
        </w:rPr>
        <w:t>四、《财政拨款收入支出决算总表》</w:t>
      </w:r>
    </w:p>
    <w:p w14:paraId="5F0A757C">
      <w:pPr>
        <w:spacing w:line="240" w:lineRule="auto"/>
        <w:ind w:firstLine="640"/>
        <w:jc w:val="both"/>
      </w:pPr>
      <w:r>
        <w:rPr>
          <w:rFonts w:ascii="仿宋_GB2312" w:hAnsi="仿宋_GB2312" w:eastAsia="仿宋_GB2312"/>
          <w:b w:val="0"/>
          <w:sz w:val="32"/>
        </w:rPr>
        <w:t>五、《一般公共预算财政拨款支出决算表》</w:t>
      </w:r>
    </w:p>
    <w:p w14:paraId="28BA92C4">
      <w:pPr>
        <w:spacing w:line="240" w:lineRule="auto"/>
        <w:ind w:firstLine="640"/>
        <w:jc w:val="both"/>
      </w:pPr>
      <w:r>
        <w:rPr>
          <w:rFonts w:ascii="仿宋_GB2312" w:hAnsi="仿宋_GB2312" w:eastAsia="仿宋_GB2312"/>
          <w:b w:val="0"/>
          <w:sz w:val="32"/>
        </w:rPr>
        <w:t>六、《一般公共预算财政拨款基本支出决算表》</w:t>
      </w:r>
    </w:p>
    <w:p w14:paraId="152EA33B">
      <w:pPr>
        <w:spacing w:line="240" w:lineRule="auto"/>
        <w:ind w:firstLine="640"/>
        <w:jc w:val="both"/>
      </w:pPr>
      <w:r>
        <w:rPr>
          <w:rFonts w:ascii="仿宋_GB2312" w:hAnsi="仿宋_GB2312" w:eastAsia="仿宋_GB2312"/>
          <w:b w:val="0"/>
          <w:sz w:val="32"/>
        </w:rPr>
        <w:t>七、《政府性基金预算财政拨款收入支出决算表》</w:t>
      </w:r>
    </w:p>
    <w:p w14:paraId="3490A5DA">
      <w:pPr>
        <w:spacing w:line="240" w:lineRule="auto"/>
        <w:ind w:firstLine="640"/>
        <w:jc w:val="both"/>
      </w:pPr>
      <w:r>
        <w:rPr>
          <w:rFonts w:ascii="仿宋_GB2312" w:hAnsi="仿宋_GB2312" w:eastAsia="仿宋_GB2312"/>
          <w:b w:val="0"/>
          <w:sz w:val="32"/>
        </w:rPr>
        <w:t>八、《国有资本经营预算财政拨款收入支出决算表》</w:t>
      </w:r>
    </w:p>
    <w:p w14:paraId="763E9D74">
      <w:pPr>
        <w:spacing w:line="240" w:lineRule="auto"/>
        <w:ind w:firstLine="640"/>
        <w:jc w:val="both"/>
      </w:pPr>
      <w:r>
        <w:rPr>
          <w:rFonts w:ascii="仿宋_GB2312" w:hAnsi="仿宋_GB2312" w:eastAsia="仿宋_GB2312"/>
          <w:b w:val="0"/>
          <w:sz w:val="32"/>
        </w:rPr>
        <w:t>九、《财政拨款“三公”经费支出决算表》</w:t>
      </w:r>
    </w:p>
    <w:p w14:paraId="0A37070A">
      <w:pPr>
        <w:spacing w:line="240" w:lineRule="auto"/>
        <w:ind w:firstLine="640"/>
        <w:jc w:val="both"/>
      </w:pPr>
    </w:p>
    <w:p w14:paraId="4943AFAB">
      <w:pPr>
        <w:spacing w:line="240" w:lineRule="auto"/>
        <w:ind w:firstLine="640"/>
        <w:jc w:val="both"/>
      </w:pPr>
    </w:p>
    <w:p w14:paraId="7A6C6669">
      <w:pPr>
        <w:spacing w:line="240" w:lineRule="auto"/>
        <w:ind w:firstLine="640"/>
        <w:jc w:val="both"/>
      </w:pPr>
    </w:p>
    <w:p w14:paraId="7ED9DFF6">
      <w:pPr>
        <w:spacing w:line="240" w:lineRule="auto"/>
        <w:ind w:firstLine="640"/>
        <w:jc w:val="both"/>
      </w:pPr>
    </w:p>
    <w:p w14:paraId="314FC03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84CDCF-1512-4954-818B-1BC5F9928E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1F43627-4B64-4FA2-AEDC-E4D391B008BF}"/>
  </w:font>
  <w:font w:name="方正小标宋_GBK">
    <w:panose1 w:val="02000000000000000000"/>
    <w:charset w:val="86"/>
    <w:family w:val="script"/>
    <w:pitch w:val="default"/>
    <w:sig w:usb0="A00002BF" w:usb1="38CF7CFA" w:usb2="00082016" w:usb3="00000000" w:csb0="00040001" w:csb1="00000000"/>
    <w:embedRegular r:id="rId3" w:fontKey="{3882B3AF-12C3-4E8C-80E0-5C834FFD3E6A}"/>
  </w:font>
  <w:font w:name="楷体_GB2312">
    <w:panose1 w:val="02010609030101010101"/>
    <w:charset w:val="86"/>
    <w:family w:val="auto"/>
    <w:pitch w:val="default"/>
    <w:sig w:usb0="00000001" w:usb1="080E0000" w:usb2="00000000" w:usb3="00000000" w:csb0="00040000" w:csb1="00000000"/>
    <w:embedRegular r:id="rId4" w:fontKey="{EF1C6DF8-32F7-4AE2-B8B1-3536CA4F816C}"/>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1411B3"/>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A9403E"/>
    <w:rsid w:val="29116777"/>
    <w:rsid w:val="2A053397"/>
    <w:rsid w:val="2A444FB1"/>
    <w:rsid w:val="2A6064E2"/>
    <w:rsid w:val="2C1965E9"/>
    <w:rsid w:val="2C1F60B5"/>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0F44B9"/>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4726</Words>
  <Characters>5379</Characters>
  <Lines>0</Lines>
  <Paragraphs>0</Paragraphs>
  <TotalTime>1</TotalTime>
  <ScaleCrop>false</ScaleCrop>
  <LinksUpToDate>false</LinksUpToDate>
  <CharactersWithSpaces>5387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2025-09-29T07:47:09Z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