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中共喀什地委机构编制委员会办公室2024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1D3402A">
      <w:r>
        <w:br w:type="page"/>
      </w:r>
    </w:p>
    <w:p w14:paraId="6A827698">
      <w:pPr>
        <w:spacing w:line="640" w:lineRule="exact"/>
        <w:jc w:val="center"/>
        <w:outlineLvl w:val="1"/>
      </w:pPr>
      <w:r>
        <w:rPr>
          <w:rFonts w:ascii="黑体" w:hAnsi="黑体" w:eastAsia="黑体"/>
          <w:sz w:val="32"/>
        </w:rPr>
        <w:t>第一部分 单位概况</w:t>
      </w:r>
    </w:p>
    <w:p w14:paraId="3F2F5863">
      <w:pPr>
        <w:spacing w:line="640" w:lineRule="exact"/>
        <w:ind w:firstLine="640"/>
        <w:jc w:val="both"/>
        <w:outlineLvl w:val="2"/>
      </w:pPr>
      <w:r>
        <w:rPr>
          <w:rFonts w:ascii="黑体" w:hAnsi="黑体" w:eastAsia="黑体"/>
          <w:sz w:val="32"/>
        </w:rPr>
        <w:t>一、主要职能</w:t>
      </w:r>
    </w:p>
    <w:p w14:paraId="37EA21BA">
      <w:pPr>
        <w:spacing w:line="580" w:lineRule="exact"/>
        <w:ind w:firstLine="640"/>
        <w:jc w:val="both"/>
      </w:pPr>
      <w:r>
        <w:rPr>
          <w:rFonts w:ascii="仿宋_GB2312" w:hAnsi="仿宋_GB2312" w:eastAsia="仿宋_GB2312"/>
          <w:sz w:val="32"/>
        </w:rPr>
        <w:t>（1）贯彻党中央、国务院、自治区党委、人民政府关于行政管理体制改革、机构改革和机构编制管理的方针、政策、法规。研究拟定地区行政管理体制改革、机构改革和机构编制管理的意见，并组织实施。</w:t>
      </w:r>
    </w:p>
    <w:p w14:paraId="767A8413">
      <w:pPr>
        <w:spacing w:line="580" w:lineRule="exact"/>
        <w:ind w:firstLine="640"/>
        <w:jc w:val="both"/>
      </w:pPr>
      <w:r>
        <w:rPr>
          <w:rFonts w:ascii="仿宋_GB2312" w:hAnsi="仿宋_GB2312" w:eastAsia="仿宋_GB2312"/>
          <w:sz w:val="32"/>
        </w:rPr>
        <w:t>（2）统一管理全地区各级党政机关，人大、政协，各社会团体机关及事业单位的机构编制管理工作。</w:t>
      </w:r>
    </w:p>
    <w:p w14:paraId="6BA52362">
      <w:pPr>
        <w:spacing w:line="580" w:lineRule="exact"/>
        <w:ind w:firstLine="640"/>
        <w:jc w:val="both"/>
      </w:pPr>
      <w:r>
        <w:rPr>
          <w:rFonts w:ascii="仿宋_GB2312" w:hAnsi="仿宋_GB2312" w:eastAsia="仿宋_GB2312"/>
          <w:sz w:val="32"/>
        </w:rPr>
        <w:t>（3）研究拟定全地区</w:t>
      </w:r>
      <w:r>
        <w:rPr>
          <w:rFonts w:hint="eastAsia" w:ascii="仿宋_GB2312" w:hAnsi="仿宋_GB2312" w:eastAsia="仿宋_GB2312"/>
          <w:sz w:val="32"/>
          <w:lang w:eastAsia="zh-CN"/>
        </w:rPr>
        <w:t>行政体制</w:t>
      </w:r>
      <w:r>
        <w:rPr>
          <w:rFonts w:ascii="仿宋_GB2312" w:hAnsi="仿宋_GB2312" w:eastAsia="仿宋_GB2312"/>
          <w:sz w:val="32"/>
        </w:rPr>
        <w:t>与机构改革的总体方案，并组织实施。审核地区党政机关，人大、政协、各社会团体机关的机构</w:t>
      </w:r>
      <w:r>
        <w:rPr>
          <w:rFonts w:hint="eastAsia" w:ascii="仿宋_GB2312" w:hAnsi="仿宋_GB2312" w:eastAsia="仿宋_GB2312"/>
          <w:sz w:val="32"/>
          <w:lang w:eastAsia="zh-CN"/>
        </w:rPr>
        <w:t>改革方案</w:t>
      </w:r>
      <w:r>
        <w:rPr>
          <w:rFonts w:ascii="仿宋_GB2312" w:hAnsi="仿宋_GB2312" w:eastAsia="仿宋_GB2312"/>
          <w:sz w:val="32"/>
        </w:rPr>
        <w:t>；审核县市、乡镇机构改革方案。</w:t>
      </w:r>
    </w:p>
    <w:p w14:paraId="1B034B67">
      <w:pPr>
        <w:spacing w:line="580" w:lineRule="exact"/>
        <w:ind w:firstLine="640"/>
        <w:jc w:val="both"/>
      </w:pPr>
      <w:r>
        <w:rPr>
          <w:rFonts w:ascii="仿宋_GB2312" w:hAnsi="仿宋_GB2312" w:eastAsia="仿宋_GB2312"/>
          <w:sz w:val="32"/>
        </w:rPr>
        <w:t>（4）负责地区党政机关，人大、政协，各社会团体机关机构设置、职能配置和人员编制、领导职数的核定；审核县市副科级以上机构设置。</w:t>
      </w:r>
    </w:p>
    <w:p w14:paraId="6D887DE8">
      <w:pPr>
        <w:spacing w:line="580" w:lineRule="exact"/>
        <w:ind w:firstLine="640"/>
        <w:jc w:val="both"/>
      </w:pPr>
      <w:r>
        <w:rPr>
          <w:rFonts w:ascii="仿宋_GB2312" w:hAnsi="仿宋_GB2312" w:eastAsia="仿宋_GB2312"/>
          <w:sz w:val="32"/>
        </w:rPr>
        <w:t>（5）研究拟定地区事业单位分类改革方案和事业单位机构编制管理的政策、规定；审核地区事业单位机构设置、职责任务</w:t>
      </w:r>
      <w:r>
        <w:rPr>
          <w:rFonts w:hint="eastAsia" w:ascii="仿宋_GB2312" w:hAnsi="仿宋_GB2312" w:eastAsia="仿宋_GB2312"/>
          <w:sz w:val="32"/>
          <w:lang w:eastAsia="zh-CN"/>
        </w:rPr>
        <w:t>、人员编制和</w:t>
      </w:r>
      <w:r>
        <w:rPr>
          <w:rFonts w:ascii="仿宋_GB2312" w:hAnsi="仿宋_GB2312" w:eastAsia="仿宋_GB2312"/>
          <w:sz w:val="32"/>
        </w:rPr>
        <w:t>领导</w:t>
      </w:r>
      <w:r>
        <w:rPr>
          <w:rFonts w:hint="eastAsia" w:ascii="仿宋_GB2312" w:hAnsi="仿宋_GB2312" w:eastAsia="仿宋_GB2312"/>
          <w:sz w:val="32"/>
          <w:lang w:eastAsia="zh-CN"/>
        </w:rPr>
        <w:t>职数</w:t>
      </w:r>
      <w:r>
        <w:rPr>
          <w:rFonts w:ascii="仿宋_GB2312" w:hAnsi="仿宋_GB2312" w:eastAsia="仿宋_GB2312"/>
          <w:sz w:val="32"/>
        </w:rPr>
        <w:t>。</w:t>
      </w:r>
    </w:p>
    <w:p w14:paraId="3404A753">
      <w:pPr>
        <w:spacing w:line="580" w:lineRule="exact"/>
        <w:ind w:firstLine="640"/>
        <w:jc w:val="both"/>
      </w:pPr>
      <w:r>
        <w:rPr>
          <w:rFonts w:ascii="仿宋_GB2312" w:hAnsi="仿宋_GB2312" w:eastAsia="仿宋_GB2312"/>
          <w:sz w:val="32"/>
        </w:rPr>
        <w:t>（6）贯彻落实《事业单位登记管理暂行条例》；研究制定地区事业单位登记管理办法，并组织实施；依法对地区事业单位登记管理工作进行监督检查。</w:t>
      </w:r>
    </w:p>
    <w:p w14:paraId="3D9D12BD">
      <w:pPr>
        <w:spacing w:line="580" w:lineRule="exact"/>
        <w:ind w:firstLine="640"/>
        <w:jc w:val="both"/>
      </w:pPr>
      <w:r>
        <w:rPr>
          <w:rFonts w:ascii="仿宋_GB2312" w:hAnsi="仿宋_GB2312" w:eastAsia="仿宋_GB2312"/>
          <w:sz w:val="32"/>
        </w:rPr>
        <w:t>（7）监督检查全地区行政管理体制改革、机构改革以及机构编制执行情况，报告地委机构编制委员会。</w:t>
      </w:r>
    </w:p>
    <w:p w14:paraId="06114BD5">
      <w:pPr>
        <w:spacing w:line="580" w:lineRule="exact"/>
        <w:ind w:firstLine="640"/>
        <w:jc w:val="both"/>
      </w:pPr>
      <w:r>
        <w:rPr>
          <w:rFonts w:ascii="仿宋_GB2312" w:hAnsi="仿宋_GB2312" w:eastAsia="仿宋_GB2312"/>
          <w:sz w:val="32"/>
        </w:rPr>
        <w:t>（8）完成地委和地委机构编制委员会交办的其他工作任务。</w:t>
      </w:r>
    </w:p>
    <w:p w14:paraId="20185648">
      <w:pPr>
        <w:spacing w:line="640" w:lineRule="exact"/>
        <w:ind w:firstLine="640"/>
        <w:jc w:val="both"/>
        <w:outlineLvl w:val="2"/>
      </w:pPr>
      <w:r>
        <w:rPr>
          <w:rFonts w:ascii="黑体" w:hAnsi="黑体" w:eastAsia="黑体"/>
          <w:sz w:val="32"/>
        </w:rPr>
        <w:t>二、机构设置及人员情况</w:t>
      </w:r>
    </w:p>
    <w:p w14:paraId="0CBAD3CF">
      <w:pPr>
        <w:spacing w:line="580" w:lineRule="exact"/>
        <w:ind w:firstLine="640"/>
        <w:jc w:val="both"/>
      </w:pPr>
      <w:r>
        <w:rPr>
          <w:rFonts w:ascii="仿宋_GB2312" w:hAnsi="仿宋_GB2312" w:eastAsia="仿宋_GB2312"/>
          <w:sz w:val="32"/>
        </w:rPr>
        <w:t>中共喀什地委机构编制委员会办公室2024年度，实有人数23人，其中：在职人员18人，减少2人；离休人员0人，增加0人；退休人员5人,增加1人。</w:t>
      </w:r>
    </w:p>
    <w:p w14:paraId="3983CD05">
      <w:pPr>
        <w:spacing w:line="580" w:lineRule="exact"/>
        <w:ind w:firstLine="640"/>
        <w:jc w:val="both"/>
      </w:pPr>
      <w:r>
        <w:rPr>
          <w:rFonts w:ascii="仿宋_GB2312" w:hAnsi="仿宋_GB2312" w:eastAsia="仿宋_GB2312"/>
          <w:sz w:val="32"/>
        </w:rPr>
        <w:t>中共喀什地委机构编制委员会办公室无下属预算单位，下设4个科室，分别是：综合科、政策法规科、行政科、事业科。</w:t>
      </w:r>
    </w:p>
    <w:p w14:paraId="72ADB754">
      <w:r>
        <w:br w:type="page"/>
      </w:r>
    </w:p>
    <w:p w14:paraId="0C83220E">
      <w:pPr>
        <w:spacing w:line="240" w:lineRule="auto"/>
        <w:jc w:val="center"/>
        <w:outlineLvl w:val="1"/>
      </w:pPr>
      <w:r>
        <w:rPr>
          <w:rFonts w:ascii="黑体" w:hAnsi="黑体" w:eastAsia="黑体"/>
          <w:sz w:val="32"/>
        </w:rPr>
        <w:t>第二部分 部门决算情况说明</w:t>
      </w:r>
    </w:p>
    <w:p w14:paraId="7E940EC7">
      <w:pPr>
        <w:spacing w:line="640" w:lineRule="exact"/>
        <w:ind w:firstLine="640"/>
        <w:jc w:val="both"/>
        <w:outlineLvl w:val="2"/>
      </w:pPr>
      <w:r>
        <w:rPr>
          <w:rFonts w:ascii="黑体" w:hAnsi="黑体" w:eastAsia="黑体"/>
          <w:sz w:val="32"/>
        </w:rPr>
        <w:t>一、收入支出决算总体情况说明</w:t>
      </w:r>
    </w:p>
    <w:p w14:paraId="08B5343B">
      <w:pPr>
        <w:spacing w:line="580" w:lineRule="exact"/>
        <w:ind w:firstLine="640"/>
        <w:jc w:val="both"/>
      </w:pPr>
      <w:r>
        <w:rPr>
          <w:rFonts w:ascii="仿宋_GB2312" w:hAnsi="仿宋_GB2312" w:eastAsia="仿宋_GB2312"/>
          <w:b/>
          <w:sz w:val="32"/>
        </w:rPr>
        <w:t>2024年度收入总计469.53万元，</w:t>
      </w:r>
      <w:r>
        <w:rPr>
          <w:rFonts w:ascii="仿宋_GB2312" w:hAnsi="仿宋_GB2312" w:eastAsia="仿宋_GB2312"/>
          <w:b w:val="0"/>
          <w:sz w:val="32"/>
        </w:rPr>
        <w:t>其中：本年收入合计469.53万元，使用非财政拨款结余（含专用结余）0.00万元，年初结转和结余0.00万元。</w:t>
      </w:r>
    </w:p>
    <w:p w14:paraId="6BBC5DA7">
      <w:pPr>
        <w:spacing w:line="580" w:lineRule="exact"/>
        <w:ind w:firstLine="640"/>
        <w:jc w:val="both"/>
      </w:pPr>
      <w:r>
        <w:rPr>
          <w:rFonts w:ascii="仿宋_GB2312" w:hAnsi="仿宋_GB2312" w:eastAsia="仿宋_GB2312"/>
          <w:b/>
          <w:sz w:val="32"/>
        </w:rPr>
        <w:t>2024年度支出总计469.53万元，</w:t>
      </w:r>
      <w:r>
        <w:rPr>
          <w:rFonts w:ascii="仿宋_GB2312" w:hAnsi="仿宋_GB2312" w:eastAsia="仿宋_GB2312"/>
          <w:b w:val="0"/>
          <w:sz w:val="32"/>
        </w:rPr>
        <w:t>其中：本年支出合计469.53万元，结余分配0.00万元，年末结转和结余0.00万元。</w:t>
      </w:r>
    </w:p>
    <w:p w14:paraId="65E85E6C">
      <w:pPr>
        <w:spacing w:line="580" w:lineRule="exact"/>
        <w:ind w:firstLine="640"/>
        <w:jc w:val="both"/>
      </w:pPr>
      <w:r>
        <w:rPr>
          <w:rFonts w:ascii="仿宋_GB2312" w:hAnsi="仿宋_GB2312" w:eastAsia="仿宋_GB2312"/>
          <w:b w:val="0"/>
          <w:sz w:val="32"/>
        </w:rPr>
        <w:t>收入支出总体与上年相比，减少8.71万元，下降1.82%，主要原因是：本年度减少综合改革工作项目经费，在职人员减少，相关人员经费减少，导致本年经费减少。</w:t>
      </w:r>
    </w:p>
    <w:p w14:paraId="215DDC1A">
      <w:pPr>
        <w:spacing w:line="640" w:lineRule="exact"/>
        <w:ind w:firstLine="640"/>
        <w:jc w:val="both"/>
        <w:outlineLvl w:val="2"/>
      </w:pPr>
      <w:r>
        <w:rPr>
          <w:rFonts w:ascii="黑体" w:hAnsi="黑体" w:eastAsia="黑体"/>
          <w:sz w:val="32"/>
        </w:rPr>
        <w:t>二、收入决算情况说明</w:t>
      </w:r>
    </w:p>
    <w:p w14:paraId="7C073E18">
      <w:pPr>
        <w:spacing w:line="580" w:lineRule="exact"/>
        <w:ind w:firstLine="640"/>
        <w:jc w:val="both"/>
      </w:pPr>
      <w:r>
        <w:rPr>
          <w:rFonts w:ascii="仿宋_GB2312" w:hAnsi="仿宋_GB2312" w:eastAsia="仿宋_GB2312"/>
          <w:b/>
          <w:sz w:val="32"/>
        </w:rPr>
        <w:t>本年收入469.53万元，</w:t>
      </w:r>
      <w:r>
        <w:rPr>
          <w:rFonts w:ascii="仿宋_GB2312" w:hAnsi="仿宋_GB2312" w:eastAsia="仿宋_GB2312"/>
          <w:b w:val="0"/>
          <w:sz w:val="32"/>
        </w:rPr>
        <w:t>其中：财政拨款收入469.53万元，占100.00%；上级补助收入0.00万元，占0.00%；事业收入0.00万元，占0.00%；经营收入0.00万元，占0.00%；附属单位上缴收入0.00万元，占0.00%；其他收入0.00万元，占0.00%。</w:t>
      </w:r>
    </w:p>
    <w:p w14:paraId="752230D7">
      <w:pPr>
        <w:spacing w:line="640" w:lineRule="exact"/>
        <w:ind w:firstLine="640"/>
        <w:jc w:val="both"/>
        <w:outlineLvl w:val="2"/>
      </w:pPr>
      <w:r>
        <w:rPr>
          <w:rFonts w:ascii="黑体" w:hAnsi="黑体" w:eastAsia="黑体"/>
          <w:sz w:val="32"/>
        </w:rPr>
        <w:t>三、支出决算情况说明</w:t>
      </w:r>
    </w:p>
    <w:p w14:paraId="68CDA69B">
      <w:pPr>
        <w:spacing w:line="580" w:lineRule="exact"/>
        <w:ind w:firstLine="640"/>
        <w:jc w:val="both"/>
      </w:pPr>
      <w:r>
        <w:rPr>
          <w:rFonts w:ascii="仿宋_GB2312" w:hAnsi="仿宋_GB2312" w:eastAsia="仿宋_GB2312"/>
          <w:b/>
          <w:sz w:val="32"/>
        </w:rPr>
        <w:t>本年支出469.53万元，</w:t>
      </w:r>
      <w:r>
        <w:rPr>
          <w:rFonts w:ascii="仿宋_GB2312" w:hAnsi="仿宋_GB2312" w:eastAsia="仿宋_GB2312"/>
          <w:b w:val="0"/>
          <w:sz w:val="32"/>
        </w:rPr>
        <w:t>其中：基本支出431.55万元，占91.91%；项目支出37.98万元，占8.09%；上缴上级支出0.00万元，占0.00%；经营支出0.00万元，占0.00%；对附属单位补助支出0.00万元，占0.00%。</w:t>
      </w:r>
    </w:p>
    <w:p w14:paraId="15F6E9A9">
      <w:pPr>
        <w:spacing w:line="640" w:lineRule="exact"/>
        <w:ind w:firstLine="640"/>
        <w:jc w:val="both"/>
        <w:outlineLvl w:val="2"/>
      </w:pPr>
      <w:r>
        <w:rPr>
          <w:rFonts w:ascii="黑体" w:hAnsi="黑体" w:eastAsia="黑体"/>
          <w:sz w:val="32"/>
        </w:rPr>
        <w:t>四、财政拨款收入支出决算总体情况说明</w:t>
      </w:r>
    </w:p>
    <w:p w14:paraId="20BCA32A">
      <w:pPr>
        <w:spacing w:line="580" w:lineRule="exact"/>
        <w:ind w:firstLine="640"/>
        <w:jc w:val="both"/>
      </w:pPr>
      <w:r>
        <w:rPr>
          <w:rFonts w:ascii="仿宋_GB2312" w:hAnsi="仿宋_GB2312" w:eastAsia="仿宋_GB2312"/>
          <w:b/>
          <w:sz w:val="32"/>
        </w:rPr>
        <w:t>2024年度财政拨款收入总计469.53万元，</w:t>
      </w:r>
      <w:r>
        <w:rPr>
          <w:rFonts w:ascii="仿宋_GB2312" w:hAnsi="仿宋_GB2312" w:eastAsia="仿宋_GB2312"/>
          <w:b w:val="0"/>
          <w:sz w:val="32"/>
        </w:rPr>
        <w:t>其中：年初财政拨款结转和结余0.00万元，本年财政拨款收入469.53万元。</w:t>
      </w:r>
      <w:r>
        <w:rPr>
          <w:rFonts w:ascii="仿宋_GB2312" w:hAnsi="仿宋_GB2312" w:eastAsia="仿宋_GB2312"/>
          <w:b/>
          <w:sz w:val="32"/>
        </w:rPr>
        <w:t>财政拨款支出总计469.53万元，</w:t>
      </w:r>
      <w:r>
        <w:rPr>
          <w:rFonts w:ascii="仿宋_GB2312" w:hAnsi="仿宋_GB2312" w:eastAsia="仿宋_GB2312"/>
          <w:b w:val="0"/>
          <w:sz w:val="32"/>
        </w:rPr>
        <w:t>其中：年末财政拨款结转和结余0.00万元，本年财政拨款支出469.53万元。</w:t>
      </w:r>
    </w:p>
    <w:p w14:paraId="01BEC27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减少8.71万元，下降1.82%，主要原因是：本年度减少综合改革工作项目经费，在职人员减少，相关人员经费减少，导致本年经费减少。</w:t>
      </w:r>
      <w:r>
        <w:rPr>
          <w:rFonts w:ascii="仿宋_GB2312" w:hAnsi="仿宋_GB2312" w:eastAsia="仿宋_GB2312"/>
          <w:b/>
          <w:sz w:val="32"/>
        </w:rPr>
        <w:t>与年初预算相比，</w:t>
      </w:r>
      <w:r>
        <w:rPr>
          <w:rFonts w:ascii="仿宋_GB2312" w:hAnsi="仿宋_GB2312" w:eastAsia="仿宋_GB2312"/>
          <w:b w:val="0"/>
          <w:sz w:val="32"/>
        </w:rPr>
        <w:t>年初预算数466.97万元，决算数469.53万元，预决算差异率0.55%，主要原因是：年中追加人员工资、社保、公积金基数调增部分资金，导致预决算存在差异。</w:t>
      </w:r>
    </w:p>
    <w:p w14:paraId="441AF11B">
      <w:pPr>
        <w:spacing w:line="640" w:lineRule="exact"/>
        <w:ind w:firstLine="640"/>
        <w:jc w:val="both"/>
        <w:outlineLvl w:val="2"/>
      </w:pPr>
      <w:r>
        <w:rPr>
          <w:rFonts w:ascii="黑体" w:hAnsi="黑体" w:eastAsia="黑体"/>
          <w:sz w:val="32"/>
        </w:rPr>
        <w:t>五、一般公共预算财政拨款支出决算情况说明</w:t>
      </w:r>
    </w:p>
    <w:p w14:paraId="25296D58">
      <w:pPr>
        <w:spacing w:line="640" w:lineRule="exact"/>
        <w:ind w:firstLine="640"/>
        <w:jc w:val="both"/>
        <w:outlineLvl w:val="3"/>
      </w:pPr>
      <w:r>
        <w:rPr>
          <w:rFonts w:ascii="楷体_GB2312" w:hAnsi="楷体_GB2312" w:eastAsia="楷体_GB2312"/>
          <w:b/>
          <w:sz w:val="32"/>
        </w:rPr>
        <w:t>（一）一般公共预算财政拨款支出决算总体情况</w:t>
      </w:r>
    </w:p>
    <w:p w14:paraId="7920B832">
      <w:pPr>
        <w:spacing w:line="580" w:lineRule="exact"/>
        <w:ind w:firstLine="640"/>
        <w:jc w:val="both"/>
      </w:pPr>
      <w:r>
        <w:rPr>
          <w:rFonts w:ascii="仿宋_GB2312" w:hAnsi="仿宋_GB2312" w:eastAsia="仿宋_GB2312"/>
          <w:b/>
          <w:sz w:val="32"/>
        </w:rPr>
        <w:t>2024年度一般公共预算财政拨款支出469.53万元，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减少8.71万元，下降1.82%，主要原因是：本年度减少综合改革工作项目经费，在职人员减少，相关人员经费减少，导致本年经费减少。</w:t>
      </w:r>
      <w:r>
        <w:rPr>
          <w:rFonts w:ascii="仿宋_GB2312" w:hAnsi="仿宋_GB2312" w:eastAsia="仿宋_GB2312"/>
          <w:b/>
          <w:sz w:val="32"/>
        </w:rPr>
        <w:t>与年初预算相比,</w:t>
      </w:r>
      <w:r>
        <w:rPr>
          <w:rFonts w:ascii="仿宋_GB2312" w:hAnsi="仿宋_GB2312" w:eastAsia="仿宋_GB2312"/>
          <w:b w:val="0"/>
          <w:sz w:val="32"/>
        </w:rPr>
        <w:t>年初预算数466.97万元，决算数469.53万元，预决算差异率0.55%，主要原因是：年中追加人员工资、社保、公积金基数调增部分资金，导致预决算存在差异。</w:t>
      </w:r>
    </w:p>
    <w:p w14:paraId="064DFC55">
      <w:pPr>
        <w:spacing w:line="640" w:lineRule="exact"/>
        <w:ind w:firstLine="640"/>
        <w:jc w:val="both"/>
        <w:outlineLvl w:val="3"/>
      </w:pPr>
      <w:r>
        <w:rPr>
          <w:rFonts w:ascii="楷体_GB2312" w:hAnsi="楷体_GB2312" w:eastAsia="楷体_GB2312"/>
          <w:b/>
          <w:sz w:val="32"/>
        </w:rPr>
        <w:t>（二）一般公共预算财政拨款支出决算结构情况</w:t>
      </w:r>
    </w:p>
    <w:p w14:paraId="151A2F55">
      <w:pPr>
        <w:spacing w:line="580" w:lineRule="exact"/>
        <w:ind w:firstLine="640"/>
        <w:jc w:val="both"/>
      </w:pPr>
      <w:r>
        <w:rPr>
          <w:rFonts w:ascii="仿宋_GB2312" w:hAnsi="仿宋_GB2312" w:eastAsia="仿宋_GB2312"/>
          <w:b w:val="0"/>
          <w:sz w:val="32"/>
        </w:rPr>
        <w:t>1.一般公共服务支出(类)364.74万元,占77.68%。</w:t>
      </w:r>
    </w:p>
    <w:p w14:paraId="573CBA85">
      <w:pPr>
        <w:spacing w:line="580" w:lineRule="exact"/>
        <w:ind w:firstLine="640"/>
        <w:jc w:val="both"/>
      </w:pPr>
      <w:r>
        <w:rPr>
          <w:rFonts w:ascii="仿宋_GB2312" w:hAnsi="仿宋_GB2312" w:eastAsia="仿宋_GB2312"/>
          <w:b w:val="0"/>
          <w:sz w:val="32"/>
        </w:rPr>
        <w:t>2.社会保障和就业支出(类)54.22万元,占11.55%。</w:t>
      </w:r>
    </w:p>
    <w:p w14:paraId="54EF6DC4">
      <w:pPr>
        <w:spacing w:line="580" w:lineRule="exact"/>
        <w:ind w:firstLine="640"/>
        <w:jc w:val="both"/>
      </w:pPr>
      <w:r>
        <w:rPr>
          <w:rFonts w:ascii="仿宋_GB2312" w:hAnsi="仿宋_GB2312" w:eastAsia="仿宋_GB2312"/>
          <w:b w:val="0"/>
          <w:sz w:val="32"/>
        </w:rPr>
        <w:t>3.卫生健康支出(类)19.34万元,占4.12%。</w:t>
      </w:r>
    </w:p>
    <w:p w14:paraId="5853E610">
      <w:pPr>
        <w:spacing w:line="580" w:lineRule="exact"/>
        <w:ind w:firstLine="640"/>
        <w:jc w:val="both"/>
      </w:pPr>
      <w:r>
        <w:rPr>
          <w:rFonts w:ascii="仿宋_GB2312" w:hAnsi="仿宋_GB2312" w:eastAsia="仿宋_GB2312"/>
          <w:b w:val="0"/>
          <w:sz w:val="32"/>
        </w:rPr>
        <w:t>4.住房保障支出(类)31.23万元,占6.65%。</w:t>
      </w:r>
    </w:p>
    <w:p w14:paraId="791BAC17">
      <w:pPr>
        <w:spacing w:line="640" w:lineRule="exact"/>
        <w:ind w:firstLine="640"/>
        <w:jc w:val="both"/>
        <w:outlineLvl w:val="3"/>
      </w:pPr>
      <w:r>
        <w:rPr>
          <w:rFonts w:ascii="楷体_GB2312" w:hAnsi="楷体_GB2312" w:eastAsia="楷体_GB2312"/>
          <w:b/>
          <w:sz w:val="32"/>
        </w:rPr>
        <w:t>（三）一般公共预算财政拨款支出决算具体情况</w:t>
      </w:r>
    </w:p>
    <w:p w14:paraId="58BC11EE">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326.76万元，比上年决算减少9.37万元，下降2.79%,主要原因是：本年在职人员减少，相应人员经费较上年减少；本年减少其他工作经费，公用经费减少。</w:t>
      </w:r>
    </w:p>
    <w:p w14:paraId="33AACDD6">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2.一般公共服务支出(类)党委办公厅（室）及相关机构事务(款)一般行政管理事务(项):支出决算数为37.93万元，比上年决算减少2.59万元，下降6.39%,主要原因是：本年减少综合改革工作项目经费。</w:t>
      </w:r>
    </w:p>
    <w:p w14:paraId="605739C8">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3.一般公共服务支出(类)党委办公厅（室）及相关机构事务(款)其他党委办公厅（室）及相关机构事务支出(项):支出决算数为0.05万元，比上年决算增加0.05万元，增长100.00%,主要原因是：</w:t>
      </w:r>
      <w:r>
        <w:rPr>
          <w:rFonts w:hint="eastAsia" w:ascii="仿宋_GB2312" w:hAnsi="仿宋_GB2312" w:eastAsia="仿宋_GB2312"/>
          <w:b w:val="0"/>
          <w:sz w:val="32"/>
        </w:rPr>
        <w:t>本年度功能科目调整，专项项目上年在其他支出(项）科目列支，本年调整至</w:t>
      </w:r>
      <w:r>
        <w:rPr>
          <w:rFonts w:ascii="仿宋_GB2312" w:hAnsi="仿宋_GB2312" w:eastAsia="仿宋_GB2312"/>
          <w:b w:val="0"/>
          <w:sz w:val="32"/>
        </w:rPr>
        <w:t>其他党委办公厅（室）及相关机构事务支出(项)</w:t>
      </w:r>
      <w:r>
        <w:rPr>
          <w:rFonts w:hint="eastAsia" w:ascii="仿宋_GB2312" w:hAnsi="仿宋_GB2312" w:eastAsia="仿宋_GB2312"/>
          <w:b w:val="0"/>
          <w:sz w:val="32"/>
        </w:rPr>
        <w:t>列支，导致经费支出增加</w:t>
      </w:r>
      <w:r>
        <w:rPr>
          <w:rFonts w:ascii="仿宋_GB2312" w:hAnsi="仿宋_GB2312" w:eastAsia="仿宋_GB2312"/>
          <w:b w:val="0"/>
          <w:sz w:val="32"/>
        </w:rPr>
        <w:t>。</w:t>
      </w:r>
    </w:p>
    <w:p w14:paraId="2455D6C4">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4.社会保障和就业支出(类)行政事业单位养老支出(款)行政单位离退休(项):支出决算数为6.78万元，比上年决算增加2.38万元，增长54.09%,主要原因是：本年退休人员增加，退休费支出增加。</w:t>
      </w:r>
    </w:p>
    <w:p w14:paraId="5C475133">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36.49万元，比上年决算减少0.92万元，下降2.46%,主要原因是：本年在职人员减少，单位基本养老保险缴费较上年减少。</w:t>
      </w:r>
    </w:p>
    <w:p w14:paraId="3497EC0E">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6.社会保障和就业支出(类)行政事业单位养老支出(款)机关事业单位职业年金缴费支出(项):支出决算数为10.95万元，比上年决算增加3.82万元，增长53.58%,主要原因是：本年新增退休人员，职业年金缴费支出增加。</w:t>
      </w:r>
    </w:p>
    <w:p w14:paraId="48E6556C">
      <w:pPr>
        <w:spacing w:line="580" w:lineRule="exact"/>
        <w:ind w:firstLine="640"/>
        <w:jc w:val="both"/>
      </w:pPr>
      <w:r>
        <w:rPr>
          <w:rFonts w:ascii="仿宋_GB2312" w:hAnsi="仿宋_GB2312" w:eastAsia="仿宋_GB2312"/>
          <w:b w:val="0"/>
          <w:sz w:val="32"/>
        </w:rPr>
        <w:t>7.卫生健康支出(类)行政事业单位医疗(款)行政单位医疗(项):支出决算数为15.51万元，比上年决算减少0.73万元，下降4.50%,主要原因是：本年在职人员减少，行政单位医疗支出较上年减少。</w:t>
      </w:r>
    </w:p>
    <w:p w14:paraId="303EC895">
      <w:pPr>
        <w:spacing w:line="580" w:lineRule="exact"/>
        <w:ind w:firstLine="640"/>
        <w:jc w:val="both"/>
      </w:pPr>
      <w:r>
        <w:rPr>
          <w:rFonts w:ascii="仿宋_GB2312" w:hAnsi="仿宋_GB2312" w:eastAsia="仿宋_GB2312"/>
          <w:b w:val="0"/>
          <w:sz w:val="32"/>
        </w:rPr>
        <w:t>8.卫生健康支出(类)行政事业单位医疗(款)公务员医疗补助(项):支出决算数为3.83万元，比上年决算减少0.36万元，下降8.59%,主要原因是：本年在职人员减少，公务员医疗补助较上年减少。</w:t>
      </w:r>
    </w:p>
    <w:p w14:paraId="1047929B">
      <w:pPr>
        <w:spacing w:line="580" w:lineRule="exact"/>
        <w:ind w:firstLine="640"/>
        <w:jc w:val="both"/>
      </w:pPr>
      <w:r>
        <w:rPr>
          <w:rFonts w:ascii="仿宋_GB2312" w:hAnsi="仿宋_GB2312" w:eastAsia="仿宋_GB2312"/>
          <w:b w:val="0"/>
          <w:sz w:val="32"/>
        </w:rPr>
        <w:t>9.住房保障支出(类)住房改革支出(款)住房公积金(项):支出决算数为31.23万元，比上年决算增加0.05万元，增长0.16%,主要原因是：本年在职人员工资基数调增，公积金缴费基数上涨，相应支出增加。</w:t>
      </w:r>
    </w:p>
    <w:p w14:paraId="3183E986">
      <w:pPr>
        <w:spacing w:line="580" w:lineRule="exact"/>
        <w:ind w:firstLine="640"/>
        <w:jc w:val="both"/>
      </w:pPr>
      <w:r>
        <w:rPr>
          <w:rFonts w:ascii="仿宋_GB2312" w:hAnsi="仿宋_GB2312" w:eastAsia="仿宋_GB2312"/>
          <w:b w:val="0"/>
          <w:sz w:val="32"/>
        </w:rPr>
        <w:t>10.其他支出(类)其他支出(款)其他支出(项):支出决算数为0.00万元，比上年决算减少1.05万元，下降100.00%,主要原因是：</w:t>
      </w:r>
      <w:r>
        <w:rPr>
          <w:rFonts w:hint="eastAsia" w:ascii="仿宋_GB2312" w:hAnsi="仿宋_GB2312" w:eastAsia="仿宋_GB2312"/>
          <w:b w:val="0"/>
          <w:sz w:val="32"/>
        </w:rPr>
        <w:t>本年度功能科目调整，专项项目上年在其他支出(项）科目列支，本年调整至</w:t>
      </w:r>
      <w:r>
        <w:rPr>
          <w:rFonts w:ascii="仿宋_GB2312" w:hAnsi="仿宋_GB2312" w:eastAsia="仿宋_GB2312"/>
          <w:b w:val="0"/>
          <w:sz w:val="32"/>
        </w:rPr>
        <w:t>其他党委办公厅（室）及相关机构事务支出(项)</w:t>
      </w:r>
      <w:r>
        <w:rPr>
          <w:rFonts w:hint="eastAsia" w:ascii="仿宋_GB2312" w:hAnsi="仿宋_GB2312" w:eastAsia="仿宋_GB2312"/>
          <w:b w:val="0"/>
          <w:sz w:val="32"/>
        </w:rPr>
        <w:t>列支，导致经费支出</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16640936">
      <w:pPr>
        <w:spacing w:line="640" w:lineRule="exact"/>
        <w:ind w:firstLine="640"/>
        <w:jc w:val="both"/>
        <w:outlineLvl w:val="2"/>
      </w:pPr>
      <w:r>
        <w:rPr>
          <w:rFonts w:ascii="黑体" w:hAnsi="黑体" w:eastAsia="黑体"/>
          <w:sz w:val="32"/>
        </w:rPr>
        <w:t>六、一般公共预算财政拨款基本支出决算情况说明</w:t>
      </w:r>
    </w:p>
    <w:p w14:paraId="2E28C4DC">
      <w:pPr>
        <w:spacing w:line="580" w:lineRule="exact"/>
        <w:ind w:firstLine="640"/>
        <w:jc w:val="both"/>
      </w:pPr>
      <w:r>
        <w:rPr>
          <w:rFonts w:ascii="仿宋_GB2312" w:hAnsi="仿宋_GB2312" w:eastAsia="仿宋_GB2312"/>
          <w:b w:val="0"/>
          <w:sz w:val="32"/>
        </w:rPr>
        <w:t>2024年度一般公共预算财政拨款基本支出431.55万元，其中：</w:t>
      </w:r>
      <w:r>
        <w:rPr>
          <w:rFonts w:ascii="仿宋_GB2312" w:hAnsi="仿宋_GB2312" w:eastAsia="仿宋_GB2312"/>
          <w:b/>
          <w:sz w:val="32"/>
        </w:rPr>
        <w:t>人员经费412.60万元，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5ECB7B4D">
      <w:pPr>
        <w:spacing w:line="580" w:lineRule="exact"/>
        <w:ind w:firstLine="640"/>
        <w:jc w:val="both"/>
      </w:pPr>
      <w:r>
        <w:rPr>
          <w:rFonts w:ascii="仿宋_GB2312" w:hAnsi="仿宋_GB2312" w:eastAsia="仿宋_GB2312"/>
          <w:b/>
          <w:sz w:val="32"/>
        </w:rPr>
        <w:t>公用经费18.95万元，</w:t>
      </w:r>
      <w:r>
        <w:rPr>
          <w:rFonts w:ascii="仿宋_GB2312" w:hAnsi="仿宋_GB2312" w:eastAsia="仿宋_GB2312"/>
          <w:b w:val="0"/>
          <w:sz w:val="32"/>
        </w:rPr>
        <w:t>包括：办公费、水费、电费、邮电费、物业管理费、差旅费、维修（护）费、专用材料费、委托业务费、工会经费、公务用车运行维护费、其他交通费用、其他商品和服务支出。</w:t>
      </w:r>
    </w:p>
    <w:p w14:paraId="09CB8EF6">
      <w:pPr>
        <w:spacing w:line="640" w:lineRule="exact"/>
        <w:ind w:firstLine="640"/>
        <w:jc w:val="both"/>
        <w:outlineLvl w:val="2"/>
      </w:pPr>
      <w:r>
        <w:rPr>
          <w:rFonts w:ascii="黑体" w:hAnsi="黑体" w:eastAsia="黑体"/>
          <w:sz w:val="32"/>
        </w:rPr>
        <w:t>七、政府性基金预算财政拨款收入支出决算情况说明</w:t>
      </w:r>
    </w:p>
    <w:p w14:paraId="05B1AA2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7983F21">
      <w:pPr>
        <w:spacing w:line="640" w:lineRule="exact"/>
        <w:ind w:firstLine="640"/>
        <w:jc w:val="both"/>
        <w:outlineLvl w:val="2"/>
      </w:pPr>
      <w:r>
        <w:rPr>
          <w:rFonts w:ascii="黑体" w:hAnsi="黑体" w:eastAsia="黑体"/>
          <w:sz w:val="32"/>
        </w:rPr>
        <w:t>八、国有资本经营预算财政拨款收入支出决算情况说明</w:t>
      </w:r>
    </w:p>
    <w:p w14:paraId="3D53D61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E964ABA">
      <w:pPr>
        <w:spacing w:line="640" w:lineRule="exact"/>
        <w:ind w:firstLine="640"/>
        <w:jc w:val="both"/>
        <w:outlineLvl w:val="2"/>
      </w:pPr>
      <w:r>
        <w:rPr>
          <w:rFonts w:ascii="黑体" w:hAnsi="黑体" w:eastAsia="黑体"/>
          <w:sz w:val="32"/>
        </w:rPr>
        <w:t>九、财政拨款“三公”经费支出决算情况说明</w:t>
      </w:r>
    </w:p>
    <w:p w14:paraId="3B5F6BFF">
      <w:pPr>
        <w:spacing w:line="580" w:lineRule="exact"/>
        <w:ind w:firstLine="640"/>
        <w:jc w:val="both"/>
      </w:pPr>
      <w:r>
        <w:rPr>
          <w:rFonts w:ascii="仿宋_GB2312" w:hAnsi="仿宋_GB2312" w:eastAsia="仿宋_GB2312"/>
          <w:b/>
          <w:sz w:val="32"/>
        </w:rPr>
        <w:t>2024年度财政拨款“三公”经费支出2.10万元，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2.10万元，占100.00%，比上年增加0.00万元，增长0.00%，主要原因是：本单位公务用车运行维护费与上年一致无变化。公务接待费支出0.00万元，占0.00%，比上年增加0.00万元，增长0.00%，主要原因是：2023年与2024年均未安排公务接待费支出。</w:t>
      </w:r>
    </w:p>
    <w:p w14:paraId="2F071107">
      <w:pPr>
        <w:spacing w:line="580" w:lineRule="exact"/>
        <w:ind w:firstLine="640"/>
        <w:jc w:val="both"/>
      </w:pPr>
      <w:r>
        <w:rPr>
          <w:rFonts w:ascii="仿宋_GB2312" w:hAnsi="仿宋_GB2312" w:eastAsia="仿宋_GB2312"/>
          <w:b/>
          <w:sz w:val="32"/>
        </w:rPr>
        <w:t>具体情况如下：</w:t>
      </w:r>
    </w:p>
    <w:p w14:paraId="536289E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D103424">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加油费、维修费、保险费、审车费、过路费等。公务用车购置数0辆，公务用车保有量1辆。国有资产占用情况中固定资产车辆0辆，与公务用车保有量差异原因是：</w:t>
      </w:r>
      <w:r>
        <w:rPr>
          <w:rFonts w:hint="eastAsia" w:ascii="仿宋_GB2312" w:hAnsi="仿宋_GB2312" w:eastAsia="仿宋_GB2312"/>
          <w:b w:val="0"/>
          <w:sz w:val="32"/>
          <w:lang w:val="en-US" w:eastAsia="zh-CN"/>
        </w:rPr>
        <w:t>差异车辆为</w:t>
      </w:r>
      <w:r>
        <w:rPr>
          <w:rFonts w:ascii="仿宋_GB2312" w:hAnsi="仿宋_GB2312" w:eastAsia="仿宋_GB2312"/>
          <w:b w:val="0"/>
          <w:sz w:val="32"/>
        </w:rPr>
        <w:t>借用其他单位车辆，车辆费用由本单位支付。</w:t>
      </w:r>
    </w:p>
    <w:p w14:paraId="66C6D08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6730BC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万元，决算数2.10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0.00万元，决算数0.00万元，预决算差异率0.00%，主要原因是：本单位无公务接待费。</w:t>
      </w:r>
    </w:p>
    <w:p w14:paraId="45FE73FC">
      <w:pPr>
        <w:spacing w:line="640" w:lineRule="exact"/>
        <w:ind w:firstLine="640"/>
        <w:jc w:val="both"/>
        <w:outlineLvl w:val="2"/>
      </w:pPr>
      <w:r>
        <w:rPr>
          <w:rFonts w:ascii="黑体" w:hAnsi="黑体" w:eastAsia="黑体"/>
          <w:sz w:val="32"/>
        </w:rPr>
        <w:t>十、其他重要事项的情况说明</w:t>
      </w:r>
    </w:p>
    <w:p w14:paraId="6CC980C6">
      <w:pPr>
        <w:spacing w:line="640" w:lineRule="exact"/>
        <w:ind w:firstLine="640"/>
        <w:jc w:val="both"/>
        <w:outlineLvl w:val="3"/>
      </w:pPr>
      <w:r>
        <w:rPr>
          <w:rFonts w:ascii="楷体_GB2312" w:hAnsi="楷体_GB2312" w:eastAsia="楷体_GB2312"/>
          <w:b/>
          <w:sz w:val="32"/>
        </w:rPr>
        <w:t>（一）机关运行经费及公用经费支出情况</w:t>
      </w:r>
    </w:p>
    <w:p w14:paraId="321F1C40">
      <w:pPr>
        <w:spacing w:line="580" w:lineRule="exact"/>
        <w:ind w:firstLine="640"/>
        <w:jc w:val="both"/>
      </w:pPr>
      <w:r>
        <w:rPr>
          <w:rFonts w:ascii="仿宋_GB2312" w:hAnsi="仿宋_GB2312" w:eastAsia="仿宋_GB2312"/>
          <w:b w:val="0"/>
          <w:sz w:val="32"/>
        </w:rPr>
        <w:t>2024年度中共喀什地委机构编制委员会办公室（行政单位和参照公务员法管理事业单位）机关运行经费支出18.95万元，比上年减少4.54万元，下降19.33%，主要原因是：本年在职人员减少，导致办公经费减少。</w:t>
      </w:r>
    </w:p>
    <w:p w14:paraId="158749CC">
      <w:pPr>
        <w:spacing w:line="640" w:lineRule="exact"/>
        <w:ind w:firstLine="640"/>
        <w:jc w:val="both"/>
        <w:outlineLvl w:val="3"/>
      </w:pPr>
      <w:r>
        <w:rPr>
          <w:rFonts w:ascii="楷体_GB2312" w:hAnsi="楷体_GB2312" w:eastAsia="楷体_GB2312"/>
          <w:b/>
          <w:sz w:val="32"/>
        </w:rPr>
        <w:t>（二）政府采购情况</w:t>
      </w:r>
    </w:p>
    <w:p w14:paraId="0B382141">
      <w:pPr>
        <w:spacing w:line="580" w:lineRule="exact"/>
        <w:ind w:firstLine="640"/>
        <w:jc w:val="both"/>
      </w:pPr>
      <w:r>
        <w:rPr>
          <w:rFonts w:ascii="仿宋_GB2312" w:hAnsi="仿宋_GB2312" w:eastAsia="仿宋_GB2312"/>
          <w:b w:val="0"/>
          <w:sz w:val="32"/>
        </w:rPr>
        <w:t>2024年度政府采购支出总额40.99万元，其中：政府采购货物支出28.39万元、政府采购工程支出3.67万元、政府采购服务支出8.94万元。</w:t>
      </w:r>
    </w:p>
    <w:p w14:paraId="4BDFE01E">
      <w:pPr>
        <w:spacing w:line="580" w:lineRule="exact"/>
        <w:ind w:firstLine="640"/>
        <w:jc w:val="both"/>
      </w:pPr>
      <w:r>
        <w:rPr>
          <w:rFonts w:ascii="仿宋_GB2312" w:hAnsi="仿宋_GB2312" w:eastAsia="仿宋_GB2312"/>
          <w:b w:val="0"/>
          <w:sz w:val="32"/>
        </w:rPr>
        <w:t>授予中小企业合同金额40.99万元，占政府采购支出总额的100.00%，其中：授予小微企业合同金额40.99万元，占政府采购支出总额的100.00%。</w:t>
      </w:r>
    </w:p>
    <w:p w14:paraId="63361A91">
      <w:pPr>
        <w:spacing w:line="640" w:lineRule="exact"/>
        <w:ind w:firstLine="640"/>
        <w:jc w:val="both"/>
        <w:outlineLvl w:val="3"/>
      </w:pPr>
      <w:r>
        <w:rPr>
          <w:rFonts w:ascii="楷体_GB2312" w:hAnsi="楷体_GB2312" w:eastAsia="楷体_GB2312"/>
          <w:b/>
          <w:sz w:val="32"/>
        </w:rPr>
        <w:t>（三）国有资产占用情况说明</w:t>
      </w:r>
    </w:p>
    <w:p w14:paraId="6CEA98BC">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12CDBBE">
      <w:pPr>
        <w:spacing w:line="640" w:lineRule="exact"/>
        <w:ind w:firstLine="640"/>
        <w:jc w:val="both"/>
        <w:outlineLvl w:val="2"/>
      </w:pPr>
      <w:r>
        <w:rPr>
          <w:rFonts w:ascii="黑体" w:hAnsi="黑体" w:eastAsia="黑体"/>
          <w:sz w:val="32"/>
        </w:rPr>
        <w:t>十一、预算绩效的情况说明</w:t>
      </w:r>
    </w:p>
    <w:p w14:paraId="246F99B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472.56万元，实际执行总额469.53万元；预算绩效评价项目1个，全年预算数25.93万元，全年执行数25.93万元。预算绩效管理取得的成效：中共喀什地委机构编制委员会办公室决算数据来源真实，严格做到账表相符、账实相符</w:t>
      </w:r>
      <w:r>
        <w:rPr>
          <w:rFonts w:hint="eastAsia" w:ascii="仿宋_GB2312" w:hAnsi="仿宋_GB2312" w:eastAsia="仿宋_GB2312"/>
          <w:b w:val="0"/>
          <w:sz w:val="32"/>
          <w:lang w:eastAsia="zh-CN"/>
        </w:rPr>
        <w:t>、</w:t>
      </w:r>
      <w:r>
        <w:rPr>
          <w:rFonts w:ascii="仿宋_GB2312" w:hAnsi="仿宋_GB2312" w:eastAsia="仿宋_GB2312"/>
          <w:b w:val="0"/>
          <w:sz w:val="32"/>
        </w:rPr>
        <w:t>账账相符。每年度决算数据完整、连续，准确。根据每年度预决算数据对比，分析预决算管理工作成效，加强地委办公室项目预算绩效管理，通过认真开展绩效事前评估，事中加强绩效目标管理、做实绩效工作，事后开展绩效评价和结果应用四项举措，完善会计核算工作，提高财务管理水平。发现的问题及原因：一是预算编制、绩效目标的制定不严谨、不精准，年初预算测算依据不精准，导致预决算执行差异率过大；二是内控制度更新完善不及时，未能及时根据业务及单位实际情况更新单位内部控制制度，导致部分经济业务运行缺乏监管；三是采购预算编制不够精准，采购程序不规范。存在编制预算与实际需求不符、预算执行与预算内容不符，存在无预算、超预算支出等情况。下一步改进措施：一是加强内部控制制度宣传与培训，将内部控制制度贯穿于经济业务运行全过程，做到以制度管人、管事；二是持续抓好业务能力提升，不断强化理论基础，不断提升地委机关财务队伍整体实力，促进业务经办从懂到精转化；三是各项目负责人要积极参与项目绩效管理工作，各项目负责人应对项目预算编制完整性、执行结果负责。项目负责人对预算执行过程进行全面监管，及时发现并纠正预算执行中的偏差和问题，提升预算绩效管理水平。具体附整体支出绩效自评表，项目支出绩效自评表和评价报告。</w:t>
      </w:r>
    </w:p>
    <w:p w14:paraId="094BAB3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52A30C0">
        <w:tblPrEx>
          <w:tblCellMar>
            <w:top w:w="0" w:type="dxa"/>
            <w:left w:w="108" w:type="dxa"/>
            <w:bottom w:w="0" w:type="dxa"/>
            <w:right w:w="108" w:type="dxa"/>
          </w:tblCellMar>
        </w:tblPrEx>
        <w:tc>
          <w:tcPr>
            <w:tcW w:w="8847" w:type="dxa"/>
            <w:gridSpan w:val="9"/>
            <w:vAlign w:val="center"/>
          </w:tcPr>
          <w:p w14:paraId="56524112">
            <w:pPr>
              <w:jc w:val="center"/>
            </w:pPr>
            <w:r>
              <w:rPr>
                <w:rFonts w:ascii="宋体" w:hAnsi="宋体" w:eastAsia="宋体"/>
                <w:sz w:val="24"/>
              </w:rPr>
              <w:t>单位整体支出绩效自评表</w:t>
            </w:r>
          </w:p>
        </w:tc>
      </w:tr>
      <w:tr w14:paraId="1B80BC23">
        <w:tblPrEx>
          <w:tblCellMar>
            <w:top w:w="0" w:type="dxa"/>
            <w:left w:w="108" w:type="dxa"/>
            <w:bottom w:w="0" w:type="dxa"/>
            <w:right w:w="108" w:type="dxa"/>
          </w:tblCellMar>
        </w:tblPrEx>
        <w:tc>
          <w:tcPr>
            <w:tcW w:w="8847" w:type="dxa"/>
            <w:gridSpan w:val="9"/>
            <w:vAlign w:val="center"/>
          </w:tcPr>
          <w:p w14:paraId="742B2971">
            <w:pPr>
              <w:jc w:val="center"/>
            </w:pPr>
            <w:r>
              <w:rPr>
                <w:rFonts w:ascii="宋体" w:hAnsi="宋体" w:eastAsia="宋体"/>
                <w:sz w:val="24"/>
              </w:rPr>
              <w:t>（2024年度）</w:t>
            </w:r>
          </w:p>
        </w:tc>
      </w:tr>
      <w:tr w14:paraId="350BCB0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C142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297782F">
            <w:pPr>
              <w:jc w:val="center"/>
            </w:pPr>
            <w:r>
              <w:rPr>
                <w:rFonts w:ascii="宋体" w:hAnsi="宋体" w:eastAsia="宋体"/>
                <w:sz w:val="16"/>
              </w:rPr>
              <w:t>中共喀什地委机构编制委员会办公室</w:t>
            </w:r>
          </w:p>
        </w:tc>
      </w:tr>
      <w:tr w14:paraId="0EF5583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A916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6AA0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FBB3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694A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12BC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AFD3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3185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3D0E9">
            <w:pPr>
              <w:jc w:val="center"/>
            </w:pPr>
            <w:r>
              <w:rPr>
                <w:rFonts w:ascii="宋体" w:hAnsi="宋体" w:eastAsia="宋体"/>
                <w:sz w:val="16"/>
              </w:rPr>
              <w:t>得分</w:t>
            </w:r>
          </w:p>
        </w:tc>
      </w:tr>
      <w:tr w14:paraId="20923F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8AAF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404F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170D7">
            <w:pPr>
              <w:jc w:val="center"/>
            </w:pPr>
            <w:r>
              <w:rPr>
                <w:rFonts w:ascii="宋体" w:hAnsi="宋体" w:eastAsia="宋体"/>
                <w:sz w:val="16"/>
              </w:rPr>
              <w:t>466.97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F6FC3">
            <w:pPr>
              <w:jc w:val="center"/>
            </w:pPr>
            <w:r>
              <w:rPr>
                <w:rFonts w:ascii="宋体" w:hAnsi="宋体" w:eastAsia="宋体"/>
                <w:sz w:val="16"/>
              </w:rPr>
              <w:t>472.56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B7BB3">
            <w:pPr>
              <w:jc w:val="center"/>
            </w:pPr>
            <w:r>
              <w:rPr>
                <w:rFonts w:ascii="宋体" w:hAnsi="宋体" w:eastAsia="宋体"/>
                <w:sz w:val="16"/>
              </w:rPr>
              <w:t>469.53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91A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08BD6">
            <w:pPr>
              <w:jc w:val="center"/>
            </w:pPr>
            <w:r>
              <w:rPr>
                <w:rFonts w:ascii="宋体" w:hAnsi="宋体" w:eastAsia="宋体"/>
                <w:sz w:val="16"/>
              </w:rPr>
              <w:t>99.36%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7939B">
            <w:pPr>
              <w:jc w:val="center"/>
            </w:pPr>
            <w:r>
              <w:rPr>
                <w:rFonts w:ascii="宋体" w:hAnsi="宋体" w:eastAsia="宋体"/>
                <w:sz w:val="16"/>
              </w:rPr>
              <w:t>10</w:t>
            </w:r>
          </w:p>
        </w:tc>
      </w:tr>
      <w:tr w14:paraId="0BB4C0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0D54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62E0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526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49F08">
            <w:pPr>
              <w:jc w:val="center"/>
            </w:pPr>
            <w:r>
              <w:rPr>
                <w:rFonts w:ascii="宋体" w:hAnsi="宋体" w:eastAsia="宋体"/>
                <w:sz w:val="16"/>
              </w:rPr>
              <w:t>32.09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CE3AF">
            <w:pPr>
              <w:jc w:val="center"/>
            </w:pPr>
            <w:r>
              <w:rPr>
                <w:rFonts w:ascii="宋体" w:hAnsi="宋体" w:eastAsia="宋体"/>
                <w:sz w:val="16"/>
              </w:rPr>
              <w:t>29.06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4B6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0185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63AB3">
            <w:pPr>
              <w:jc w:val="center"/>
            </w:pPr>
            <w:r>
              <w:rPr>
                <w:rFonts w:ascii="宋体" w:hAnsi="宋体" w:eastAsia="宋体"/>
                <w:sz w:val="16"/>
              </w:rPr>
              <w:t>—</w:t>
            </w:r>
          </w:p>
        </w:tc>
      </w:tr>
      <w:tr w14:paraId="1B2B56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FB91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0251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21078">
            <w:pPr>
              <w:jc w:val="center"/>
            </w:pPr>
            <w:r>
              <w:rPr>
                <w:rFonts w:ascii="宋体" w:hAnsi="宋体" w:eastAsia="宋体"/>
                <w:sz w:val="16"/>
              </w:rPr>
              <w:t>466.97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409A6">
            <w:pPr>
              <w:jc w:val="center"/>
            </w:pPr>
            <w:r>
              <w:rPr>
                <w:rFonts w:ascii="宋体" w:hAnsi="宋体" w:eastAsia="宋体"/>
                <w:sz w:val="16"/>
              </w:rPr>
              <w:t>440.47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39810">
            <w:pPr>
              <w:jc w:val="center"/>
            </w:pPr>
            <w:r>
              <w:rPr>
                <w:rFonts w:ascii="宋体" w:hAnsi="宋体" w:eastAsia="宋体"/>
                <w:sz w:val="16"/>
              </w:rPr>
              <w:t>440.47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0581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C016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20409">
            <w:pPr>
              <w:jc w:val="center"/>
            </w:pPr>
            <w:r>
              <w:rPr>
                <w:rFonts w:ascii="宋体" w:hAnsi="宋体" w:eastAsia="宋体"/>
                <w:sz w:val="16"/>
              </w:rPr>
              <w:t>—</w:t>
            </w:r>
          </w:p>
        </w:tc>
      </w:tr>
      <w:tr w14:paraId="4D398C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1029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8481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509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113D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388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10B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7520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99683">
            <w:pPr>
              <w:jc w:val="center"/>
            </w:pPr>
            <w:r>
              <w:rPr>
                <w:rFonts w:ascii="宋体" w:hAnsi="宋体" w:eastAsia="宋体"/>
                <w:sz w:val="16"/>
              </w:rPr>
              <w:t>—</w:t>
            </w:r>
          </w:p>
        </w:tc>
      </w:tr>
      <w:tr w14:paraId="07547CE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3BEA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51A14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46DF5D">
            <w:pPr>
              <w:jc w:val="center"/>
            </w:pPr>
            <w:r>
              <w:rPr>
                <w:rFonts w:ascii="宋体" w:hAnsi="宋体" w:eastAsia="宋体"/>
                <w:sz w:val="16"/>
              </w:rPr>
              <w:t>实际完成情况</w:t>
            </w:r>
          </w:p>
        </w:tc>
      </w:tr>
      <w:tr w14:paraId="43368F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C5683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1AD64E">
            <w:pPr>
              <w:jc w:val="both"/>
            </w:pPr>
            <w:r>
              <w:rPr>
                <w:rFonts w:hint="eastAsia" w:ascii="宋体" w:hAnsi="宋体"/>
                <w:sz w:val="16"/>
                <w:lang w:eastAsia="zh-CN"/>
              </w:rPr>
              <w:t>按照</w:t>
            </w:r>
            <w:r>
              <w:rPr>
                <w:rFonts w:ascii="宋体" w:hAnsi="宋体" w:eastAsia="宋体"/>
                <w:sz w:val="16"/>
              </w:rPr>
              <w:t>《中共中央&lt;关于做好地方机构改革组织实施工作意见&gt;的通知》中办发</w:t>
            </w:r>
            <w:r>
              <w:rPr>
                <w:rFonts w:hint="eastAsia" w:ascii="宋体" w:hAnsi="宋体"/>
                <w:sz w:val="16"/>
                <w:lang w:eastAsia="zh-CN"/>
              </w:rPr>
              <w:t>〔2023〕38号</w:t>
            </w:r>
            <w:r>
              <w:rPr>
                <w:rFonts w:ascii="宋体" w:hAnsi="宋体" w:eastAsia="宋体"/>
                <w:sz w:val="16"/>
              </w:rPr>
              <w:t>、自治区党委编委《关于积极推进地县深化事业单位改革有关事宜的通知》(新党编委</w:t>
            </w:r>
            <w:r>
              <w:rPr>
                <w:rFonts w:hint="eastAsia" w:ascii="宋体" w:hAnsi="宋体"/>
                <w:sz w:val="16"/>
                <w:lang w:eastAsia="zh-CN"/>
              </w:rPr>
              <w:t>〔2023〕12号</w:t>
            </w:r>
            <w:r>
              <w:rPr>
                <w:rFonts w:ascii="宋体" w:hAnsi="宋体" w:eastAsia="宋体"/>
                <w:sz w:val="16"/>
              </w:rPr>
              <w:t>）文件精神制定喀什地区机关、事业单位改革、综合执法改革组织实施方案。完成2023年事业单位法人证书年审工作并督促各县市及时高效</w:t>
            </w:r>
            <w:r>
              <w:rPr>
                <w:rFonts w:hint="eastAsia" w:ascii="宋体" w:hAnsi="宋体"/>
                <w:sz w:val="16"/>
                <w:lang w:eastAsia="zh-CN"/>
              </w:rPr>
              <w:t>地</w:t>
            </w:r>
            <w:r>
              <w:rPr>
                <w:rFonts w:ascii="宋体" w:hAnsi="宋体" w:eastAsia="宋体"/>
                <w:sz w:val="16"/>
              </w:rPr>
              <w:t>完成年审工作。根据2024年各项改革工作需要，购置办公日用耗材以及工作人员外出报送报表及调研、评估期间租车、差旅费等费用的支付。召开不少于2次机构编制培训工作，为业务骨干发放编办近年来文件汇编，督促县市事业单位改革、绩效评估工作。按照保密工作要求，购置2台保密柜，1台保密级别扫描仪，支付分保测评尾款，提高编制工作部门保密工作严谨性。为保障电脑机房电脑设备的正常运行，给机房配置空调机一台。做好编办</w:t>
            </w:r>
            <w:r>
              <w:rPr>
                <w:rFonts w:hint="eastAsia" w:ascii="宋体" w:hAnsi="宋体"/>
                <w:sz w:val="16"/>
                <w:lang w:eastAsia="zh-CN"/>
              </w:rPr>
              <w:t>为民办实事</w:t>
            </w:r>
            <w:r>
              <w:rPr>
                <w:rFonts w:ascii="宋体" w:hAnsi="宋体" w:eastAsia="宋体"/>
                <w:sz w:val="16"/>
              </w:rPr>
              <w:t>工作，慰问</w:t>
            </w:r>
            <w:r>
              <w:rPr>
                <w:rFonts w:hint="eastAsia" w:ascii="宋体" w:hAnsi="宋体"/>
                <w:sz w:val="16"/>
                <w:lang w:eastAsia="zh-CN"/>
              </w:rPr>
              <w:t>为民办实事</w:t>
            </w:r>
            <w:r>
              <w:rPr>
                <w:rFonts w:ascii="宋体" w:hAnsi="宋体" w:eastAsia="宋体"/>
                <w:sz w:val="16"/>
              </w:rPr>
              <w:t>及党史学</w:t>
            </w:r>
            <w:bookmarkStart w:id="0" w:name="_GoBack"/>
            <w:r>
              <w:rPr>
                <w:rFonts w:hint="eastAsia" w:ascii="宋体" w:hAnsi="宋体"/>
                <w:sz w:val="16"/>
                <w:lang w:val="en-US" w:eastAsia="zh-CN"/>
              </w:rPr>
              <w:t>习</w:t>
            </w:r>
            <w:r>
              <w:rPr>
                <w:rFonts w:hint="eastAsia" w:ascii="宋体" w:hAnsi="宋体"/>
                <w:sz w:val="16"/>
                <w:lang w:eastAsia="zh-CN"/>
              </w:rPr>
              <w:t>教育</w:t>
            </w:r>
            <w:bookmarkEnd w:id="0"/>
            <w:r>
              <w:rPr>
                <w:rFonts w:ascii="宋体" w:hAnsi="宋体" w:eastAsia="宋体"/>
                <w:sz w:val="16"/>
              </w:rPr>
              <w:t>为民办实事好事活动不少于4次，充分体现党内激励机制关怀.按照中央编办及</w:t>
            </w:r>
            <w:r>
              <w:rPr>
                <w:rFonts w:hint="eastAsia" w:ascii="宋体" w:hAnsi="宋体"/>
                <w:sz w:val="16"/>
                <w:lang w:eastAsia="zh-CN"/>
              </w:rPr>
              <w:t>机关事务管理局</w:t>
            </w:r>
            <w:r>
              <w:rPr>
                <w:rFonts w:ascii="宋体" w:hAnsi="宋体" w:eastAsia="宋体"/>
                <w:sz w:val="16"/>
              </w:rPr>
              <w:t>工作要求，开通12310编制部门投诉电话，以及</w:t>
            </w:r>
            <w:r>
              <w:rPr>
                <w:rFonts w:hint="eastAsia" w:ascii="宋体" w:hAnsi="宋体"/>
                <w:sz w:val="16"/>
                <w:lang w:eastAsia="zh-CN"/>
              </w:rPr>
              <w:t>机关事务管理局</w:t>
            </w:r>
            <w:r>
              <w:rPr>
                <w:rFonts w:ascii="宋体" w:hAnsi="宋体" w:eastAsia="宋体"/>
                <w:sz w:val="16"/>
              </w:rPr>
              <w:t>专网制作政策宣传展板。为改善编办工作环境，修缮两间新分配办公室。</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8F627C">
            <w:pPr>
              <w:jc w:val="both"/>
            </w:pPr>
            <w:r>
              <w:rPr>
                <w:rFonts w:ascii="宋体" w:hAnsi="宋体" w:eastAsia="宋体"/>
                <w:sz w:val="16"/>
              </w:rPr>
              <w:t>该项目，实际已完成机构编制调研、评估工作单位15个，全年开展调研、评估30天，全年印发改革文件105份，慰问</w:t>
            </w:r>
            <w:r>
              <w:rPr>
                <w:rFonts w:hint="eastAsia" w:ascii="宋体" w:hAnsi="宋体"/>
                <w:sz w:val="16"/>
                <w:lang w:eastAsia="zh-CN"/>
              </w:rPr>
              <w:t>为民办实事</w:t>
            </w:r>
            <w:r>
              <w:rPr>
                <w:rFonts w:hint="eastAsia" w:ascii="宋体" w:hAnsi="宋体"/>
                <w:sz w:val="16"/>
                <w:lang w:val="en-US" w:eastAsia="zh-CN"/>
              </w:rPr>
              <w:t>人员</w:t>
            </w:r>
            <w:r>
              <w:rPr>
                <w:rFonts w:ascii="宋体" w:hAnsi="宋体" w:eastAsia="宋体"/>
                <w:sz w:val="16"/>
              </w:rPr>
              <w:t>及贫困村民4次，举办编制部门业务骨干培训2次。</w:t>
            </w:r>
          </w:p>
        </w:tc>
      </w:tr>
      <w:tr w14:paraId="4D9369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915F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6D43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D2BD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6245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17F6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2659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9E8A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4D4C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3DE3A">
            <w:pPr>
              <w:jc w:val="center"/>
            </w:pPr>
            <w:r>
              <w:rPr>
                <w:rFonts w:ascii="宋体" w:hAnsi="宋体" w:eastAsia="宋体"/>
                <w:sz w:val="16"/>
              </w:rPr>
              <w:t>得分</w:t>
            </w:r>
          </w:p>
        </w:tc>
      </w:tr>
      <w:tr w14:paraId="5DCDE1D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02C5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2275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84A61">
            <w:pPr>
              <w:jc w:val="center"/>
            </w:pPr>
            <w:r>
              <w:rPr>
                <w:rFonts w:ascii="宋体" w:hAnsi="宋体" w:eastAsia="宋体"/>
                <w:sz w:val="16"/>
              </w:rPr>
              <w:t>机构编制调研、评估工作单位个数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9787F">
            <w:pPr>
              <w:jc w:val="center"/>
            </w:pPr>
            <w:r>
              <w:rPr>
                <w:rFonts w:ascii="宋体" w:hAnsi="宋体" w:eastAsia="宋体"/>
                <w:sz w:val="16"/>
              </w:rPr>
              <w:t>&gt;=15个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CA313">
            <w:pPr>
              <w:jc w:val="center"/>
            </w:pPr>
            <w:r>
              <w:rPr>
                <w:rFonts w:ascii="宋体" w:hAnsi="宋体" w:eastAsia="宋体"/>
                <w:sz w:val="16"/>
              </w:rPr>
              <w:t>《机构编制管理评估办法》《地委编办2024年工作计划》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751F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8E149">
            <w:pPr>
              <w:jc w:val="center"/>
            </w:pPr>
            <w:r>
              <w:rPr>
                <w:rFonts w:ascii="宋体" w:hAnsi="宋体" w:eastAsia="宋体"/>
                <w:sz w:val="16"/>
              </w:rPr>
              <w: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C12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2714B">
            <w:pPr>
              <w:jc w:val="center"/>
            </w:pPr>
            <w:r>
              <w:rPr>
                <w:rFonts w:ascii="宋体" w:hAnsi="宋体" w:eastAsia="宋体"/>
                <w:sz w:val="16"/>
              </w:rPr>
              <w:t>20</w:t>
            </w:r>
          </w:p>
        </w:tc>
      </w:tr>
      <w:tr w14:paraId="24BFBE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A2AF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349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EC7FF">
            <w:pPr>
              <w:jc w:val="center"/>
            </w:pPr>
            <w:r>
              <w:rPr>
                <w:rFonts w:ascii="宋体" w:hAnsi="宋体" w:eastAsia="宋体"/>
                <w:sz w:val="16"/>
              </w:rPr>
              <w:t>全年开展调研、评估天数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FF1EB">
            <w:pPr>
              <w:jc w:val="center"/>
            </w:pPr>
            <w:r>
              <w:rPr>
                <w:rFonts w:ascii="宋体" w:hAnsi="宋体" w:eastAsia="宋体"/>
                <w:sz w:val="16"/>
              </w:rPr>
              <w:t>&gt;=30天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03F98">
            <w:pPr>
              <w:jc w:val="center"/>
            </w:pPr>
            <w:r>
              <w:rPr>
                <w:rFonts w:ascii="宋体" w:hAnsi="宋体" w:eastAsia="宋体"/>
                <w:sz w:val="16"/>
              </w:rPr>
              <w:t>《机构编制管理评估办法》《地委编办2024年工作计划》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A79A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90520">
            <w:pPr>
              <w:jc w:val="center"/>
            </w:pPr>
            <w:r>
              <w:rPr>
                <w:rFonts w:ascii="宋体" w:hAnsi="宋体" w:eastAsia="宋体"/>
                <w:sz w:val="16"/>
              </w:rPr>
              <w:t>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633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B68A0">
            <w:pPr>
              <w:jc w:val="center"/>
            </w:pPr>
            <w:r>
              <w:rPr>
                <w:rFonts w:ascii="宋体" w:hAnsi="宋体" w:eastAsia="宋体"/>
                <w:sz w:val="16"/>
              </w:rPr>
              <w:t>20</w:t>
            </w:r>
          </w:p>
        </w:tc>
      </w:tr>
      <w:tr w14:paraId="2756F6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8382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3A01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B6479">
            <w:pPr>
              <w:jc w:val="center"/>
            </w:pPr>
            <w:r>
              <w:rPr>
                <w:rFonts w:ascii="宋体" w:hAnsi="宋体" w:eastAsia="宋体"/>
                <w:sz w:val="16"/>
              </w:rPr>
              <w:t>全年印发改革文件数量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8BB5D">
            <w:pPr>
              <w:jc w:val="center"/>
            </w:pPr>
            <w:r>
              <w:rPr>
                <w:rFonts w:ascii="宋体" w:hAnsi="宋体" w:eastAsia="宋体"/>
                <w:sz w:val="16"/>
              </w:rPr>
              <w:t>&gt;=80份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55C70">
            <w:pPr>
              <w:jc w:val="center"/>
            </w:pPr>
            <w:r>
              <w:rPr>
                <w:rFonts w:ascii="宋体" w:hAnsi="宋体" w:eastAsia="宋体"/>
                <w:sz w:val="16"/>
              </w:rPr>
              <w:t>《中共中央&lt;关于做好地方机构改革组织实施工作意见</w:t>
            </w:r>
            <w:r>
              <w:rPr>
                <w:rFonts w:hint="eastAsia" w:ascii="宋体" w:hAnsi="宋体"/>
                <w:sz w:val="16"/>
                <w:lang w:eastAsia="zh-CN"/>
              </w:rPr>
              <w:t>〉的通知》</w:t>
            </w:r>
            <w:r>
              <w:rPr>
                <w:rFonts w:ascii="宋体" w:hAnsi="宋体" w:eastAsia="宋体"/>
                <w:sz w:val="16"/>
              </w:rPr>
              <w:t>中办发</w:t>
            </w:r>
            <w:r>
              <w:rPr>
                <w:rFonts w:hint="eastAsia" w:ascii="宋体" w:hAnsi="宋体"/>
                <w:sz w:val="16"/>
                <w:lang w:eastAsia="zh-CN"/>
              </w:rPr>
              <w:t>〔2023〕38号</w:t>
            </w:r>
            <w:r>
              <w:rPr>
                <w:rFonts w:ascii="宋体" w:hAnsi="宋体" w:eastAsia="宋体"/>
                <w:sz w:val="16"/>
              </w:rPr>
              <w:t>、自治区党委编委《关于积极推进地县深化事业单位改革有关事宜的通知》(新党编委</w:t>
            </w:r>
            <w:r>
              <w:rPr>
                <w:rFonts w:hint="eastAsia" w:ascii="宋体" w:hAnsi="宋体"/>
                <w:sz w:val="16"/>
                <w:lang w:eastAsia="zh-CN"/>
              </w:rPr>
              <w:t>〔2023〕12号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7D0B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BC7E0">
            <w:pPr>
              <w:jc w:val="center"/>
            </w:pPr>
            <w:r>
              <w:rPr>
                <w:rFonts w:ascii="宋体" w:hAnsi="宋体" w:eastAsia="宋体"/>
                <w:sz w:val="16"/>
              </w:rPr>
              <w:t>105份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943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212CD">
            <w:pPr>
              <w:jc w:val="center"/>
            </w:pPr>
            <w:r>
              <w:rPr>
                <w:rFonts w:ascii="宋体" w:hAnsi="宋体" w:eastAsia="宋体"/>
                <w:sz w:val="16"/>
              </w:rPr>
              <w:t>20</w:t>
            </w:r>
          </w:p>
        </w:tc>
      </w:tr>
      <w:tr w14:paraId="60CF40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389F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283A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DC9EE">
            <w:pPr>
              <w:jc w:val="center"/>
            </w:pPr>
            <w:r>
              <w:rPr>
                <w:rFonts w:ascii="宋体" w:hAnsi="宋体" w:eastAsia="宋体"/>
                <w:sz w:val="16"/>
              </w:rPr>
              <w:t>慰问</w:t>
            </w:r>
            <w:r>
              <w:rPr>
                <w:rFonts w:hint="eastAsia" w:ascii="宋体" w:hAnsi="宋体"/>
                <w:sz w:val="16"/>
                <w:lang w:eastAsia="zh-CN"/>
              </w:rPr>
              <w:t>为民办实事</w:t>
            </w:r>
            <w:r>
              <w:rPr>
                <w:rFonts w:hint="eastAsia" w:ascii="宋体" w:hAnsi="宋体"/>
                <w:sz w:val="16"/>
                <w:lang w:val="en-US" w:eastAsia="zh-CN"/>
              </w:rPr>
              <w:t>人员</w:t>
            </w:r>
            <w:r>
              <w:rPr>
                <w:rFonts w:ascii="宋体" w:hAnsi="宋体" w:eastAsia="宋体"/>
                <w:sz w:val="16"/>
              </w:rPr>
              <w:t>及贫困村民次数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046EA">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F0563">
            <w:pPr>
              <w:jc w:val="center"/>
            </w:pPr>
            <w:r>
              <w:rPr>
                <w:rFonts w:ascii="宋体" w:hAnsi="宋体" w:eastAsia="宋体"/>
                <w:sz w:val="16"/>
              </w:rPr>
              <w:t>《地委编办2024年工作计划》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94EA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9DF6B">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9FF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4D6AE">
            <w:pPr>
              <w:jc w:val="center"/>
            </w:pPr>
            <w:r>
              <w:rPr>
                <w:rFonts w:ascii="宋体" w:hAnsi="宋体" w:eastAsia="宋体"/>
                <w:sz w:val="16"/>
              </w:rPr>
              <w:t>20</w:t>
            </w:r>
          </w:p>
        </w:tc>
      </w:tr>
      <w:tr w14:paraId="7430AB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4B12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AD51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BF36F">
            <w:pPr>
              <w:jc w:val="center"/>
            </w:pPr>
            <w:r>
              <w:rPr>
                <w:rFonts w:ascii="宋体" w:hAnsi="宋体" w:eastAsia="宋体"/>
                <w:sz w:val="16"/>
              </w:rPr>
              <w:t>举办编制部门业务骨干培训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7EA8B">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663C1">
            <w:pPr>
              <w:jc w:val="center"/>
            </w:pPr>
            <w:r>
              <w:rPr>
                <w:rFonts w:ascii="宋体" w:hAnsi="宋体" w:eastAsia="宋体"/>
                <w:sz w:val="16"/>
              </w:rPr>
              <w:t>《地委编办2024年工作计划》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830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66CA7">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684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7F8E0">
            <w:pPr>
              <w:jc w:val="center"/>
            </w:pPr>
            <w:r>
              <w:rPr>
                <w:rFonts w:ascii="宋体" w:hAnsi="宋体" w:eastAsia="宋体"/>
                <w:sz w:val="16"/>
              </w:rPr>
              <w:t>10</w:t>
            </w:r>
          </w:p>
        </w:tc>
      </w:tr>
    </w:tbl>
    <w:p w14:paraId="4B3276A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041E00A">
        <w:tblPrEx>
          <w:tblCellMar>
            <w:top w:w="0" w:type="dxa"/>
            <w:left w:w="108" w:type="dxa"/>
            <w:bottom w:w="0" w:type="dxa"/>
            <w:right w:w="108" w:type="dxa"/>
          </w:tblCellMar>
        </w:tblPrEx>
        <w:tc>
          <w:tcPr>
            <w:tcW w:w="8848" w:type="dxa"/>
            <w:gridSpan w:val="14"/>
            <w:vAlign w:val="center"/>
          </w:tcPr>
          <w:p w14:paraId="035ED8AF">
            <w:pPr>
              <w:jc w:val="center"/>
            </w:pPr>
            <w:r>
              <w:rPr>
                <w:rFonts w:ascii="宋体" w:hAnsi="宋体" w:eastAsia="宋体"/>
                <w:sz w:val="24"/>
              </w:rPr>
              <w:t>项目支出绩效自评表</w:t>
            </w:r>
          </w:p>
        </w:tc>
      </w:tr>
      <w:tr w14:paraId="52177263">
        <w:tblPrEx>
          <w:tblCellMar>
            <w:top w:w="0" w:type="dxa"/>
            <w:left w:w="108" w:type="dxa"/>
            <w:bottom w:w="0" w:type="dxa"/>
            <w:right w:w="108" w:type="dxa"/>
          </w:tblCellMar>
        </w:tblPrEx>
        <w:tc>
          <w:tcPr>
            <w:tcW w:w="8848" w:type="dxa"/>
            <w:gridSpan w:val="14"/>
            <w:vAlign w:val="center"/>
          </w:tcPr>
          <w:p w14:paraId="03187DBC">
            <w:pPr>
              <w:jc w:val="center"/>
            </w:pPr>
            <w:r>
              <w:rPr>
                <w:rFonts w:ascii="宋体" w:hAnsi="宋体" w:eastAsia="宋体"/>
                <w:sz w:val="24"/>
              </w:rPr>
              <w:t>(2024年度)</w:t>
            </w:r>
          </w:p>
        </w:tc>
      </w:tr>
      <w:tr w14:paraId="666ADE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346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470FB7">
            <w:pPr>
              <w:jc w:val="center"/>
            </w:pPr>
            <w:r>
              <w:rPr>
                <w:rFonts w:ascii="宋体" w:hAnsi="宋体" w:eastAsia="宋体"/>
                <w:sz w:val="16"/>
              </w:rPr>
              <w:t>（编办）综合改革工作项目</w:t>
            </w:r>
          </w:p>
        </w:tc>
      </w:tr>
      <w:tr w14:paraId="1D4490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17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D61681">
            <w:pPr>
              <w:jc w:val="center"/>
            </w:pPr>
            <w:r>
              <w:rPr>
                <w:rFonts w:ascii="宋体" w:hAnsi="宋体" w:eastAsia="宋体"/>
                <w:sz w:val="16"/>
              </w:rPr>
              <w:t>中共喀什地委机构编制委员会办公室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F1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C646E2">
            <w:pPr>
              <w:jc w:val="center"/>
            </w:pPr>
            <w:r>
              <w:rPr>
                <w:rFonts w:ascii="宋体" w:hAnsi="宋体" w:eastAsia="宋体"/>
                <w:sz w:val="16"/>
              </w:rPr>
              <w:t>中共喀什地委机构编制委员会办公室</w:t>
            </w:r>
          </w:p>
        </w:tc>
      </w:tr>
      <w:tr w14:paraId="04AA50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741C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C0D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B00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54F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7EE9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008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BB9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304D1">
            <w:pPr>
              <w:jc w:val="center"/>
            </w:pPr>
            <w:r>
              <w:rPr>
                <w:rFonts w:ascii="宋体" w:hAnsi="宋体" w:eastAsia="宋体"/>
                <w:sz w:val="16"/>
              </w:rPr>
              <w:t>得分</w:t>
            </w:r>
          </w:p>
        </w:tc>
      </w:tr>
      <w:tr w14:paraId="75CAA8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65D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9DB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08984">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FD172">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C0E25">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C30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7774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25D85">
            <w:pPr>
              <w:jc w:val="center"/>
            </w:pPr>
            <w:r>
              <w:rPr>
                <w:rFonts w:ascii="宋体" w:hAnsi="宋体" w:eastAsia="宋体"/>
                <w:sz w:val="16"/>
              </w:rPr>
              <w:t>10.00分</w:t>
            </w:r>
          </w:p>
        </w:tc>
      </w:tr>
      <w:tr w14:paraId="1F6BD9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F74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CFE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76A63">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90838">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B7715">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D75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AA7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EF4C">
            <w:pPr>
              <w:jc w:val="center"/>
            </w:pPr>
            <w:r>
              <w:rPr>
                <w:rFonts w:ascii="宋体" w:hAnsi="宋体" w:eastAsia="宋体"/>
                <w:sz w:val="16"/>
              </w:rPr>
              <w:t>—</w:t>
            </w:r>
          </w:p>
        </w:tc>
      </w:tr>
      <w:tr w14:paraId="6134C5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27E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09AAB">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A10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48F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BF4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6EE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D05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AC3C">
            <w:pPr>
              <w:jc w:val="center"/>
            </w:pPr>
            <w:r>
              <w:rPr>
                <w:rFonts w:ascii="宋体" w:hAnsi="宋体" w:eastAsia="宋体"/>
                <w:sz w:val="16"/>
              </w:rPr>
              <w:t>—</w:t>
            </w:r>
          </w:p>
        </w:tc>
      </w:tr>
      <w:tr w14:paraId="4AD783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7762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3EF1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F93AB1">
            <w:pPr>
              <w:jc w:val="center"/>
            </w:pPr>
            <w:r>
              <w:rPr>
                <w:rFonts w:ascii="宋体" w:hAnsi="宋体" w:eastAsia="宋体"/>
                <w:sz w:val="16"/>
              </w:rPr>
              <w:t>实际完成情况</w:t>
            </w:r>
          </w:p>
        </w:tc>
      </w:tr>
      <w:tr w14:paraId="430C0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222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2DAD6A">
            <w:pPr>
              <w:jc w:val="both"/>
            </w:pPr>
            <w:r>
              <w:rPr>
                <w:rFonts w:hint="eastAsia" w:ascii="宋体" w:hAnsi="宋体"/>
                <w:sz w:val="16"/>
                <w:lang w:eastAsia="zh-CN"/>
              </w:rPr>
              <w:t>按照</w:t>
            </w:r>
            <w:r>
              <w:rPr>
                <w:rFonts w:ascii="宋体" w:hAnsi="宋体" w:eastAsia="宋体"/>
                <w:sz w:val="16"/>
              </w:rPr>
              <w:t>《中共中央&lt;关于做好地方机构改革组织实施工作意见&gt;的通知》中办发</w:t>
            </w:r>
            <w:r>
              <w:rPr>
                <w:rFonts w:hint="eastAsia" w:ascii="宋体" w:hAnsi="宋体"/>
                <w:sz w:val="16"/>
                <w:lang w:eastAsia="zh-CN"/>
              </w:rPr>
              <w:t>〔2023〕38号</w:t>
            </w:r>
            <w:r>
              <w:rPr>
                <w:rFonts w:ascii="宋体" w:hAnsi="宋体" w:eastAsia="宋体"/>
                <w:sz w:val="16"/>
              </w:rPr>
              <w:t>、自治区党委编委《关于积极推进地县深化事业单位改革有关事宜的通知》(新党编委</w:t>
            </w:r>
            <w:r>
              <w:rPr>
                <w:rFonts w:hint="eastAsia" w:ascii="宋体" w:hAnsi="宋体"/>
                <w:sz w:val="16"/>
                <w:lang w:eastAsia="zh-CN"/>
              </w:rPr>
              <w:t>〔2023〕12号</w:t>
            </w:r>
            <w:r>
              <w:rPr>
                <w:rFonts w:ascii="宋体" w:hAnsi="宋体" w:eastAsia="宋体"/>
                <w:sz w:val="16"/>
              </w:rPr>
              <w:t>）文件精神制定喀什地区机关、事业单位改革、综合执法改革组织实施方案。完成2023年事业单位法人证书年审工作并督促各县市及时高效</w:t>
            </w:r>
            <w:r>
              <w:rPr>
                <w:rFonts w:hint="eastAsia" w:ascii="宋体" w:hAnsi="宋体"/>
                <w:sz w:val="16"/>
                <w:lang w:eastAsia="zh-CN"/>
              </w:rPr>
              <w:t>地</w:t>
            </w:r>
            <w:r>
              <w:rPr>
                <w:rFonts w:ascii="宋体" w:hAnsi="宋体" w:eastAsia="宋体"/>
                <w:sz w:val="16"/>
              </w:rPr>
              <w:t>完成年审工作。根据2024年各项改革工作需要，购置办公日用耗材以及工作人员外出报送报表及调研、评估期间租车、差旅费等费用的支付。召开不少于2次机构编制培训工作，为业务骨干发放编办近年来文件汇编，督促县市事业单位改革、绩效评估工作。按照保密工作要求，购置2台保密柜，1台保密级别扫描仪，支付分保测评尾款，提高编制工作部门保密工作严谨性。为保障电脑机房电脑设备的正常运行，给机房配置空调机一台。做好编办</w:t>
            </w:r>
            <w:r>
              <w:rPr>
                <w:rFonts w:hint="eastAsia" w:ascii="宋体" w:hAnsi="宋体"/>
                <w:sz w:val="16"/>
                <w:lang w:eastAsia="zh-CN"/>
              </w:rPr>
              <w:t>为民办实事</w:t>
            </w:r>
            <w:r>
              <w:rPr>
                <w:rFonts w:ascii="宋体" w:hAnsi="宋体" w:eastAsia="宋体"/>
                <w:sz w:val="16"/>
              </w:rPr>
              <w:t>工作，慰问</w:t>
            </w:r>
            <w:r>
              <w:rPr>
                <w:rFonts w:hint="eastAsia" w:ascii="宋体" w:hAnsi="宋体"/>
                <w:sz w:val="16"/>
                <w:lang w:eastAsia="zh-CN"/>
              </w:rPr>
              <w:t>为民办实事</w:t>
            </w:r>
            <w:r>
              <w:rPr>
                <w:rFonts w:hint="eastAsia" w:ascii="宋体" w:hAnsi="宋体"/>
                <w:sz w:val="16"/>
                <w:lang w:val="en-US" w:eastAsia="zh-CN"/>
              </w:rPr>
              <w:t>人员</w:t>
            </w:r>
            <w:r>
              <w:rPr>
                <w:rFonts w:ascii="宋体" w:hAnsi="宋体" w:eastAsia="宋体"/>
                <w:sz w:val="16"/>
              </w:rPr>
              <w:t>及党史</w:t>
            </w:r>
            <w:r>
              <w:rPr>
                <w:rFonts w:hint="eastAsia" w:ascii="宋体" w:hAnsi="宋体"/>
                <w:sz w:val="16"/>
                <w:lang w:val="en-US" w:eastAsia="zh-CN"/>
              </w:rPr>
              <w:t>习</w:t>
            </w:r>
            <w:r>
              <w:rPr>
                <w:rFonts w:hint="eastAsia" w:ascii="宋体" w:hAnsi="宋体"/>
                <w:sz w:val="16"/>
                <w:lang w:eastAsia="zh-CN"/>
              </w:rPr>
              <w:t>教育</w:t>
            </w:r>
            <w:r>
              <w:rPr>
                <w:rFonts w:ascii="宋体" w:hAnsi="宋体" w:eastAsia="宋体"/>
                <w:sz w:val="16"/>
              </w:rPr>
              <w:t>为民办实事好事活动不少于4次，充分体现党内激励机制关怀.按照中央编办及</w:t>
            </w:r>
            <w:r>
              <w:rPr>
                <w:rFonts w:hint="eastAsia" w:ascii="宋体" w:hAnsi="宋体"/>
                <w:sz w:val="16"/>
                <w:lang w:eastAsia="zh-CN"/>
              </w:rPr>
              <w:t>机关事务管理局</w:t>
            </w:r>
            <w:r>
              <w:rPr>
                <w:rFonts w:ascii="宋体" w:hAnsi="宋体" w:eastAsia="宋体"/>
                <w:sz w:val="16"/>
              </w:rPr>
              <w:t>工作要求，开通12310编制部门投诉电话，以及</w:t>
            </w:r>
            <w:r>
              <w:rPr>
                <w:rFonts w:hint="eastAsia" w:ascii="宋体" w:hAnsi="宋体"/>
                <w:sz w:val="16"/>
                <w:lang w:eastAsia="zh-CN"/>
              </w:rPr>
              <w:t>机关事务管理局</w:t>
            </w:r>
            <w:r>
              <w:rPr>
                <w:rFonts w:ascii="宋体" w:hAnsi="宋体" w:eastAsia="宋体"/>
                <w:sz w:val="16"/>
              </w:rPr>
              <w:t>专网制作政策宣传展板。为改善编办工作环境，修缮两间新分配办公室。</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BE369F">
            <w:pPr>
              <w:jc w:val="both"/>
            </w:pPr>
            <w:r>
              <w:rPr>
                <w:rFonts w:hint="eastAsia" w:ascii="宋体" w:hAnsi="宋体"/>
                <w:sz w:val="16"/>
                <w:lang w:eastAsia="zh-CN"/>
              </w:rPr>
              <w:t>截至</w:t>
            </w:r>
            <w:r>
              <w:rPr>
                <w:rFonts w:ascii="宋体" w:hAnsi="宋体" w:eastAsia="宋体"/>
                <w:sz w:val="16"/>
              </w:rPr>
              <w:t>2024年12月31日，购置空调保密柜，扫描仪等11台，购置办公日用耗材以及工作人员外出报送报表及调研、评估期间租车、差旅费等费用的支付保障机构改革顺利进行。召开了2次机构编制培训工作，为业务骨干发放编办近年来文件汇编。修缮两间新分配办公室，达到在职职工工作环境的目标。支付分保测评尾款1次，提高编制工作部门保密工作严谨性。按照中央编办及</w:t>
            </w:r>
            <w:r>
              <w:rPr>
                <w:rFonts w:hint="eastAsia" w:ascii="宋体" w:hAnsi="宋体"/>
                <w:sz w:val="16"/>
                <w:lang w:eastAsia="zh-CN"/>
              </w:rPr>
              <w:t>机关事务管理局</w:t>
            </w:r>
            <w:r>
              <w:rPr>
                <w:rFonts w:ascii="宋体" w:hAnsi="宋体" w:eastAsia="宋体"/>
                <w:sz w:val="16"/>
              </w:rPr>
              <w:t>工作要求，开通12310编制部门投诉电话，以及</w:t>
            </w:r>
            <w:r>
              <w:rPr>
                <w:rFonts w:hint="eastAsia" w:ascii="宋体" w:hAnsi="宋体"/>
                <w:sz w:val="16"/>
                <w:lang w:eastAsia="zh-CN"/>
              </w:rPr>
              <w:t>机关事务管理局</w:t>
            </w:r>
            <w:r>
              <w:rPr>
                <w:rFonts w:ascii="宋体" w:hAnsi="宋体" w:eastAsia="宋体"/>
                <w:sz w:val="16"/>
              </w:rPr>
              <w:t>专网，制作相关政策宣传展板等。全面完成了2024年机构编制工作的改革计划，使机构编制工作得到了充分认可，提升编制部门业务骨干的工作能力。</w:t>
            </w:r>
          </w:p>
        </w:tc>
      </w:tr>
      <w:tr w14:paraId="6F2FAB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4058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BB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A72E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1A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35A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A2B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CB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2B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FCE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16A6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14B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382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02402">
            <w:pPr>
              <w:jc w:val="center"/>
            </w:pPr>
            <w:r>
              <w:rPr>
                <w:rFonts w:ascii="宋体" w:hAnsi="宋体" w:eastAsia="宋体"/>
                <w:sz w:val="16"/>
              </w:rPr>
              <w:t>偏差原因分析及改进措施</w:t>
            </w:r>
          </w:p>
        </w:tc>
      </w:tr>
      <w:tr w14:paraId="5AD1DC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130A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45FE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BB2A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FDDC5">
            <w:pPr>
              <w:jc w:val="center"/>
            </w:pPr>
            <w:r>
              <w:rPr>
                <w:rFonts w:ascii="宋体" w:hAnsi="宋体" w:eastAsia="宋体"/>
                <w:sz w:val="16"/>
              </w:rPr>
              <w:t>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63A61">
            <w:pPr>
              <w:jc w:val="center"/>
            </w:pPr>
            <w:r>
              <w:rPr>
                <w:rFonts w:ascii="宋体" w:hAnsi="宋体" w:eastAsia="宋体"/>
                <w:sz w:val="16"/>
              </w:rPr>
              <w:t>&gt;=11台、张、个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E9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93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F4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3B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AA2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7815">
            <w:pPr>
              <w:jc w:val="center"/>
            </w:pPr>
            <w:r>
              <w:rPr>
                <w:rFonts w:ascii="宋体" w:hAnsi="宋体" w:eastAsia="宋体"/>
                <w:sz w:val="16"/>
              </w:rPr>
              <w:t>=11台、张、个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BA1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DA0D9">
            <w:pPr>
              <w:jc w:val="center"/>
            </w:pPr>
          </w:p>
        </w:tc>
      </w:tr>
      <w:tr w14:paraId="07EF3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1C1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CB5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0CC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6D0E">
            <w:pPr>
              <w:jc w:val="center"/>
            </w:pPr>
            <w:r>
              <w:rPr>
                <w:rFonts w:ascii="宋体" w:hAnsi="宋体" w:eastAsia="宋体"/>
                <w:sz w:val="16"/>
              </w:rPr>
              <w:t>编制部门办公经费保障次数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796F">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56A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0BC6">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67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6D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B5B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9EA0">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CA6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235EC">
            <w:pPr>
              <w:jc w:val="center"/>
            </w:pPr>
          </w:p>
        </w:tc>
      </w:tr>
      <w:tr w14:paraId="608919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FCA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739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C15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334D">
            <w:pPr>
              <w:jc w:val="center"/>
            </w:pPr>
            <w:r>
              <w:rPr>
                <w:rFonts w:ascii="宋体" w:hAnsi="宋体" w:eastAsia="宋体"/>
                <w:sz w:val="16"/>
              </w:rPr>
              <w:t>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1193">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16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7A0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6C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25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4B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FF8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9093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B9E78">
            <w:pPr>
              <w:jc w:val="center"/>
            </w:pPr>
          </w:p>
        </w:tc>
      </w:tr>
      <w:tr w14:paraId="60D15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2AB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9A5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8C3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47CC">
            <w:pPr>
              <w:jc w:val="center"/>
            </w:pPr>
            <w:r>
              <w:rPr>
                <w:rFonts w:ascii="宋体" w:hAnsi="宋体" w:eastAsia="宋体"/>
                <w:sz w:val="16"/>
              </w:rPr>
              <w:t>新分配办公室修缮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ACFB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57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20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722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0B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21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FD36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238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F5DD6">
            <w:pPr>
              <w:jc w:val="center"/>
            </w:pPr>
          </w:p>
        </w:tc>
      </w:tr>
      <w:tr w14:paraId="4551CD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D4E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1B3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947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28BC7">
            <w:pPr>
              <w:jc w:val="center"/>
            </w:pPr>
            <w:r>
              <w:rPr>
                <w:rFonts w:ascii="宋体" w:hAnsi="宋体" w:eastAsia="宋体"/>
                <w:sz w:val="16"/>
              </w:rPr>
              <w:t>分保测评尾款支付次数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6FA4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93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AE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7E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F9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72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E98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41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928B7">
            <w:pPr>
              <w:jc w:val="center"/>
            </w:pPr>
          </w:p>
        </w:tc>
      </w:tr>
      <w:tr w14:paraId="42EF66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B0F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AE6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04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DD3C7">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FE2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53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AAA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12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A4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23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083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660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CD147">
            <w:pPr>
              <w:jc w:val="center"/>
            </w:pPr>
          </w:p>
        </w:tc>
      </w:tr>
      <w:tr w14:paraId="3CBF04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66F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777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0BEE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60E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BB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EB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80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B4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AA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ED6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60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1F57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49ED5">
            <w:pPr>
              <w:jc w:val="center"/>
            </w:pPr>
          </w:p>
        </w:tc>
      </w:tr>
      <w:tr w14:paraId="37F4AA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9BC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26B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314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C1E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C8F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C0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7B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401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309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D7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11778">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E4B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4BC71">
            <w:pPr>
              <w:jc w:val="center"/>
            </w:pPr>
          </w:p>
        </w:tc>
      </w:tr>
      <w:tr w14:paraId="266071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59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720E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1E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479A">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9B08">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BA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E06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5AB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F86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E9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31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A94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79F6F">
            <w:pPr>
              <w:jc w:val="center"/>
            </w:pPr>
          </w:p>
        </w:tc>
      </w:tr>
      <w:tr w14:paraId="6F25AB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D7A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8DF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D3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AC059">
            <w:pPr>
              <w:jc w:val="center"/>
            </w:pPr>
            <w:r>
              <w:rPr>
                <w:rFonts w:ascii="宋体" w:hAnsi="宋体" w:eastAsia="宋体"/>
                <w:sz w:val="16"/>
              </w:rPr>
              <w:t>保障编制部门工作正常运转率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ABD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A7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EB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646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D4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7AA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6D8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95206">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F383D">
            <w:pPr>
              <w:jc w:val="center"/>
            </w:pPr>
          </w:p>
        </w:tc>
      </w:tr>
      <w:tr w14:paraId="30B84A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6E07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1694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5DF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024438">
            <w:pPr>
              <w:jc w:val="center"/>
            </w:pPr>
            <w:r>
              <w:rPr>
                <w:rFonts w:ascii="宋体" w:hAnsi="宋体" w:eastAsia="宋体"/>
                <w:sz w:val="16"/>
              </w:rPr>
              <w:t>100分</w:t>
            </w:r>
          </w:p>
        </w:tc>
      </w:tr>
    </w:tbl>
    <w:p w14:paraId="37C93F45">
      <w:r>
        <w:br w:type="page"/>
      </w:r>
    </w:p>
    <w:p w14:paraId="13C78716">
      <w:pPr>
        <w:spacing w:line="640" w:lineRule="exact"/>
        <w:ind w:firstLine="640"/>
        <w:jc w:val="both"/>
        <w:outlineLvl w:val="2"/>
      </w:pPr>
      <w:r>
        <w:rPr>
          <w:rFonts w:ascii="黑体" w:hAnsi="黑体" w:eastAsia="黑体"/>
          <w:sz w:val="32"/>
        </w:rPr>
        <w:t>十二、其他需说明的事项</w:t>
      </w:r>
    </w:p>
    <w:p w14:paraId="2BF98DDC">
      <w:pPr>
        <w:spacing w:line="580" w:lineRule="exact"/>
        <w:ind w:firstLine="640"/>
        <w:jc w:val="both"/>
      </w:pPr>
      <w:r>
        <w:rPr>
          <w:rFonts w:ascii="仿宋_GB2312" w:hAnsi="仿宋_GB2312" w:eastAsia="仿宋_GB2312"/>
          <w:b w:val="0"/>
          <w:sz w:val="32"/>
        </w:rPr>
        <w:t>本单位无其他需说明的事项。</w:t>
      </w:r>
    </w:p>
    <w:p w14:paraId="4AC66B19">
      <w:r>
        <w:br w:type="page"/>
      </w:r>
    </w:p>
    <w:p w14:paraId="0590FAAE">
      <w:pPr>
        <w:spacing w:line="240" w:lineRule="auto"/>
        <w:jc w:val="center"/>
        <w:outlineLvl w:val="1"/>
      </w:pPr>
      <w:r>
        <w:rPr>
          <w:rFonts w:ascii="黑体" w:hAnsi="黑体" w:eastAsia="黑体"/>
          <w:sz w:val="32"/>
        </w:rPr>
        <w:t>第三部分 专业名词解释</w:t>
      </w:r>
    </w:p>
    <w:p w14:paraId="1CE7454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4308B6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1EC10A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4F28BD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E4E410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E1F553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235302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799615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68DB4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60395C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C84506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7E70BC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3DBFF5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D11AA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98E9F34">
      <w:r>
        <w:br w:type="page"/>
      </w:r>
    </w:p>
    <w:p w14:paraId="3A92B7EA">
      <w:pPr>
        <w:spacing w:line="240" w:lineRule="auto"/>
        <w:jc w:val="center"/>
        <w:outlineLvl w:val="1"/>
      </w:pPr>
      <w:r>
        <w:rPr>
          <w:rFonts w:ascii="黑体" w:hAnsi="黑体" w:eastAsia="黑体"/>
          <w:sz w:val="32"/>
        </w:rPr>
        <w:t>第四部分 部门决算报表（见附表）</w:t>
      </w:r>
    </w:p>
    <w:p w14:paraId="65156613">
      <w:pPr>
        <w:spacing w:line="240" w:lineRule="auto"/>
        <w:ind w:firstLine="640"/>
        <w:jc w:val="both"/>
      </w:pPr>
      <w:r>
        <w:rPr>
          <w:rFonts w:ascii="仿宋_GB2312" w:hAnsi="仿宋_GB2312" w:eastAsia="仿宋_GB2312"/>
          <w:b w:val="0"/>
          <w:sz w:val="32"/>
        </w:rPr>
        <w:t>一、《收入支出决算总表》</w:t>
      </w:r>
    </w:p>
    <w:p w14:paraId="5DD5D00E">
      <w:pPr>
        <w:spacing w:line="240" w:lineRule="auto"/>
        <w:ind w:firstLine="640"/>
        <w:jc w:val="both"/>
      </w:pPr>
      <w:r>
        <w:rPr>
          <w:rFonts w:ascii="仿宋_GB2312" w:hAnsi="仿宋_GB2312" w:eastAsia="仿宋_GB2312"/>
          <w:b w:val="0"/>
          <w:sz w:val="32"/>
        </w:rPr>
        <w:t>二、《收入决算表》</w:t>
      </w:r>
    </w:p>
    <w:p w14:paraId="2F5784B7">
      <w:pPr>
        <w:spacing w:line="240" w:lineRule="auto"/>
        <w:ind w:firstLine="640"/>
        <w:jc w:val="both"/>
      </w:pPr>
      <w:r>
        <w:rPr>
          <w:rFonts w:ascii="仿宋_GB2312" w:hAnsi="仿宋_GB2312" w:eastAsia="仿宋_GB2312"/>
          <w:b w:val="0"/>
          <w:sz w:val="32"/>
        </w:rPr>
        <w:t>三、《支出决算表》</w:t>
      </w:r>
    </w:p>
    <w:p w14:paraId="2DDA7BE3">
      <w:pPr>
        <w:spacing w:line="240" w:lineRule="auto"/>
        <w:ind w:firstLine="640"/>
        <w:jc w:val="both"/>
      </w:pPr>
      <w:r>
        <w:rPr>
          <w:rFonts w:ascii="仿宋_GB2312" w:hAnsi="仿宋_GB2312" w:eastAsia="仿宋_GB2312"/>
          <w:b w:val="0"/>
          <w:sz w:val="32"/>
        </w:rPr>
        <w:t>四、《财政拨款收入支出决算总表》</w:t>
      </w:r>
    </w:p>
    <w:p w14:paraId="1B1AF56D">
      <w:pPr>
        <w:spacing w:line="240" w:lineRule="auto"/>
        <w:ind w:firstLine="640"/>
        <w:jc w:val="both"/>
      </w:pPr>
      <w:r>
        <w:rPr>
          <w:rFonts w:ascii="仿宋_GB2312" w:hAnsi="仿宋_GB2312" w:eastAsia="仿宋_GB2312"/>
          <w:b w:val="0"/>
          <w:sz w:val="32"/>
        </w:rPr>
        <w:t>五、《一般公共预算财政拨款支出决算表》</w:t>
      </w:r>
    </w:p>
    <w:p w14:paraId="7A703EDB">
      <w:pPr>
        <w:spacing w:line="240" w:lineRule="auto"/>
        <w:ind w:firstLine="640"/>
        <w:jc w:val="both"/>
      </w:pPr>
      <w:r>
        <w:rPr>
          <w:rFonts w:ascii="仿宋_GB2312" w:hAnsi="仿宋_GB2312" w:eastAsia="仿宋_GB2312"/>
          <w:b w:val="0"/>
          <w:sz w:val="32"/>
        </w:rPr>
        <w:t>六、《一般公共预算财政拨款基本支出决算表》</w:t>
      </w:r>
    </w:p>
    <w:p w14:paraId="78752B79">
      <w:pPr>
        <w:spacing w:line="240" w:lineRule="auto"/>
        <w:ind w:firstLine="640"/>
        <w:jc w:val="both"/>
      </w:pPr>
      <w:r>
        <w:rPr>
          <w:rFonts w:ascii="仿宋_GB2312" w:hAnsi="仿宋_GB2312" w:eastAsia="仿宋_GB2312"/>
          <w:b w:val="0"/>
          <w:sz w:val="32"/>
        </w:rPr>
        <w:t>七、《政府性基金预算财政拨款收入支出决算表》</w:t>
      </w:r>
    </w:p>
    <w:p w14:paraId="5EDF08AB">
      <w:pPr>
        <w:spacing w:line="240" w:lineRule="auto"/>
        <w:ind w:firstLine="640"/>
        <w:jc w:val="both"/>
      </w:pPr>
      <w:r>
        <w:rPr>
          <w:rFonts w:ascii="仿宋_GB2312" w:hAnsi="仿宋_GB2312" w:eastAsia="仿宋_GB2312"/>
          <w:b w:val="0"/>
          <w:sz w:val="32"/>
        </w:rPr>
        <w:t>八、《国有资本经营预算财政拨款收入支出决算表》</w:t>
      </w:r>
    </w:p>
    <w:p w14:paraId="3811DB2E">
      <w:pPr>
        <w:spacing w:line="240" w:lineRule="auto"/>
        <w:ind w:firstLine="640"/>
        <w:jc w:val="both"/>
      </w:pPr>
      <w:r>
        <w:rPr>
          <w:rFonts w:ascii="仿宋_GB2312" w:hAnsi="仿宋_GB2312" w:eastAsia="仿宋_GB2312"/>
          <w:b w:val="0"/>
          <w:sz w:val="32"/>
        </w:rPr>
        <w:t>九、《财政拨款“三公”经费支出决算表》</w:t>
      </w:r>
    </w:p>
    <w:p w14:paraId="17E6EECC">
      <w:pPr>
        <w:spacing w:line="240" w:lineRule="auto"/>
        <w:ind w:firstLine="640"/>
        <w:jc w:val="both"/>
      </w:pPr>
    </w:p>
    <w:p w14:paraId="1291F1B5">
      <w:pPr>
        <w:spacing w:line="240" w:lineRule="auto"/>
        <w:ind w:firstLine="640"/>
        <w:jc w:val="both"/>
      </w:pPr>
    </w:p>
    <w:p w14:paraId="1D6E7EE1">
      <w:pPr>
        <w:spacing w:line="240" w:lineRule="auto"/>
        <w:ind w:firstLine="640"/>
        <w:jc w:val="both"/>
      </w:pPr>
    </w:p>
    <w:p w14:paraId="7F071966">
      <w:pPr>
        <w:spacing w:line="240" w:lineRule="auto"/>
        <w:ind w:firstLine="640"/>
        <w:jc w:val="both"/>
      </w:pPr>
    </w:p>
    <w:p w14:paraId="22DD10C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A6177A"/>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CB95CD0"/>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5375</Words>
  <Characters>6038</Characters>
  <Lines>0</Lines>
  <Paragraphs>0</Paragraphs>
  <TotalTime>11</TotalTime>
  <ScaleCrop>false</ScaleCrop>
  <LinksUpToDate>false</LinksUpToDate>
  <CharactersWithSpaces>6046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2025-09-04T07:17:46Z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