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C796AE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中共喀什地委机要保密局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257E02A">
      <w:r>
        <w:br w:type="page"/>
      </w:r>
    </w:p>
    <w:p w14:paraId="2F12A8BC">
      <w:pPr>
        <w:spacing w:line="640" w:lineRule="exact"/>
        <w:jc w:val="center"/>
        <w:outlineLvl w:val="1"/>
      </w:pPr>
      <w:r>
        <w:rPr>
          <w:rFonts w:ascii="黑体" w:hAnsi="黑体" w:eastAsia="黑体"/>
          <w:sz w:val="32"/>
        </w:rPr>
        <w:t>第一部分 单位概况</w:t>
      </w:r>
    </w:p>
    <w:p w14:paraId="3388776A">
      <w:pPr>
        <w:spacing w:line="640" w:lineRule="exact"/>
        <w:ind w:firstLine="640"/>
        <w:jc w:val="both"/>
        <w:outlineLvl w:val="2"/>
      </w:pPr>
      <w:r>
        <w:rPr>
          <w:rFonts w:ascii="黑体" w:hAnsi="黑体" w:eastAsia="黑体"/>
          <w:sz w:val="32"/>
        </w:rPr>
        <w:t>一、主要职能</w:t>
      </w:r>
    </w:p>
    <w:p w14:paraId="05DBB756">
      <w:pPr>
        <w:spacing w:line="580" w:lineRule="exact"/>
        <w:ind w:firstLine="640"/>
        <w:jc w:val="both"/>
      </w:pPr>
      <w:r>
        <w:rPr>
          <w:rFonts w:ascii="仿宋_GB2312" w:hAnsi="仿宋_GB2312" w:eastAsia="仿宋_GB2312"/>
          <w:sz w:val="32"/>
        </w:rPr>
        <w:t>本单位主要职能</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5D43E4F0">
      <w:pPr>
        <w:spacing w:line="640" w:lineRule="exact"/>
        <w:ind w:firstLine="640"/>
        <w:jc w:val="both"/>
        <w:outlineLvl w:val="2"/>
      </w:pPr>
      <w:r>
        <w:rPr>
          <w:rFonts w:ascii="黑体" w:hAnsi="黑体" w:eastAsia="黑体"/>
          <w:sz w:val="32"/>
        </w:rPr>
        <w:t>二、机构设置及人员情况</w:t>
      </w:r>
    </w:p>
    <w:p w14:paraId="2756DB94">
      <w:pPr>
        <w:spacing w:line="580" w:lineRule="exact"/>
        <w:ind w:firstLine="640"/>
        <w:jc w:val="both"/>
      </w:pPr>
      <w:r>
        <w:rPr>
          <w:rFonts w:ascii="仿宋_GB2312" w:hAnsi="仿宋_GB2312" w:eastAsia="仿宋_GB2312"/>
          <w:sz w:val="32"/>
        </w:rPr>
        <w:t>本单位机构设置及人员情况</w:t>
      </w:r>
      <w:r>
        <w:rPr>
          <w:rFonts w:hint="eastAsia" w:ascii="仿宋_GB2312" w:hAnsi="仿宋_GB2312" w:eastAsia="仿宋_GB2312"/>
          <w:sz w:val="32"/>
          <w:lang w:val="en-US" w:eastAsia="zh-CN"/>
        </w:rPr>
        <w:t>涉密</w:t>
      </w:r>
      <w:r>
        <w:rPr>
          <w:rFonts w:ascii="仿宋_GB2312" w:hAnsi="仿宋_GB2312" w:eastAsia="仿宋_GB2312"/>
          <w:sz w:val="32"/>
        </w:rPr>
        <w:t>不予公开。</w:t>
      </w:r>
    </w:p>
    <w:p w14:paraId="69A48710">
      <w:r>
        <w:br w:type="page"/>
      </w:r>
    </w:p>
    <w:p w14:paraId="0B330EBF">
      <w:pPr>
        <w:spacing w:line="240" w:lineRule="auto"/>
        <w:jc w:val="center"/>
        <w:outlineLvl w:val="1"/>
      </w:pPr>
      <w:r>
        <w:rPr>
          <w:rFonts w:ascii="黑体" w:hAnsi="黑体" w:eastAsia="黑体"/>
          <w:sz w:val="32"/>
        </w:rPr>
        <w:t>第二部分 部门决算情况说明</w:t>
      </w:r>
    </w:p>
    <w:p w14:paraId="0731DD1A">
      <w:pPr>
        <w:spacing w:line="640" w:lineRule="exact"/>
        <w:ind w:firstLine="640"/>
        <w:jc w:val="both"/>
        <w:outlineLvl w:val="2"/>
      </w:pPr>
      <w:r>
        <w:rPr>
          <w:rFonts w:ascii="黑体" w:hAnsi="黑体" w:eastAsia="黑体"/>
          <w:sz w:val="32"/>
        </w:rPr>
        <w:t>一、收入支出决算总体情况说明</w:t>
      </w:r>
    </w:p>
    <w:p w14:paraId="26D57C3D">
      <w:pPr>
        <w:spacing w:line="580" w:lineRule="exact"/>
        <w:ind w:firstLine="640"/>
        <w:jc w:val="both"/>
      </w:pPr>
      <w:r>
        <w:rPr>
          <w:rFonts w:ascii="仿宋_GB2312" w:hAnsi="仿宋_GB2312" w:eastAsia="仿宋_GB2312"/>
          <w:b/>
          <w:sz w:val="32"/>
        </w:rPr>
        <w:t>2024年度收入总计1,011.59万元，</w:t>
      </w:r>
      <w:r>
        <w:rPr>
          <w:rFonts w:ascii="仿宋_GB2312" w:hAnsi="仿宋_GB2312" w:eastAsia="仿宋_GB2312"/>
          <w:b w:val="0"/>
          <w:sz w:val="32"/>
        </w:rPr>
        <w:t>其中：本年收入合计1,011.59万元，使用非财政拨款结余（含专用结余）0.00万元，年初结转和结余0.00万元。</w:t>
      </w:r>
    </w:p>
    <w:p w14:paraId="05237382">
      <w:pPr>
        <w:spacing w:line="580" w:lineRule="exact"/>
        <w:ind w:firstLine="640"/>
        <w:jc w:val="both"/>
      </w:pPr>
      <w:r>
        <w:rPr>
          <w:rFonts w:ascii="仿宋_GB2312" w:hAnsi="仿宋_GB2312" w:eastAsia="仿宋_GB2312"/>
          <w:b/>
          <w:sz w:val="32"/>
        </w:rPr>
        <w:t>2024年度支出总计1,011.59万元，</w:t>
      </w:r>
      <w:r>
        <w:rPr>
          <w:rFonts w:ascii="仿宋_GB2312" w:hAnsi="仿宋_GB2312" w:eastAsia="仿宋_GB2312"/>
          <w:b w:val="0"/>
          <w:sz w:val="32"/>
        </w:rPr>
        <w:t>其中：本年支出合计1,008.28万元，结余分配0.00万元，年末结转和结余3.30万元。</w:t>
      </w:r>
    </w:p>
    <w:p w14:paraId="4FAD92B6">
      <w:pPr>
        <w:spacing w:line="580" w:lineRule="exact"/>
        <w:ind w:firstLine="640"/>
        <w:jc w:val="both"/>
      </w:pPr>
      <w:r>
        <w:rPr>
          <w:rFonts w:ascii="仿宋_GB2312" w:hAnsi="仿宋_GB2312" w:eastAsia="仿宋_GB2312"/>
          <w:b w:val="0"/>
          <w:sz w:val="32"/>
        </w:rPr>
        <w:t>收入支出总体与上年相比，减少1,057.32万元，下降51.11%，主要原因是：本年减少专项项目经费。</w:t>
      </w:r>
    </w:p>
    <w:p w14:paraId="66826358">
      <w:pPr>
        <w:spacing w:line="640" w:lineRule="exact"/>
        <w:ind w:firstLine="640"/>
        <w:jc w:val="both"/>
        <w:outlineLvl w:val="2"/>
      </w:pPr>
      <w:r>
        <w:rPr>
          <w:rFonts w:ascii="黑体" w:hAnsi="黑体" w:eastAsia="黑体"/>
          <w:sz w:val="32"/>
        </w:rPr>
        <w:t>二、收入决算情况说明</w:t>
      </w:r>
    </w:p>
    <w:p w14:paraId="06418BD8">
      <w:pPr>
        <w:spacing w:line="580" w:lineRule="exact"/>
        <w:ind w:firstLine="640"/>
        <w:jc w:val="both"/>
      </w:pPr>
      <w:r>
        <w:rPr>
          <w:rFonts w:ascii="仿宋_GB2312" w:hAnsi="仿宋_GB2312" w:eastAsia="仿宋_GB2312"/>
          <w:b/>
          <w:sz w:val="32"/>
        </w:rPr>
        <w:t>本年收入1,011.59万元，</w:t>
      </w:r>
      <w:r>
        <w:rPr>
          <w:rFonts w:ascii="仿宋_GB2312" w:hAnsi="仿宋_GB2312" w:eastAsia="仿宋_GB2312"/>
          <w:b w:val="0"/>
          <w:sz w:val="32"/>
        </w:rPr>
        <w:t>其中：财政拨款收入998.79万元，占98.73%；上级补助收入0.00万元，占0.00%；事业收入0.00万元，占0.00%；经营收入0.00万元，占0.00%；附属单位上缴收入0.00万元，占0.00%；其他收入12.80万元，占1.27%。</w:t>
      </w:r>
    </w:p>
    <w:p w14:paraId="09B443E6">
      <w:pPr>
        <w:spacing w:line="640" w:lineRule="exact"/>
        <w:ind w:firstLine="640"/>
        <w:jc w:val="both"/>
        <w:outlineLvl w:val="2"/>
      </w:pPr>
      <w:r>
        <w:rPr>
          <w:rFonts w:ascii="黑体" w:hAnsi="黑体" w:eastAsia="黑体"/>
          <w:sz w:val="32"/>
        </w:rPr>
        <w:t>三、支出决算情况说明</w:t>
      </w:r>
    </w:p>
    <w:p w14:paraId="492F2AAD">
      <w:pPr>
        <w:spacing w:line="580" w:lineRule="exact"/>
        <w:ind w:firstLine="640"/>
        <w:jc w:val="both"/>
      </w:pPr>
      <w:r>
        <w:rPr>
          <w:rFonts w:ascii="仿宋_GB2312" w:hAnsi="仿宋_GB2312" w:eastAsia="仿宋_GB2312"/>
          <w:b/>
          <w:sz w:val="32"/>
        </w:rPr>
        <w:t>本年支出1,008.28万元，</w:t>
      </w:r>
      <w:r>
        <w:rPr>
          <w:rFonts w:ascii="仿宋_GB2312" w:hAnsi="仿宋_GB2312" w:eastAsia="仿宋_GB2312"/>
          <w:b w:val="0"/>
          <w:sz w:val="32"/>
        </w:rPr>
        <w:t>其中：基本支出588.42万元，占58.36%；项目支出419.86万元，占41.64%；上缴上级支出0.00万元，占0.00%；经营支出0.00万元，占0.00%；对附属单位补助支出0.00万元，占0.00%。</w:t>
      </w:r>
    </w:p>
    <w:p w14:paraId="578B83E4">
      <w:pPr>
        <w:spacing w:line="640" w:lineRule="exact"/>
        <w:ind w:firstLine="640"/>
        <w:jc w:val="both"/>
        <w:outlineLvl w:val="2"/>
      </w:pPr>
      <w:r>
        <w:rPr>
          <w:rFonts w:ascii="黑体" w:hAnsi="黑体" w:eastAsia="黑体"/>
          <w:sz w:val="32"/>
        </w:rPr>
        <w:t>四、财政拨款收入支出决算总体情况说明</w:t>
      </w:r>
    </w:p>
    <w:p w14:paraId="4D95AF20">
      <w:pPr>
        <w:spacing w:line="580" w:lineRule="exact"/>
        <w:ind w:firstLine="640"/>
        <w:jc w:val="both"/>
      </w:pPr>
      <w:r>
        <w:rPr>
          <w:rFonts w:ascii="仿宋_GB2312" w:hAnsi="仿宋_GB2312" w:eastAsia="仿宋_GB2312"/>
          <w:b/>
          <w:sz w:val="32"/>
        </w:rPr>
        <w:t>2024年度财政拨款收入总计998.79万元，</w:t>
      </w:r>
      <w:r>
        <w:rPr>
          <w:rFonts w:ascii="仿宋_GB2312" w:hAnsi="仿宋_GB2312" w:eastAsia="仿宋_GB2312"/>
          <w:b w:val="0"/>
          <w:sz w:val="32"/>
        </w:rPr>
        <w:t>其中：年初财政拨款结转和结余0.00万元，本年财政拨款收入998.79万元。</w:t>
      </w:r>
      <w:r>
        <w:rPr>
          <w:rFonts w:ascii="仿宋_GB2312" w:hAnsi="仿宋_GB2312" w:eastAsia="仿宋_GB2312"/>
          <w:b/>
          <w:sz w:val="32"/>
        </w:rPr>
        <w:t>财政拨款支出总计998.79万元，</w:t>
      </w:r>
      <w:r>
        <w:rPr>
          <w:rFonts w:ascii="仿宋_GB2312" w:hAnsi="仿宋_GB2312" w:eastAsia="仿宋_GB2312"/>
          <w:b w:val="0"/>
          <w:sz w:val="32"/>
        </w:rPr>
        <w:t>其中：年末财政拨款结转和结余0.00万元，本年财政拨款支出998.79万元。</w:t>
      </w:r>
    </w:p>
    <w:p w14:paraId="70A9FE9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减少1,018.95万元，下降50.50%，主要原因是：本年减少专项项目经费。</w:t>
      </w:r>
      <w:r>
        <w:rPr>
          <w:rFonts w:ascii="仿宋_GB2312" w:hAnsi="仿宋_GB2312" w:eastAsia="仿宋_GB2312"/>
          <w:b/>
          <w:sz w:val="32"/>
        </w:rPr>
        <w:t>与年初预算相比，</w:t>
      </w:r>
      <w:r>
        <w:rPr>
          <w:rFonts w:ascii="仿宋_GB2312" w:hAnsi="仿宋_GB2312" w:eastAsia="仿宋_GB2312"/>
          <w:b w:val="0"/>
          <w:sz w:val="32"/>
        </w:rPr>
        <w:t>年初预算数902.96万元，决算数998.79万元，预决算差异率10.61%，主要原因是：年中追加宣传教育项目等，导致预决算存在差异。</w:t>
      </w:r>
    </w:p>
    <w:p w14:paraId="52AE494F">
      <w:pPr>
        <w:spacing w:line="640" w:lineRule="exact"/>
        <w:ind w:firstLine="640"/>
        <w:jc w:val="both"/>
        <w:outlineLvl w:val="2"/>
      </w:pPr>
      <w:r>
        <w:rPr>
          <w:rFonts w:ascii="黑体" w:hAnsi="黑体" w:eastAsia="黑体"/>
          <w:sz w:val="32"/>
        </w:rPr>
        <w:t>五、一般公共预算财政拨款支出决算情况说明</w:t>
      </w:r>
    </w:p>
    <w:p w14:paraId="1B44FA46">
      <w:pPr>
        <w:spacing w:line="640" w:lineRule="exact"/>
        <w:ind w:firstLine="640"/>
        <w:jc w:val="both"/>
        <w:outlineLvl w:val="3"/>
      </w:pPr>
      <w:r>
        <w:rPr>
          <w:rFonts w:ascii="楷体_GB2312" w:hAnsi="楷体_GB2312" w:eastAsia="楷体_GB2312"/>
          <w:b/>
          <w:sz w:val="32"/>
        </w:rPr>
        <w:t>（一）一般公共预算财政拨款支出决算总体情况</w:t>
      </w:r>
    </w:p>
    <w:p w14:paraId="616B74C5">
      <w:pPr>
        <w:spacing w:line="580" w:lineRule="exact"/>
        <w:ind w:firstLine="640"/>
        <w:jc w:val="both"/>
      </w:pPr>
      <w:r>
        <w:rPr>
          <w:rFonts w:ascii="仿宋_GB2312" w:hAnsi="仿宋_GB2312" w:eastAsia="仿宋_GB2312"/>
          <w:b/>
          <w:sz w:val="32"/>
        </w:rPr>
        <w:t>2024年度一般公共预算财政拨款支出998.79万元，</w:t>
      </w:r>
      <w:r>
        <w:rPr>
          <w:rFonts w:ascii="仿宋_GB2312" w:hAnsi="仿宋_GB2312" w:eastAsia="仿宋_GB2312"/>
          <w:b w:val="0"/>
          <w:sz w:val="32"/>
        </w:rPr>
        <w:t>占本年支出合计的99.06%。</w:t>
      </w:r>
      <w:r>
        <w:rPr>
          <w:rFonts w:ascii="仿宋_GB2312" w:hAnsi="仿宋_GB2312" w:eastAsia="仿宋_GB2312"/>
          <w:b/>
          <w:sz w:val="32"/>
        </w:rPr>
        <w:t>与上年相比，</w:t>
      </w:r>
      <w:r>
        <w:rPr>
          <w:rFonts w:ascii="仿宋_GB2312" w:hAnsi="仿宋_GB2312" w:eastAsia="仿宋_GB2312"/>
          <w:b w:val="0"/>
          <w:sz w:val="32"/>
        </w:rPr>
        <w:t>减少1,018.95万元，下降50.50%，主要原因是：本年减少专项项目经费。</w:t>
      </w:r>
      <w:r>
        <w:rPr>
          <w:rFonts w:ascii="仿宋_GB2312" w:hAnsi="仿宋_GB2312" w:eastAsia="仿宋_GB2312"/>
          <w:b/>
          <w:sz w:val="32"/>
        </w:rPr>
        <w:t>与年初预算相比,</w:t>
      </w:r>
      <w:r>
        <w:rPr>
          <w:rFonts w:ascii="仿宋_GB2312" w:hAnsi="仿宋_GB2312" w:eastAsia="仿宋_GB2312"/>
          <w:b w:val="0"/>
          <w:sz w:val="32"/>
        </w:rPr>
        <w:t>年初预算数902.96万元，决算数998.79万元，预决算差异率10.61%，主要原因是：年中追加宣传教育项目等，导致预决算存在差异。</w:t>
      </w:r>
    </w:p>
    <w:p w14:paraId="046D2BCE">
      <w:pPr>
        <w:spacing w:line="640" w:lineRule="exact"/>
        <w:ind w:firstLine="640"/>
        <w:jc w:val="both"/>
        <w:outlineLvl w:val="3"/>
      </w:pPr>
      <w:r>
        <w:rPr>
          <w:rFonts w:ascii="楷体_GB2312" w:hAnsi="楷体_GB2312" w:eastAsia="楷体_GB2312"/>
          <w:b/>
          <w:sz w:val="32"/>
        </w:rPr>
        <w:t>（二）一般公共预算财政拨款支出决算结构情况</w:t>
      </w:r>
    </w:p>
    <w:p w14:paraId="6AC46D3E">
      <w:pPr>
        <w:spacing w:line="580" w:lineRule="exact"/>
        <w:ind w:firstLine="640"/>
        <w:jc w:val="both"/>
      </w:pPr>
      <w:r>
        <w:rPr>
          <w:rFonts w:ascii="仿宋_GB2312" w:hAnsi="仿宋_GB2312" w:eastAsia="仿宋_GB2312"/>
          <w:b w:val="0"/>
          <w:sz w:val="32"/>
        </w:rPr>
        <w:t>1.一般公共服务支出(类)864.23万元,占86.53%。</w:t>
      </w:r>
    </w:p>
    <w:p w14:paraId="6C4D0F1E">
      <w:pPr>
        <w:spacing w:line="580" w:lineRule="exact"/>
        <w:ind w:firstLine="640"/>
        <w:jc w:val="both"/>
      </w:pPr>
      <w:r>
        <w:rPr>
          <w:rFonts w:ascii="仿宋_GB2312" w:hAnsi="仿宋_GB2312" w:eastAsia="仿宋_GB2312"/>
          <w:b w:val="0"/>
          <w:sz w:val="32"/>
        </w:rPr>
        <w:t>2.社会保障和就业支出(类)67.92万元,占6.80%。</w:t>
      </w:r>
    </w:p>
    <w:p w14:paraId="2F7723DA">
      <w:pPr>
        <w:spacing w:line="580" w:lineRule="exact"/>
        <w:ind w:firstLine="640"/>
        <w:jc w:val="both"/>
      </w:pPr>
      <w:r>
        <w:rPr>
          <w:rFonts w:ascii="仿宋_GB2312" w:hAnsi="仿宋_GB2312" w:eastAsia="仿宋_GB2312"/>
          <w:b w:val="0"/>
          <w:sz w:val="32"/>
        </w:rPr>
        <w:t>3.卫生健康支出(类)25.05万元,占2.51%。</w:t>
      </w:r>
    </w:p>
    <w:p w14:paraId="1BF1BB33">
      <w:pPr>
        <w:spacing w:line="580" w:lineRule="exact"/>
        <w:ind w:firstLine="640"/>
        <w:jc w:val="both"/>
      </w:pPr>
      <w:r>
        <w:rPr>
          <w:rFonts w:ascii="仿宋_GB2312" w:hAnsi="仿宋_GB2312" w:eastAsia="仿宋_GB2312"/>
          <w:b w:val="0"/>
          <w:sz w:val="32"/>
        </w:rPr>
        <w:t>4.住房保障支出(类)41.58万元,占4.16%。</w:t>
      </w:r>
    </w:p>
    <w:p w14:paraId="7058472F">
      <w:pPr>
        <w:spacing w:line="640" w:lineRule="exact"/>
        <w:ind w:firstLine="640"/>
        <w:jc w:val="both"/>
        <w:outlineLvl w:val="3"/>
      </w:pPr>
      <w:r>
        <w:rPr>
          <w:rFonts w:ascii="楷体_GB2312" w:hAnsi="楷体_GB2312" w:eastAsia="楷体_GB2312"/>
          <w:b/>
          <w:sz w:val="32"/>
        </w:rPr>
        <w:t>（三）一般公共预算财政拨款支出决算具体情况</w:t>
      </w:r>
    </w:p>
    <w:p w14:paraId="57F09D8D">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1.一般公共服务支出(类)党委办公厅（室）及相关机构事务(款)行政运行(项):支出决算数为453.87万元，比上年决算增加29.41万元，增长6.93%,主要原因是：本年在职人员工资调增，导致相关人员经费较上年有所增加。</w:t>
      </w:r>
    </w:p>
    <w:p w14:paraId="67C90A9B">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2.一般公共服务支出(类)党委办公厅（室）及相关机构事务(款)一般行政管理事务(项):支出决算数为367.70万元，比上年决算减少1,092.18万元，下降74.81%,主要原因是：本年减少专项项目经费。</w:t>
      </w:r>
    </w:p>
    <w:p w14:paraId="7C6CEF00">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支出决算数为42.66万元，比上年决算增加42.66万元，增长100.00%,主要原因是：增加专项项目质保金，导致经费增加。</w:t>
      </w:r>
    </w:p>
    <w:p w14:paraId="57510526">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4.社会保障和就业支出(类)行政事业单位养老支出(款)行政单位离退休(项):支出决算数为3.39万元，比上年决算增加0.91万元，增长36.69%,主要原因是：本年退休人员增加，退休费支出增加。</w:t>
      </w:r>
    </w:p>
    <w:p w14:paraId="2ABA953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48.90万元，比上年决算增加4.89万元，增长11.11%,主要原因是：本年在职人员工资基数调增，养老缴费基数上涨，相应支出增加。</w:t>
      </w:r>
    </w:p>
    <w:p w14:paraId="15D5C39C">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15.63万元，比上年决算增加15.63万元，增长100.00%,主要原因是：本年新增退休人员1人，辞职人员1人，职业年金缴费支出增加。</w:t>
      </w:r>
    </w:p>
    <w:p w14:paraId="091AAC87">
      <w:pPr>
        <w:spacing w:line="580" w:lineRule="exact"/>
        <w:ind w:firstLine="640"/>
        <w:jc w:val="both"/>
      </w:pPr>
      <w:r>
        <w:rPr>
          <w:rFonts w:ascii="仿宋_GB2312" w:hAnsi="仿宋_GB2312" w:eastAsia="仿宋_GB2312"/>
          <w:b w:val="0"/>
          <w:sz w:val="32"/>
        </w:rPr>
        <w:t>7.卫生健康支出(类)行政事业单位医疗(款)行政单位医疗(项):支出决算数为20.78万元，比上年决算增加2.07万元，增长11.06%,主要原因是：本年在职人员工资基数调增，医疗缴费基数上涨，相应支出增加。</w:t>
      </w:r>
    </w:p>
    <w:p w14:paraId="67EC375D">
      <w:pPr>
        <w:spacing w:line="580" w:lineRule="exact"/>
        <w:ind w:firstLine="640"/>
        <w:jc w:val="both"/>
      </w:pPr>
      <w:r>
        <w:rPr>
          <w:rFonts w:ascii="仿宋_GB2312" w:hAnsi="仿宋_GB2312" w:eastAsia="仿宋_GB2312"/>
          <w:b w:val="0"/>
          <w:sz w:val="32"/>
        </w:rPr>
        <w:t>8.卫生健康支出(类)行政事业单位医疗(款)公务员医疗补助(项):支出决算数为4.27万元，比上年决算增加0.14万元，增长3.39%,主要原因是：本年在职人员工资基数调增，医疗缴费基数上涨，相应支出增加。</w:t>
      </w:r>
    </w:p>
    <w:p w14:paraId="652A74EA">
      <w:pPr>
        <w:spacing w:line="580" w:lineRule="exact"/>
        <w:ind w:firstLine="640"/>
        <w:jc w:val="both"/>
      </w:pPr>
      <w:r>
        <w:rPr>
          <w:rFonts w:ascii="仿宋_GB2312" w:hAnsi="仿宋_GB2312" w:eastAsia="仿宋_GB2312"/>
          <w:b w:val="0"/>
          <w:sz w:val="32"/>
        </w:rPr>
        <w:t>9.住房保障支出(类)住房改革支出(款)住房公积金(项):支出决算数为41.58万元，比上年决算增加4.66万元，增长12.62%,主要原因是：本年在职人员工资基数调增，公积金缴费基数上涨，相应支出增加。</w:t>
      </w:r>
    </w:p>
    <w:p w14:paraId="0C72DABF">
      <w:pPr>
        <w:spacing w:line="580" w:lineRule="exact"/>
        <w:ind w:firstLine="640"/>
        <w:jc w:val="both"/>
      </w:pPr>
      <w:r>
        <w:rPr>
          <w:rFonts w:ascii="仿宋_GB2312" w:hAnsi="仿宋_GB2312" w:eastAsia="仿宋_GB2312"/>
          <w:b w:val="0"/>
          <w:sz w:val="32"/>
        </w:rPr>
        <w:t>10.其他支出(类)其他支出(款)其他支出(项):支出决算数为0.00万元，比上年决算减少27.16万元，下降100.00%,主要原因是：本年减少专项项目经费。</w:t>
      </w:r>
    </w:p>
    <w:p w14:paraId="75C8851F">
      <w:pPr>
        <w:spacing w:line="640" w:lineRule="exact"/>
        <w:ind w:firstLine="640"/>
        <w:jc w:val="both"/>
        <w:outlineLvl w:val="2"/>
      </w:pPr>
      <w:r>
        <w:rPr>
          <w:rFonts w:ascii="黑体" w:hAnsi="黑体" w:eastAsia="黑体"/>
          <w:sz w:val="32"/>
        </w:rPr>
        <w:t>六、一般公共预算财政拨款基本支出决算情况说明</w:t>
      </w:r>
    </w:p>
    <w:p w14:paraId="68845BFB">
      <w:pPr>
        <w:spacing w:line="580" w:lineRule="exact"/>
        <w:ind w:firstLine="640"/>
        <w:jc w:val="both"/>
      </w:pPr>
      <w:r>
        <w:rPr>
          <w:rFonts w:ascii="仿宋_GB2312" w:hAnsi="仿宋_GB2312" w:eastAsia="仿宋_GB2312"/>
          <w:b w:val="0"/>
          <w:sz w:val="32"/>
        </w:rPr>
        <w:t>2024年度一般公共预算财政拨款基本支出588.42万元，其中：</w:t>
      </w:r>
      <w:r>
        <w:rPr>
          <w:rFonts w:ascii="仿宋_GB2312" w:hAnsi="仿宋_GB2312" w:eastAsia="仿宋_GB2312"/>
          <w:b/>
          <w:sz w:val="32"/>
        </w:rPr>
        <w:t>人员经费546.59万元，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14:paraId="4C15E4A8">
      <w:pPr>
        <w:spacing w:line="580" w:lineRule="exact"/>
        <w:ind w:firstLine="640"/>
        <w:jc w:val="both"/>
      </w:pPr>
      <w:r>
        <w:rPr>
          <w:rFonts w:ascii="仿宋_GB2312" w:hAnsi="仿宋_GB2312" w:eastAsia="仿宋_GB2312"/>
          <w:b/>
          <w:sz w:val="32"/>
        </w:rPr>
        <w:t>公用经费41.83万元，</w:t>
      </w:r>
      <w:r>
        <w:rPr>
          <w:rFonts w:ascii="仿宋_GB2312" w:hAnsi="仿宋_GB2312" w:eastAsia="仿宋_GB2312"/>
          <w:b w:val="0"/>
          <w:sz w:val="32"/>
        </w:rPr>
        <w:t>包括：办公费、水费、邮电费、取暖费、差旅费、租赁费、专用材料费、劳务费、工会经费、公务用车运行维护费、其他商品和服务支出。</w:t>
      </w:r>
    </w:p>
    <w:p w14:paraId="1E71F849">
      <w:pPr>
        <w:spacing w:line="640" w:lineRule="exact"/>
        <w:ind w:firstLine="640"/>
        <w:jc w:val="both"/>
        <w:outlineLvl w:val="2"/>
      </w:pPr>
      <w:r>
        <w:rPr>
          <w:rFonts w:ascii="黑体" w:hAnsi="黑体" w:eastAsia="黑体"/>
          <w:sz w:val="32"/>
        </w:rPr>
        <w:t>七、政府性基金预算财政拨款收入支出决算情况说明</w:t>
      </w:r>
    </w:p>
    <w:p w14:paraId="615A342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9AEB98C">
      <w:pPr>
        <w:spacing w:line="640" w:lineRule="exact"/>
        <w:ind w:firstLine="640"/>
        <w:jc w:val="both"/>
        <w:outlineLvl w:val="2"/>
      </w:pPr>
      <w:r>
        <w:rPr>
          <w:rFonts w:ascii="黑体" w:hAnsi="黑体" w:eastAsia="黑体"/>
          <w:sz w:val="32"/>
        </w:rPr>
        <w:t>八、国有资本经营预算财政拨款收入支出决算情况说明</w:t>
      </w:r>
    </w:p>
    <w:p w14:paraId="6B87811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19B8ED3">
      <w:pPr>
        <w:spacing w:line="640" w:lineRule="exact"/>
        <w:ind w:firstLine="640"/>
        <w:jc w:val="both"/>
        <w:outlineLvl w:val="2"/>
      </w:pPr>
      <w:r>
        <w:rPr>
          <w:rFonts w:ascii="黑体" w:hAnsi="黑体" w:eastAsia="黑体"/>
          <w:sz w:val="32"/>
        </w:rPr>
        <w:t>九、财政拨款“三公”经费支出决算情况说明</w:t>
      </w:r>
    </w:p>
    <w:p w14:paraId="157715B6">
      <w:pPr>
        <w:spacing w:line="580" w:lineRule="exact"/>
        <w:ind w:firstLine="640"/>
        <w:jc w:val="both"/>
      </w:pPr>
      <w:r>
        <w:rPr>
          <w:rFonts w:ascii="仿宋_GB2312" w:hAnsi="仿宋_GB2312" w:eastAsia="仿宋_GB2312"/>
          <w:b/>
          <w:sz w:val="32"/>
        </w:rPr>
        <w:t>2024年度财政拨款“三公”经费支出8.40万元，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三公”经费与上年一致无变化。其中：因公出国（境）费支出0.00万元，占0.00%，比上年增加0.00万元，增长0.00%，主要原因是：2023年与2024年均未安排因公出国（境）费支出。公务用车购置及运行维护费支出8.40万元，占100.00%，比上年增加0.00万元，增长0.00%，主要原因是：</w:t>
      </w:r>
      <w:r>
        <w:rPr>
          <w:rFonts w:hint="eastAsia" w:ascii="仿宋_GB2312" w:hAnsi="仿宋_GB2312" w:eastAsia="仿宋_GB2312"/>
          <w:b w:val="0"/>
          <w:sz w:val="32"/>
          <w:lang w:val="en-US" w:eastAsia="zh-CN"/>
        </w:rPr>
        <w:t>本</w:t>
      </w:r>
      <w:r>
        <w:rPr>
          <w:rFonts w:ascii="仿宋_GB2312" w:hAnsi="仿宋_GB2312" w:eastAsia="仿宋_GB2312"/>
          <w:b w:val="0"/>
          <w:sz w:val="32"/>
        </w:rPr>
        <w:t>单位公务用车运行维护费与上年一致无变化。公务接待费支出0.00万元，占0.00%，比上年增加0.00万元，增长0.00%，主要原因是：2023年与2024年均未安排公务接待费支出。</w:t>
      </w:r>
    </w:p>
    <w:p w14:paraId="7498CB44">
      <w:pPr>
        <w:spacing w:line="580" w:lineRule="exact"/>
        <w:ind w:firstLine="640"/>
        <w:jc w:val="both"/>
      </w:pPr>
      <w:r>
        <w:rPr>
          <w:rFonts w:ascii="仿宋_GB2312" w:hAnsi="仿宋_GB2312" w:eastAsia="仿宋_GB2312"/>
          <w:b/>
          <w:sz w:val="32"/>
        </w:rPr>
        <w:t>具体情况如下：</w:t>
      </w:r>
    </w:p>
    <w:p w14:paraId="7FA1847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279B869">
      <w:pPr>
        <w:spacing w:line="580" w:lineRule="exact"/>
        <w:ind w:firstLine="640"/>
        <w:jc w:val="both"/>
      </w:pPr>
      <w:r>
        <w:rPr>
          <w:rFonts w:ascii="仿宋_GB2312" w:hAnsi="仿宋_GB2312" w:eastAsia="仿宋_GB2312"/>
          <w:b w:val="0"/>
          <w:sz w:val="32"/>
        </w:rPr>
        <w:t>公务用车购置及运行维护费8.40万元，其中：公务用车购置费0.00万元，公务用车运行维护费8.40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1915BC7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6A889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8.40万元，决算数8.40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8.40万元，决算数8.40万元，预决算差异率0.00%，主要原因是：严格按照预算执行，预决算无差异。公务接待费全年预算数0.00万元，决算数0.00万元，预决算差异率0.00%，主要原因是：本单位无公务接待费。</w:t>
      </w:r>
    </w:p>
    <w:p w14:paraId="325D9F55">
      <w:pPr>
        <w:spacing w:line="640" w:lineRule="exact"/>
        <w:ind w:firstLine="640"/>
        <w:jc w:val="both"/>
        <w:outlineLvl w:val="2"/>
      </w:pPr>
      <w:r>
        <w:rPr>
          <w:rFonts w:ascii="黑体" w:hAnsi="黑体" w:eastAsia="黑体"/>
          <w:sz w:val="32"/>
        </w:rPr>
        <w:t>十、其他重要事项的情况说明</w:t>
      </w:r>
    </w:p>
    <w:p w14:paraId="491135D5">
      <w:pPr>
        <w:spacing w:line="640" w:lineRule="exact"/>
        <w:ind w:firstLine="640"/>
        <w:jc w:val="both"/>
        <w:outlineLvl w:val="3"/>
      </w:pPr>
      <w:r>
        <w:rPr>
          <w:rFonts w:ascii="楷体_GB2312" w:hAnsi="楷体_GB2312" w:eastAsia="楷体_GB2312"/>
          <w:b/>
          <w:sz w:val="32"/>
        </w:rPr>
        <w:t>（一）机关运行经费及公用经费支出情况</w:t>
      </w:r>
    </w:p>
    <w:p w14:paraId="46737F4F">
      <w:pPr>
        <w:spacing w:line="580" w:lineRule="exact"/>
        <w:ind w:firstLine="640"/>
        <w:jc w:val="both"/>
      </w:pPr>
      <w:r>
        <w:rPr>
          <w:rFonts w:ascii="仿宋_GB2312" w:hAnsi="仿宋_GB2312" w:eastAsia="仿宋_GB2312"/>
          <w:b w:val="0"/>
          <w:sz w:val="32"/>
        </w:rPr>
        <w:t>2024年度中共喀什地委机要保密局（行政单位和参照公务员法管理事业单位）机关运行经费支出41.83万元，比上年减少28.33万元，下降40.38%，主要原因是：严格控制公用经费，合理节约办公用品，减少不必要开支。</w:t>
      </w:r>
    </w:p>
    <w:p w14:paraId="5C7FB16C">
      <w:pPr>
        <w:spacing w:line="640" w:lineRule="exact"/>
        <w:ind w:firstLine="640"/>
        <w:jc w:val="both"/>
        <w:outlineLvl w:val="3"/>
      </w:pPr>
      <w:r>
        <w:rPr>
          <w:rFonts w:ascii="楷体_GB2312" w:hAnsi="楷体_GB2312" w:eastAsia="楷体_GB2312"/>
          <w:b/>
          <w:sz w:val="32"/>
        </w:rPr>
        <w:t>（二）政府采购情况</w:t>
      </w:r>
    </w:p>
    <w:p w14:paraId="30C9FBE0">
      <w:pPr>
        <w:spacing w:line="580" w:lineRule="exact"/>
        <w:ind w:firstLine="640"/>
        <w:jc w:val="both"/>
      </w:pPr>
      <w:r>
        <w:rPr>
          <w:rFonts w:ascii="仿宋_GB2312" w:hAnsi="仿宋_GB2312" w:eastAsia="仿宋_GB2312"/>
          <w:b w:val="0"/>
          <w:sz w:val="32"/>
        </w:rPr>
        <w:t>2024年度政府采购支出总额216.62万元，其中：政府采购货物支出88.15万元、政府采购工程支出31.00万元、政府采购服务支出97.46万元。</w:t>
      </w:r>
    </w:p>
    <w:p w14:paraId="7CDAE538">
      <w:pPr>
        <w:spacing w:line="580" w:lineRule="exact"/>
        <w:ind w:firstLine="640"/>
        <w:jc w:val="both"/>
      </w:pPr>
      <w:r>
        <w:rPr>
          <w:rFonts w:ascii="仿宋_GB2312" w:hAnsi="仿宋_GB2312" w:eastAsia="仿宋_GB2312"/>
          <w:b w:val="0"/>
          <w:sz w:val="32"/>
        </w:rPr>
        <w:t>授予中小企业合同金额185.46万元，占政府采购支出总额的85.62%，其中：授予小微企业合同金额141.31万元，占政府采购支出总额的65.23%。</w:t>
      </w:r>
    </w:p>
    <w:p w14:paraId="0A39BF04">
      <w:pPr>
        <w:spacing w:line="640" w:lineRule="exact"/>
        <w:ind w:firstLine="640"/>
        <w:jc w:val="both"/>
        <w:outlineLvl w:val="3"/>
      </w:pPr>
      <w:r>
        <w:rPr>
          <w:rFonts w:ascii="楷体_GB2312" w:hAnsi="楷体_GB2312" w:eastAsia="楷体_GB2312"/>
          <w:b/>
          <w:sz w:val="32"/>
        </w:rPr>
        <w:t>（三）国有资产占用情况说明</w:t>
      </w:r>
    </w:p>
    <w:p w14:paraId="120FB167">
      <w:pPr>
        <w:spacing w:line="580" w:lineRule="exact"/>
        <w:ind w:firstLine="640"/>
        <w:jc w:val="both"/>
      </w:pPr>
      <w:r>
        <w:rPr>
          <w:rFonts w:ascii="仿宋_GB2312" w:hAnsi="仿宋_GB2312" w:eastAsia="仿宋_GB2312"/>
          <w:b w:val="0"/>
          <w:sz w:val="32"/>
        </w:rPr>
        <w:t>截至2024年12月31日，房屋4,680.22平方米，价值812.22万元。车辆4辆，价值143.95万元，其中：副部（省）级及以上领导用车0辆、主要负责人用车0辆、机要通信用车0辆、应急保障用车0辆、执法执勤用车0辆、特种专业技术用车3辆、离退休干部服务用车0辆、其他用车1辆，其他用车主要是：一般公务用车。单价100万元（含）以上设备（不含车辆）1台（套）。</w:t>
      </w:r>
    </w:p>
    <w:p w14:paraId="74645456">
      <w:pPr>
        <w:spacing w:line="640" w:lineRule="exact"/>
        <w:ind w:firstLine="640"/>
        <w:jc w:val="both"/>
        <w:outlineLvl w:val="2"/>
      </w:pPr>
      <w:r>
        <w:rPr>
          <w:rFonts w:ascii="黑体" w:hAnsi="黑体" w:eastAsia="黑体"/>
          <w:sz w:val="32"/>
        </w:rPr>
        <w:t>十一、预算绩效的情况说明</w:t>
      </w:r>
    </w:p>
    <w:p w14:paraId="0BC22A2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lang w:val="en-US" w:eastAsia="zh-CN"/>
        </w:rPr>
        <w:t>1011.59</w:t>
      </w:r>
      <w:r>
        <w:rPr>
          <w:rFonts w:ascii="仿宋_GB2312" w:hAnsi="仿宋_GB2312" w:eastAsia="仿宋_GB2312"/>
          <w:b w:val="0"/>
          <w:sz w:val="32"/>
        </w:rPr>
        <w:t>万元，实际执行总额</w:t>
      </w:r>
      <w:r>
        <w:rPr>
          <w:rFonts w:hint="eastAsia" w:ascii="仿宋_GB2312" w:hAnsi="仿宋_GB2312" w:eastAsia="仿宋_GB2312"/>
          <w:b w:val="0"/>
          <w:sz w:val="32"/>
        </w:rPr>
        <w:t>1008.28</w:t>
      </w:r>
      <w:r>
        <w:rPr>
          <w:rFonts w:ascii="仿宋_GB2312" w:hAnsi="仿宋_GB2312" w:eastAsia="仿宋_GB2312"/>
          <w:b w:val="0"/>
          <w:sz w:val="32"/>
        </w:rPr>
        <w:t>万元；预算绩效评价项目15个，全年预算数</w:t>
      </w:r>
      <w:r>
        <w:rPr>
          <w:rFonts w:hint="eastAsia" w:ascii="仿宋_GB2312" w:hAnsi="仿宋_GB2312" w:eastAsia="仿宋_GB2312"/>
          <w:b w:val="0"/>
          <w:sz w:val="32"/>
          <w:lang w:val="en-US" w:eastAsia="zh-CN"/>
        </w:rPr>
        <w:t>408.27</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404.36</w:t>
      </w:r>
      <w:r>
        <w:rPr>
          <w:rFonts w:ascii="仿宋_GB2312" w:hAnsi="仿宋_GB2312" w:eastAsia="仿宋_GB2312"/>
          <w:b w:val="0"/>
          <w:sz w:val="32"/>
        </w:rPr>
        <w:t>万元。预算绩效管理取得的成效：</w:t>
      </w:r>
      <w:r>
        <w:rPr>
          <w:rFonts w:hint="eastAsia" w:ascii="仿宋_GB2312" w:hAnsi="仿宋_GB2312" w:eastAsia="仿宋_GB2312"/>
          <w:b w:val="0"/>
          <w:sz w:val="32"/>
          <w:lang w:val="en-US" w:eastAsia="zh-CN"/>
        </w:rPr>
        <w:t>本</w:t>
      </w:r>
      <w:r>
        <w:rPr>
          <w:rFonts w:ascii="仿宋_GB2312" w:hAnsi="仿宋_GB2312" w:eastAsia="仿宋_GB2312"/>
          <w:b w:val="0"/>
          <w:sz w:val="32"/>
        </w:rPr>
        <w:t>单位项目绩效涉密不予公开。发现的问题及原因：</w:t>
      </w:r>
      <w:r>
        <w:rPr>
          <w:rFonts w:hint="eastAsia" w:ascii="仿宋_GB2312" w:hAnsi="仿宋_GB2312" w:eastAsia="仿宋_GB2312"/>
          <w:b w:val="0"/>
          <w:sz w:val="32"/>
          <w:lang w:val="en-US" w:eastAsia="zh-CN"/>
        </w:rPr>
        <w:t>本</w:t>
      </w:r>
      <w:r>
        <w:rPr>
          <w:rFonts w:ascii="仿宋_GB2312" w:hAnsi="仿宋_GB2312" w:eastAsia="仿宋_GB2312"/>
          <w:b w:val="0"/>
          <w:sz w:val="32"/>
        </w:rPr>
        <w:t>单位项目绩效涉密不予公开。下一步改进措施：</w:t>
      </w:r>
      <w:r>
        <w:rPr>
          <w:rFonts w:hint="eastAsia" w:ascii="仿宋_GB2312" w:hAnsi="仿宋_GB2312" w:eastAsia="仿宋_GB2312"/>
          <w:b w:val="0"/>
          <w:sz w:val="32"/>
          <w:lang w:val="en-US" w:eastAsia="zh-CN"/>
        </w:rPr>
        <w:t>本</w:t>
      </w:r>
      <w:r>
        <w:rPr>
          <w:rFonts w:ascii="仿宋_GB2312" w:hAnsi="仿宋_GB2312" w:eastAsia="仿宋_GB2312"/>
          <w:b w:val="0"/>
          <w:sz w:val="32"/>
        </w:rPr>
        <w:t>单位项目绩效涉密不予公开。</w:t>
      </w:r>
    </w:p>
    <w:p w14:paraId="3D4391A9">
      <w:r>
        <w:br w:type="page"/>
      </w:r>
    </w:p>
    <w:p w14:paraId="3AC52A9E">
      <w:pPr>
        <w:spacing w:line="640" w:lineRule="exact"/>
        <w:ind w:firstLine="640"/>
        <w:jc w:val="both"/>
        <w:outlineLvl w:val="2"/>
      </w:pPr>
      <w:r>
        <w:rPr>
          <w:rFonts w:ascii="黑体" w:hAnsi="黑体" w:eastAsia="黑体"/>
          <w:sz w:val="32"/>
        </w:rPr>
        <w:t>十二、其他需说明的事项</w:t>
      </w:r>
    </w:p>
    <w:p w14:paraId="1413FF34">
      <w:pPr>
        <w:spacing w:line="580" w:lineRule="exact"/>
        <w:ind w:firstLine="640"/>
        <w:jc w:val="both"/>
      </w:pPr>
      <w:r>
        <w:rPr>
          <w:rFonts w:ascii="仿宋_GB2312" w:hAnsi="仿宋_GB2312" w:eastAsia="仿宋_GB2312"/>
          <w:b w:val="0"/>
          <w:sz w:val="32"/>
        </w:rPr>
        <w:t>本年度本单位整体绩效自评表不予公开。</w:t>
      </w:r>
    </w:p>
    <w:p w14:paraId="0A092DA0">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sz w:val="32"/>
          <w:lang w:val="en-US" w:eastAsia="zh-CN"/>
        </w:rPr>
        <w:t>涉密</w:t>
      </w:r>
      <w:r>
        <w:rPr>
          <w:rFonts w:ascii="仿宋_GB2312" w:hAnsi="仿宋_GB2312" w:eastAsia="仿宋_GB2312"/>
          <w:b w:val="0"/>
          <w:sz w:val="32"/>
        </w:rPr>
        <w:t>项目15个，全年预算数</w:t>
      </w:r>
      <w:r>
        <w:rPr>
          <w:rFonts w:hint="eastAsia" w:ascii="仿宋_GB2312" w:hAnsi="仿宋_GB2312" w:eastAsia="仿宋_GB2312"/>
          <w:b w:val="0"/>
          <w:sz w:val="32"/>
          <w:lang w:val="en-US" w:eastAsia="zh-CN"/>
        </w:rPr>
        <w:t>408.27</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404.36</w:t>
      </w:r>
      <w:r>
        <w:rPr>
          <w:rFonts w:ascii="仿宋_GB2312" w:hAnsi="仿宋_GB2312" w:eastAsia="仿宋_GB2312"/>
          <w:b w:val="0"/>
          <w:sz w:val="32"/>
        </w:rPr>
        <w:t>万元。</w:t>
      </w:r>
      <w:bookmarkStart w:id="0" w:name="_GoBack"/>
      <w:bookmarkEnd w:id="0"/>
    </w:p>
    <w:p w14:paraId="08FCC92E">
      <w:r>
        <w:br w:type="page"/>
      </w:r>
    </w:p>
    <w:p w14:paraId="58D3ECEC">
      <w:pPr>
        <w:spacing w:line="240" w:lineRule="auto"/>
        <w:jc w:val="center"/>
        <w:outlineLvl w:val="1"/>
      </w:pPr>
      <w:r>
        <w:rPr>
          <w:rFonts w:ascii="黑体" w:hAnsi="黑体" w:eastAsia="黑体"/>
          <w:sz w:val="32"/>
        </w:rPr>
        <w:t>第三部分 专业名词解释</w:t>
      </w:r>
    </w:p>
    <w:p w14:paraId="44C0F7B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D103EE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8CCB57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A9FD3D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B9DB3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A3355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93E916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FF602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00C295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3AFCB5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F13A40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45A13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AB073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77B4A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9CEF37C">
      <w:r>
        <w:br w:type="page"/>
      </w:r>
    </w:p>
    <w:p w14:paraId="06EF3A7D">
      <w:pPr>
        <w:spacing w:line="240" w:lineRule="auto"/>
        <w:jc w:val="center"/>
        <w:outlineLvl w:val="1"/>
      </w:pPr>
      <w:r>
        <w:rPr>
          <w:rFonts w:ascii="黑体" w:hAnsi="黑体" w:eastAsia="黑体"/>
          <w:sz w:val="32"/>
        </w:rPr>
        <w:t>第四部分 部门决算报表（见附表）</w:t>
      </w:r>
    </w:p>
    <w:p w14:paraId="7FC8FA38">
      <w:pPr>
        <w:spacing w:line="240" w:lineRule="auto"/>
        <w:ind w:firstLine="640"/>
        <w:jc w:val="both"/>
      </w:pPr>
      <w:r>
        <w:rPr>
          <w:rFonts w:ascii="仿宋_GB2312" w:hAnsi="仿宋_GB2312" w:eastAsia="仿宋_GB2312"/>
          <w:b w:val="0"/>
          <w:sz w:val="32"/>
        </w:rPr>
        <w:t>一、《收入支出决算总表》</w:t>
      </w:r>
    </w:p>
    <w:p w14:paraId="3A0CAD8F">
      <w:pPr>
        <w:spacing w:line="240" w:lineRule="auto"/>
        <w:ind w:firstLine="640"/>
        <w:jc w:val="both"/>
      </w:pPr>
      <w:r>
        <w:rPr>
          <w:rFonts w:ascii="仿宋_GB2312" w:hAnsi="仿宋_GB2312" w:eastAsia="仿宋_GB2312"/>
          <w:b w:val="0"/>
          <w:sz w:val="32"/>
        </w:rPr>
        <w:t>二、《收入决算表》</w:t>
      </w:r>
    </w:p>
    <w:p w14:paraId="1C47D9E9">
      <w:pPr>
        <w:spacing w:line="240" w:lineRule="auto"/>
        <w:ind w:firstLine="640"/>
        <w:jc w:val="both"/>
      </w:pPr>
      <w:r>
        <w:rPr>
          <w:rFonts w:ascii="仿宋_GB2312" w:hAnsi="仿宋_GB2312" w:eastAsia="仿宋_GB2312"/>
          <w:b w:val="0"/>
          <w:sz w:val="32"/>
        </w:rPr>
        <w:t>三、《支出决算表》</w:t>
      </w:r>
    </w:p>
    <w:p w14:paraId="768AB74C">
      <w:pPr>
        <w:spacing w:line="240" w:lineRule="auto"/>
        <w:ind w:firstLine="640"/>
        <w:jc w:val="both"/>
      </w:pPr>
      <w:r>
        <w:rPr>
          <w:rFonts w:ascii="仿宋_GB2312" w:hAnsi="仿宋_GB2312" w:eastAsia="仿宋_GB2312"/>
          <w:b w:val="0"/>
          <w:sz w:val="32"/>
        </w:rPr>
        <w:t>四、《财政拨款收入支出决算总表》</w:t>
      </w:r>
    </w:p>
    <w:p w14:paraId="4951711C">
      <w:pPr>
        <w:spacing w:line="240" w:lineRule="auto"/>
        <w:ind w:firstLine="640"/>
        <w:jc w:val="both"/>
      </w:pPr>
      <w:r>
        <w:rPr>
          <w:rFonts w:ascii="仿宋_GB2312" w:hAnsi="仿宋_GB2312" w:eastAsia="仿宋_GB2312"/>
          <w:b w:val="0"/>
          <w:sz w:val="32"/>
        </w:rPr>
        <w:t>五、《一般公共预算财政拨款支出决算表》</w:t>
      </w:r>
    </w:p>
    <w:p w14:paraId="0E6BFFC2">
      <w:pPr>
        <w:spacing w:line="240" w:lineRule="auto"/>
        <w:ind w:firstLine="640"/>
        <w:jc w:val="both"/>
      </w:pPr>
      <w:r>
        <w:rPr>
          <w:rFonts w:ascii="仿宋_GB2312" w:hAnsi="仿宋_GB2312" w:eastAsia="仿宋_GB2312"/>
          <w:b w:val="0"/>
          <w:sz w:val="32"/>
        </w:rPr>
        <w:t>六、《一般公共预算财政拨款基本支出决算表》</w:t>
      </w:r>
    </w:p>
    <w:p w14:paraId="57FB5E3D">
      <w:pPr>
        <w:spacing w:line="240" w:lineRule="auto"/>
        <w:ind w:firstLine="640"/>
        <w:jc w:val="both"/>
      </w:pPr>
      <w:r>
        <w:rPr>
          <w:rFonts w:ascii="仿宋_GB2312" w:hAnsi="仿宋_GB2312" w:eastAsia="仿宋_GB2312"/>
          <w:b w:val="0"/>
          <w:sz w:val="32"/>
        </w:rPr>
        <w:t>七、《政府性基金预算财政拨款收入支出决算表》</w:t>
      </w:r>
    </w:p>
    <w:p w14:paraId="24320947">
      <w:pPr>
        <w:spacing w:line="240" w:lineRule="auto"/>
        <w:ind w:firstLine="640"/>
        <w:jc w:val="both"/>
      </w:pPr>
      <w:r>
        <w:rPr>
          <w:rFonts w:ascii="仿宋_GB2312" w:hAnsi="仿宋_GB2312" w:eastAsia="仿宋_GB2312"/>
          <w:b w:val="0"/>
          <w:sz w:val="32"/>
        </w:rPr>
        <w:t>八、《国有资本经营预算财政拨款收入支出决算表》</w:t>
      </w:r>
    </w:p>
    <w:p w14:paraId="1F138230">
      <w:pPr>
        <w:spacing w:line="240" w:lineRule="auto"/>
        <w:ind w:firstLine="640"/>
        <w:jc w:val="both"/>
      </w:pPr>
      <w:r>
        <w:rPr>
          <w:rFonts w:ascii="仿宋_GB2312" w:hAnsi="仿宋_GB2312" w:eastAsia="仿宋_GB2312"/>
          <w:b w:val="0"/>
          <w:sz w:val="32"/>
        </w:rPr>
        <w:t>九、《财政拨款“三公”经费支出决算表》</w:t>
      </w:r>
    </w:p>
    <w:p w14:paraId="67455553">
      <w:pPr>
        <w:spacing w:line="240" w:lineRule="auto"/>
        <w:ind w:firstLine="640"/>
        <w:jc w:val="both"/>
      </w:pPr>
    </w:p>
    <w:p w14:paraId="2448D7D5">
      <w:pPr>
        <w:spacing w:line="240" w:lineRule="auto"/>
        <w:ind w:firstLine="640"/>
        <w:jc w:val="both"/>
      </w:pPr>
    </w:p>
    <w:p w14:paraId="1653D9AA">
      <w:pPr>
        <w:spacing w:line="240" w:lineRule="auto"/>
        <w:ind w:firstLine="640"/>
        <w:jc w:val="both"/>
      </w:pPr>
    </w:p>
    <w:p w14:paraId="22B5C321">
      <w:pPr>
        <w:spacing w:line="240" w:lineRule="auto"/>
        <w:ind w:firstLine="640"/>
        <w:jc w:val="both"/>
      </w:pPr>
    </w:p>
    <w:p w14:paraId="2A01621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C2EC00-D943-47BA-AE47-24A9446F94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92008123-57A4-4DE4-8EE5-BF07D7E221AE}"/>
  </w:font>
  <w:font w:name="方正小标宋_GBK">
    <w:panose1 w:val="02000000000000000000"/>
    <w:charset w:val="86"/>
    <w:family w:val="script"/>
    <w:pitch w:val="default"/>
    <w:sig w:usb0="A00002BF" w:usb1="38CF7CFA" w:usb2="00082016" w:usb3="00000000" w:csb0="00040001" w:csb1="00000000"/>
    <w:embedRegular r:id="rId3" w:fontKey="{FE43FDA8-3689-4B27-B05C-BFA8604FB984}"/>
  </w:font>
  <w:font w:name="楷体_GB2312">
    <w:altName w:val="楷体"/>
    <w:panose1 w:val="00000000000000000000"/>
    <w:charset w:val="00"/>
    <w:family w:val="auto"/>
    <w:pitch w:val="default"/>
    <w:sig w:usb0="00000000" w:usb1="00000000" w:usb2="00000000" w:usb3="00000000" w:csb0="00000000" w:csb1="00000000"/>
    <w:embedRegular r:id="rId4" w:fontKey="{AB4A63C0-C6A8-4A07-8238-04844535301B}"/>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6A26DF"/>
    <w:rsid w:val="0A7B4867"/>
    <w:rsid w:val="0B8C3ECC"/>
    <w:rsid w:val="0C3613A3"/>
    <w:rsid w:val="0C7227A7"/>
    <w:rsid w:val="0DCA6EF7"/>
    <w:rsid w:val="0E4B1576"/>
    <w:rsid w:val="0EA04331"/>
    <w:rsid w:val="0F9811B3"/>
    <w:rsid w:val="11E15093"/>
    <w:rsid w:val="120E0809"/>
    <w:rsid w:val="19071D6C"/>
    <w:rsid w:val="19B5554D"/>
    <w:rsid w:val="1AC20D64"/>
    <w:rsid w:val="1B8F2D19"/>
    <w:rsid w:val="1C317E4F"/>
    <w:rsid w:val="1C472464"/>
    <w:rsid w:val="1DAF458D"/>
    <w:rsid w:val="1E086ACE"/>
    <w:rsid w:val="1E4B5CA5"/>
    <w:rsid w:val="1EAA4A5F"/>
    <w:rsid w:val="1F587A0B"/>
    <w:rsid w:val="2064678E"/>
    <w:rsid w:val="20BC0B75"/>
    <w:rsid w:val="20DD6197"/>
    <w:rsid w:val="21F317F2"/>
    <w:rsid w:val="2241392C"/>
    <w:rsid w:val="23BC04D2"/>
    <w:rsid w:val="24815BA6"/>
    <w:rsid w:val="25275618"/>
    <w:rsid w:val="27CE017C"/>
    <w:rsid w:val="27CF2642"/>
    <w:rsid w:val="282459E2"/>
    <w:rsid w:val="29116777"/>
    <w:rsid w:val="2A053397"/>
    <w:rsid w:val="2A444FB1"/>
    <w:rsid w:val="2A6064E2"/>
    <w:rsid w:val="2B2838DB"/>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7679C5"/>
    <w:rsid w:val="4B4C0111"/>
    <w:rsid w:val="4BB23021"/>
    <w:rsid w:val="4F3F074E"/>
    <w:rsid w:val="4FFA4F97"/>
    <w:rsid w:val="50DB5F45"/>
    <w:rsid w:val="52F92565"/>
    <w:rsid w:val="543D17CB"/>
    <w:rsid w:val="55DA564E"/>
    <w:rsid w:val="56E07045"/>
    <w:rsid w:val="583059FA"/>
    <w:rsid w:val="587E6212"/>
    <w:rsid w:val="5AFC6609"/>
    <w:rsid w:val="5B0F680F"/>
    <w:rsid w:val="5DAA1DAA"/>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677844"/>
    <w:rsid w:val="6E801ABC"/>
    <w:rsid w:val="71473612"/>
    <w:rsid w:val="718F7F65"/>
    <w:rsid w:val="73423603"/>
    <w:rsid w:val="737A5923"/>
    <w:rsid w:val="73DE4104"/>
    <w:rsid w:val="73FB6630"/>
    <w:rsid w:val="74CE04EC"/>
    <w:rsid w:val="74E76DCD"/>
    <w:rsid w:val="765D3A06"/>
    <w:rsid w:val="76660D7C"/>
    <w:rsid w:val="77ED6F44"/>
    <w:rsid w:val="7836583F"/>
    <w:rsid w:val="78386631"/>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5107</Words>
  <Characters>5837</Characters>
  <Lines>0</Lines>
  <Paragraphs>0</Paragraphs>
  <TotalTime>0</TotalTime>
  <ScaleCrop>false</ScaleCrop>
  <LinksUpToDate>false</LinksUpToDate>
  <CharactersWithSpaces>5847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