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中共喀什地委统一战线工作部2024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C957B16">
      <w:r>
        <w:br w:type="page"/>
      </w:r>
    </w:p>
    <w:p w14:paraId="492B68EF">
      <w:pPr>
        <w:spacing w:line="640" w:lineRule="exact"/>
        <w:jc w:val="center"/>
        <w:outlineLvl w:val="1"/>
      </w:pPr>
      <w:r>
        <w:rPr>
          <w:rFonts w:ascii="黑体" w:hAnsi="黑体" w:eastAsia="黑体"/>
          <w:sz w:val="32"/>
        </w:rPr>
        <w:t>第一部分 单位概况</w:t>
      </w:r>
    </w:p>
    <w:p w14:paraId="28606BA3">
      <w:pPr>
        <w:spacing w:line="640" w:lineRule="exact"/>
        <w:ind w:firstLine="640"/>
        <w:jc w:val="both"/>
        <w:outlineLvl w:val="2"/>
      </w:pPr>
      <w:r>
        <w:rPr>
          <w:rFonts w:ascii="黑体" w:hAnsi="黑体" w:eastAsia="黑体"/>
          <w:sz w:val="32"/>
        </w:rPr>
        <w:t>一、主要职能</w:t>
      </w:r>
    </w:p>
    <w:p w14:paraId="7636AE46">
      <w:pPr>
        <w:spacing w:line="580" w:lineRule="exact"/>
        <w:ind w:firstLine="640"/>
        <w:jc w:val="both"/>
      </w:pPr>
      <w:r>
        <w:rPr>
          <w:rFonts w:ascii="仿宋_GB2312" w:hAnsi="仿宋_GB2312" w:eastAsia="仿宋_GB2312"/>
          <w:sz w:val="32"/>
        </w:rPr>
        <w:t>本单位主要职能</w:t>
      </w:r>
      <w:r>
        <w:rPr>
          <w:rFonts w:hint="eastAsia" w:ascii="仿宋_GB2312" w:hAnsi="仿宋_GB2312" w:eastAsia="仿宋_GB2312"/>
          <w:sz w:val="32"/>
          <w:lang w:val="en-US" w:eastAsia="zh-CN"/>
        </w:rPr>
        <w:t>涉密</w:t>
      </w:r>
      <w:r>
        <w:rPr>
          <w:rFonts w:ascii="仿宋_GB2312" w:hAnsi="仿宋_GB2312" w:eastAsia="仿宋_GB2312"/>
          <w:sz w:val="32"/>
        </w:rPr>
        <w:t>不予公开。</w:t>
      </w:r>
    </w:p>
    <w:p w14:paraId="0FD32F86">
      <w:pPr>
        <w:spacing w:line="640" w:lineRule="exact"/>
        <w:ind w:firstLine="640"/>
        <w:jc w:val="both"/>
        <w:outlineLvl w:val="2"/>
      </w:pPr>
      <w:r>
        <w:rPr>
          <w:rFonts w:ascii="黑体" w:hAnsi="黑体" w:eastAsia="黑体"/>
          <w:sz w:val="32"/>
        </w:rPr>
        <w:t>二、机构设置及人员情况</w:t>
      </w:r>
    </w:p>
    <w:p w14:paraId="0DF60958">
      <w:pPr>
        <w:spacing w:line="580" w:lineRule="exact"/>
        <w:ind w:firstLine="640"/>
        <w:jc w:val="both"/>
      </w:pPr>
      <w:r>
        <w:rPr>
          <w:rFonts w:ascii="仿宋_GB2312" w:hAnsi="仿宋_GB2312" w:eastAsia="仿宋_GB2312"/>
          <w:sz w:val="32"/>
        </w:rPr>
        <w:t>本单位机构设置及人员情况</w:t>
      </w:r>
      <w:r>
        <w:rPr>
          <w:rFonts w:hint="eastAsia" w:ascii="仿宋_GB2312" w:hAnsi="仿宋_GB2312" w:eastAsia="仿宋_GB2312"/>
          <w:sz w:val="32"/>
          <w:lang w:val="en-US" w:eastAsia="zh-CN"/>
        </w:rPr>
        <w:t>涉密</w:t>
      </w:r>
      <w:r>
        <w:rPr>
          <w:rFonts w:ascii="仿宋_GB2312" w:hAnsi="仿宋_GB2312" w:eastAsia="仿宋_GB2312"/>
          <w:sz w:val="32"/>
        </w:rPr>
        <w:t>不予公开。</w:t>
      </w:r>
    </w:p>
    <w:p w14:paraId="7FBC9452">
      <w:r>
        <w:br w:type="page"/>
      </w:r>
    </w:p>
    <w:p w14:paraId="511669DD">
      <w:pPr>
        <w:spacing w:line="240" w:lineRule="auto"/>
        <w:jc w:val="center"/>
        <w:outlineLvl w:val="1"/>
      </w:pPr>
      <w:r>
        <w:rPr>
          <w:rFonts w:ascii="黑体" w:hAnsi="黑体" w:eastAsia="黑体"/>
          <w:sz w:val="32"/>
        </w:rPr>
        <w:t>第二部分 部门决算情况说明</w:t>
      </w:r>
    </w:p>
    <w:p w14:paraId="3B211D25">
      <w:pPr>
        <w:spacing w:line="640" w:lineRule="exact"/>
        <w:ind w:firstLine="640"/>
        <w:jc w:val="both"/>
        <w:outlineLvl w:val="2"/>
      </w:pPr>
      <w:r>
        <w:rPr>
          <w:rFonts w:ascii="黑体" w:hAnsi="黑体" w:eastAsia="黑体"/>
          <w:sz w:val="32"/>
        </w:rPr>
        <w:t>一、收入支出决算总体情况说明</w:t>
      </w:r>
    </w:p>
    <w:p w14:paraId="2A019FCB">
      <w:pPr>
        <w:spacing w:line="580" w:lineRule="exact"/>
        <w:ind w:firstLine="640"/>
        <w:jc w:val="both"/>
      </w:pPr>
      <w:r>
        <w:rPr>
          <w:rFonts w:ascii="仿宋_GB2312" w:hAnsi="仿宋_GB2312" w:eastAsia="仿宋_GB2312"/>
          <w:b/>
          <w:sz w:val="32"/>
        </w:rPr>
        <w:t>2024年度收入总计937.25万元，</w:t>
      </w:r>
      <w:r>
        <w:rPr>
          <w:rFonts w:ascii="仿宋_GB2312" w:hAnsi="仿宋_GB2312" w:eastAsia="仿宋_GB2312"/>
          <w:b w:val="0"/>
          <w:sz w:val="32"/>
        </w:rPr>
        <w:t>其中：本年收入合计937.25万元，使用非财政拨款结余（含专用结余）0.00万元，年初结转和结余0.00万元。</w:t>
      </w:r>
    </w:p>
    <w:p w14:paraId="68CCE87D">
      <w:pPr>
        <w:spacing w:line="580" w:lineRule="exact"/>
        <w:ind w:firstLine="640"/>
        <w:jc w:val="both"/>
      </w:pPr>
      <w:r>
        <w:rPr>
          <w:rFonts w:ascii="仿宋_GB2312" w:hAnsi="仿宋_GB2312" w:eastAsia="仿宋_GB2312"/>
          <w:b/>
          <w:sz w:val="32"/>
        </w:rPr>
        <w:t>2024年度支出总计937.25万元，</w:t>
      </w:r>
      <w:r>
        <w:rPr>
          <w:rFonts w:ascii="仿宋_GB2312" w:hAnsi="仿宋_GB2312" w:eastAsia="仿宋_GB2312"/>
          <w:b w:val="0"/>
          <w:sz w:val="32"/>
        </w:rPr>
        <w:t>其中：本年支出合计905.79万元，结余分配0.00万元，年末结转和结余31.46万元。</w:t>
      </w:r>
    </w:p>
    <w:p w14:paraId="211C2CB0">
      <w:pPr>
        <w:spacing w:line="580" w:lineRule="exact"/>
        <w:ind w:firstLine="640"/>
        <w:jc w:val="both"/>
      </w:pPr>
      <w:r>
        <w:rPr>
          <w:rFonts w:ascii="仿宋_GB2312" w:hAnsi="仿宋_GB2312" w:eastAsia="仿宋_GB2312"/>
          <w:b w:val="0"/>
          <w:sz w:val="32"/>
        </w:rPr>
        <w:t>收入支出总体与上年相比，增加173.97万元，增长22.79%，主要原因是：2024年7月机构改革，在职和退休人员增加，人员经费增加。</w:t>
      </w:r>
    </w:p>
    <w:p w14:paraId="604D216F">
      <w:pPr>
        <w:spacing w:line="640" w:lineRule="exact"/>
        <w:ind w:firstLine="640"/>
        <w:jc w:val="both"/>
        <w:outlineLvl w:val="2"/>
      </w:pPr>
      <w:r>
        <w:rPr>
          <w:rFonts w:ascii="黑体" w:hAnsi="黑体" w:eastAsia="黑体"/>
          <w:sz w:val="32"/>
        </w:rPr>
        <w:t>二、收入决算情况说明</w:t>
      </w:r>
    </w:p>
    <w:p w14:paraId="6C6211D4">
      <w:pPr>
        <w:spacing w:line="580" w:lineRule="exact"/>
        <w:ind w:firstLine="640"/>
        <w:jc w:val="both"/>
      </w:pPr>
      <w:r>
        <w:rPr>
          <w:rFonts w:ascii="仿宋_GB2312" w:hAnsi="仿宋_GB2312" w:eastAsia="仿宋_GB2312"/>
          <w:b/>
          <w:sz w:val="32"/>
        </w:rPr>
        <w:t>本年收入937.25万元，</w:t>
      </w:r>
      <w:r>
        <w:rPr>
          <w:rFonts w:ascii="仿宋_GB2312" w:hAnsi="仿宋_GB2312" w:eastAsia="仿宋_GB2312"/>
          <w:b w:val="0"/>
          <w:sz w:val="32"/>
        </w:rPr>
        <w:t>其中：财政拨款收入761.62万元，占81.26%；上级补助收入0.00万元，占0.00%；事业收入0.00万元，占0.00%；经营收入0.00万元，占0.00%；附属单位上缴收入0.00万元，占0.00%；其他收入175.64万元，占18.74%。</w:t>
      </w:r>
    </w:p>
    <w:p w14:paraId="1DFEDCFA">
      <w:pPr>
        <w:spacing w:line="640" w:lineRule="exact"/>
        <w:ind w:firstLine="640"/>
        <w:jc w:val="both"/>
        <w:outlineLvl w:val="2"/>
      </w:pPr>
      <w:r>
        <w:rPr>
          <w:rFonts w:ascii="黑体" w:hAnsi="黑体" w:eastAsia="黑体"/>
          <w:sz w:val="32"/>
        </w:rPr>
        <w:t>三、支出决算情况说明</w:t>
      </w:r>
    </w:p>
    <w:p w14:paraId="040F0E1B">
      <w:pPr>
        <w:spacing w:line="580" w:lineRule="exact"/>
        <w:ind w:firstLine="640"/>
        <w:jc w:val="both"/>
      </w:pPr>
      <w:r>
        <w:rPr>
          <w:rFonts w:ascii="仿宋_GB2312" w:hAnsi="仿宋_GB2312" w:eastAsia="仿宋_GB2312"/>
          <w:b/>
          <w:sz w:val="32"/>
        </w:rPr>
        <w:t>本年支出905.79万元，</w:t>
      </w:r>
      <w:r>
        <w:rPr>
          <w:rFonts w:ascii="仿宋_GB2312" w:hAnsi="仿宋_GB2312" w:eastAsia="仿宋_GB2312"/>
          <w:b w:val="0"/>
          <w:sz w:val="32"/>
        </w:rPr>
        <w:t>其中：基本支出630.11万元，占69.56%；项目支出275.67万元，占30.43%；上缴上级支出0.00万元，占0.00%；经营支出0.00万元，占0.00%；对附属单位补助支出0.00万元，占0.00%。</w:t>
      </w:r>
    </w:p>
    <w:p w14:paraId="42EB31CE">
      <w:pPr>
        <w:spacing w:line="640" w:lineRule="exact"/>
        <w:ind w:firstLine="640"/>
        <w:jc w:val="both"/>
        <w:outlineLvl w:val="2"/>
      </w:pPr>
      <w:r>
        <w:rPr>
          <w:rFonts w:ascii="黑体" w:hAnsi="黑体" w:eastAsia="黑体"/>
          <w:sz w:val="32"/>
        </w:rPr>
        <w:t>四、财政拨款收入支出决算总体情况说明</w:t>
      </w:r>
    </w:p>
    <w:p w14:paraId="56FB2851">
      <w:pPr>
        <w:spacing w:line="580" w:lineRule="exact"/>
        <w:ind w:firstLine="640"/>
        <w:jc w:val="both"/>
      </w:pPr>
      <w:r>
        <w:rPr>
          <w:rFonts w:ascii="仿宋_GB2312" w:hAnsi="仿宋_GB2312" w:eastAsia="仿宋_GB2312"/>
          <w:b/>
          <w:sz w:val="32"/>
        </w:rPr>
        <w:t>2024年度财政拨款收入总计761.62万元，</w:t>
      </w:r>
      <w:r>
        <w:rPr>
          <w:rFonts w:ascii="仿宋_GB2312" w:hAnsi="仿宋_GB2312" w:eastAsia="仿宋_GB2312"/>
          <w:b w:val="0"/>
          <w:sz w:val="32"/>
        </w:rPr>
        <w:t>其中：年初财政拨款结转和结余0.00万元，本年财政拨款收入761.62万元。</w:t>
      </w:r>
      <w:r>
        <w:rPr>
          <w:rFonts w:ascii="仿宋_GB2312" w:hAnsi="仿宋_GB2312" w:eastAsia="仿宋_GB2312"/>
          <w:b/>
          <w:sz w:val="32"/>
        </w:rPr>
        <w:t>财政拨款支出总计761.62万元，</w:t>
      </w:r>
      <w:r>
        <w:rPr>
          <w:rFonts w:ascii="仿宋_GB2312" w:hAnsi="仿宋_GB2312" w:eastAsia="仿宋_GB2312"/>
          <w:b w:val="0"/>
          <w:sz w:val="32"/>
        </w:rPr>
        <w:t>其中：年末财政拨款结转和结余0.00万元，本年财政拨款支出761.62万元。</w:t>
      </w:r>
    </w:p>
    <w:p w14:paraId="3969D59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增加170.51万元，增长28.85%，主要原因是：2024年7月机构改革，在职和退休人员增加，人员经费增加。</w:t>
      </w:r>
      <w:r>
        <w:rPr>
          <w:rFonts w:ascii="仿宋_GB2312" w:hAnsi="仿宋_GB2312" w:eastAsia="仿宋_GB2312"/>
          <w:b/>
          <w:sz w:val="32"/>
        </w:rPr>
        <w:t>与年初预算相比，</w:t>
      </w:r>
      <w:r>
        <w:rPr>
          <w:rFonts w:ascii="仿宋_GB2312" w:hAnsi="仿宋_GB2312" w:eastAsia="仿宋_GB2312"/>
          <w:b w:val="0"/>
          <w:sz w:val="32"/>
        </w:rPr>
        <w:t>年初预算数1,248.83万元，决算数761.62万元，预决算差异率-39.01%，主要原因是：部分项目未执行，年中调减经费，导致预决算存在差异。</w:t>
      </w:r>
    </w:p>
    <w:p w14:paraId="788831DE">
      <w:pPr>
        <w:spacing w:line="640" w:lineRule="exact"/>
        <w:ind w:firstLine="640"/>
        <w:jc w:val="both"/>
        <w:outlineLvl w:val="2"/>
      </w:pPr>
      <w:r>
        <w:rPr>
          <w:rFonts w:ascii="黑体" w:hAnsi="黑体" w:eastAsia="黑体"/>
          <w:sz w:val="32"/>
        </w:rPr>
        <w:t>五、一般公共预算财政拨款支出决算情况说明</w:t>
      </w:r>
    </w:p>
    <w:p w14:paraId="68EE7A94">
      <w:pPr>
        <w:spacing w:line="640" w:lineRule="exact"/>
        <w:ind w:firstLine="640"/>
        <w:jc w:val="both"/>
        <w:outlineLvl w:val="3"/>
      </w:pPr>
      <w:r>
        <w:rPr>
          <w:rFonts w:ascii="楷体_GB2312" w:hAnsi="楷体_GB2312" w:eastAsia="楷体_GB2312"/>
          <w:b/>
          <w:sz w:val="32"/>
        </w:rPr>
        <w:t>（一）一般公共预算财政拨款支出决算总体情况</w:t>
      </w:r>
    </w:p>
    <w:p w14:paraId="2AF5C04F">
      <w:pPr>
        <w:spacing w:line="580" w:lineRule="exact"/>
        <w:ind w:firstLine="640"/>
        <w:jc w:val="both"/>
      </w:pPr>
      <w:r>
        <w:rPr>
          <w:rFonts w:ascii="仿宋_GB2312" w:hAnsi="仿宋_GB2312" w:eastAsia="仿宋_GB2312"/>
          <w:b/>
          <w:sz w:val="32"/>
        </w:rPr>
        <w:t>2024年度一般公共预算财政拨款支出761.62万元，</w:t>
      </w:r>
      <w:r>
        <w:rPr>
          <w:rFonts w:ascii="仿宋_GB2312" w:hAnsi="仿宋_GB2312" w:eastAsia="仿宋_GB2312"/>
          <w:b w:val="0"/>
          <w:sz w:val="32"/>
        </w:rPr>
        <w:t>占本年支出合计的84.08%。</w:t>
      </w:r>
      <w:r>
        <w:rPr>
          <w:rFonts w:ascii="仿宋_GB2312" w:hAnsi="仿宋_GB2312" w:eastAsia="仿宋_GB2312"/>
          <w:b/>
          <w:sz w:val="32"/>
        </w:rPr>
        <w:t>与上年相比，</w:t>
      </w:r>
      <w:r>
        <w:rPr>
          <w:rFonts w:ascii="仿宋_GB2312" w:hAnsi="仿宋_GB2312" w:eastAsia="仿宋_GB2312"/>
          <w:b w:val="0"/>
          <w:sz w:val="32"/>
        </w:rPr>
        <w:t>增加170.51万元，增长28.85%，主要原因是：2024年7月机构改革，在职和退休人员增加，人员经费增加。</w:t>
      </w:r>
      <w:r>
        <w:rPr>
          <w:rFonts w:ascii="仿宋_GB2312" w:hAnsi="仿宋_GB2312" w:eastAsia="仿宋_GB2312"/>
          <w:b/>
          <w:sz w:val="32"/>
        </w:rPr>
        <w:t>与年初预算相比,</w:t>
      </w:r>
      <w:r>
        <w:rPr>
          <w:rFonts w:ascii="仿宋_GB2312" w:hAnsi="仿宋_GB2312" w:eastAsia="仿宋_GB2312"/>
          <w:b w:val="0"/>
          <w:sz w:val="32"/>
        </w:rPr>
        <w:t>年初预算数1,248.83万元，决算数761.62万元，预决算差异率-39.01%，主要原因是：部分项目未执行，年中调减经费，导致预决算存在差异。</w:t>
      </w:r>
    </w:p>
    <w:p w14:paraId="3B578BD3">
      <w:pPr>
        <w:spacing w:line="640" w:lineRule="exact"/>
        <w:ind w:firstLine="640"/>
        <w:jc w:val="both"/>
        <w:outlineLvl w:val="3"/>
      </w:pPr>
      <w:r>
        <w:rPr>
          <w:rFonts w:ascii="楷体_GB2312" w:hAnsi="楷体_GB2312" w:eastAsia="楷体_GB2312"/>
          <w:b/>
          <w:sz w:val="32"/>
        </w:rPr>
        <w:t>（二）一般公共预算财政拨款支出决算结构情况</w:t>
      </w:r>
    </w:p>
    <w:p w14:paraId="339BD2FF">
      <w:pPr>
        <w:spacing w:line="580" w:lineRule="exact"/>
        <w:ind w:firstLine="640"/>
        <w:jc w:val="both"/>
      </w:pPr>
      <w:r>
        <w:rPr>
          <w:rFonts w:ascii="仿宋_GB2312" w:hAnsi="仿宋_GB2312" w:eastAsia="仿宋_GB2312"/>
          <w:b w:val="0"/>
          <w:sz w:val="32"/>
        </w:rPr>
        <w:t>1.一般公共服务支出(类)596.14万元,占78.27%。</w:t>
      </w:r>
    </w:p>
    <w:p w14:paraId="43422706">
      <w:pPr>
        <w:spacing w:line="580" w:lineRule="exact"/>
        <w:ind w:firstLine="640"/>
        <w:jc w:val="both"/>
      </w:pPr>
      <w:r>
        <w:rPr>
          <w:rFonts w:ascii="仿宋_GB2312" w:hAnsi="仿宋_GB2312" w:eastAsia="仿宋_GB2312"/>
          <w:b w:val="0"/>
          <w:sz w:val="32"/>
        </w:rPr>
        <w:t>2.社会保障和就业支出(类)88.76万元,占11.65%。</w:t>
      </w:r>
    </w:p>
    <w:p w14:paraId="49878C14">
      <w:pPr>
        <w:spacing w:line="580" w:lineRule="exact"/>
        <w:ind w:firstLine="640"/>
        <w:jc w:val="both"/>
      </w:pPr>
      <w:r>
        <w:rPr>
          <w:rFonts w:ascii="仿宋_GB2312" w:hAnsi="仿宋_GB2312" w:eastAsia="仿宋_GB2312"/>
          <w:b w:val="0"/>
          <w:sz w:val="32"/>
        </w:rPr>
        <w:t>3.卫生健康支出(类)28.95万元,占3.80%。</w:t>
      </w:r>
    </w:p>
    <w:p w14:paraId="26BF163D">
      <w:pPr>
        <w:spacing w:line="580" w:lineRule="exact"/>
        <w:ind w:firstLine="640"/>
        <w:jc w:val="both"/>
      </w:pPr>
      <w:r>
        <w:rPr>
          <w:rFonts w:ascii="仿宋_GB2312" w:hAnsi="仿宋_GB2312" w:eastAsia="仿宋_GB2312"/>
          <w:b w:val="0"/>
          <w:sz w:val="32"/>
        </w:rPr>
        <w:t>4.住房保障支出(类)47.77万元,占6.27%。</w:t>
      </w:r>
    </w:p>
    <w:p w14:paraId="42730279">
      <w:pPr>
        <w:spacing w:line="640" w:lineRule="exact"/>
        <w:ind w:firstLine="640"/>
        <w:jc w:val="both"/>
        <w:outlineLvl w:val="3"/>
      </w:pPr>
      <w:r>
        <w:rPr>
          <w:rFonts w:ascii="楷体_GB2312" w:hAnsi="楷体_GB2312" w:eastAsia="楷体_GB2312"/>
          <w:b/>
          <w:sz w:val="32"/>
        </w:rPr>
        <w:t>（三）一般公共预算财政拨款支出决算具体情况</w:t>
      </w:r>
    </w:p>
    <w:p w14:paraId="232FDA2D">
      <w:pPr>
        <w:spacing w:line="580" w:lineRule="exact"/>
        <w:ind w:firstLine="640"/>
        <w:jc w:val="both"/>
      </w:pPr>
      <w:r>
        <w:rPr>
          <w:rFonts w:ascii="仿宋_GB2312" w:hAnsi="仿宋_GB2312" w:eastAsia="仿宋_GB2312"/>
          <w:b w:val="0"/>
          <w:sz w:val="32"/>
        </w:rPr>
        <w:t>1.一般公共服务支出(类)统战事务(款)行政运行(项):支出决算数为464.64万元，比上年决算增加112.39万元，增长31.91%,主要原因是：2024年7月机构改革，在职</w:t>
      </w:r>
      <w:r>
        <w:rPr>
          <w:rFonts w:hint="eastAsia" w:ascii="仿宋_GB2312" w:hAnsi="仿宋_GB2312" w:eastAsia="仿宋_GB2312"/>
          <w:b w:val="0"/>
          <w:sz w:val="32"/>
          <w:lang w:val="en-US" w:eastAsia="zh-CN"/>
        </w:rPr>
        <w:t>人员</w:t>
      </w:r>
      <w:r>
        <w:rPr>
          <w:rFonts w:ascii="仿宋_GB2312" w:hAnsi="仿宋_GB2312" w:eastAsia="仿宋_GB2312"/>
          <w:b w:val="0"/>
          <w:sz w:val="32"/>
        </w:rPr>
        <w:t>增加，人员经费增加。</w:t>
      </w:r>
    </w:p>
    <w:p w14:paraId="21994CB0">
      <w:pPr>
        <w:spacing w:line="580" w:lineRule="exact"/>
        <w:ind w:firstLine="640"/>
        <w:jc w:val="both"/>
      </w:pPr>
      <w:r>
        <w:rPr>
          <w:rFonts w:ascii="仿宋_GB2312" w:hAnsi="仿宋_GB2312" w:eastAsia="仿宋_GB2312"/>
          <w:b w:val="0"/>
          <w:sz w:val="32"/>
        </w:rPr>
        <w:t>2.一般公共服务支出(类)统战事务(款)一般行政管理事务(项):支出决算数为76.97万元，比上年决算增加9.16万元，增长13.51%,主要原因是：本年新增</w:t>
      </w:r>
      <w:r>
        <w:rPr>
          <w:rFonts w:hint="eastAsia" w:ascii="仿宋_GB2312" w:hAnsi="仿宋_GB2312" w:eastAsia="仿宋_GB2312"/>
          <w:b w:val="0"/>
          <w:sz w:val="32"/>
          <w:lang w:eastAsia="zh-CN"/>
        </w:rPr>
        <w:t>专用机械设备</w:t>
      </w:r>
      <w:r>
        <w:rPr>
          <w:rFonts w:ascii="仿宋_GB2312" w:hAnsi="仿宋_GB2312" w:eastAsia="仿宋_GB2312"/>
          <w:b w:val="0"/>
          <w:sz w:val="32"/>
        </w:rPr>
        <w:t>项目。</w:t>
      </w:r>
    </w:p>
    <w:p w14:paraId="2F6E2828">
      <w:pPr>
        <w:spacing w:line="580" w:lineRule="exact"/>
        <w:ind w:firstLine="640"/>
        <w:jc w:val="both"/>
      </w:pPr>
      <w:r>
        <w:rPr>
          <w:rFonts w:ascii="仿宋_GB2312" w:hAnsi="仿宋_GB2312" w:eastAsia="仿宋_GB2312"/>
          <w:b w:val="0"/>
          <w:sz w:val="32"/>
        </w:rPr>
        <w:t>3.一般公共服务支出(类)统战事务(款)宗教事务(项):支出决算数为53.52万元，比上年决算增加0.00万元，增长0.00%,主要原因是：本年干部保险费与上年一致，无变化。</w:t>
      </w:r>
    </w:p>
    <w:p w14:paraId="73B515EF">
      <w:pPr>
        <w:spacing w:line="580" w:lineRule="exact"/>
        <w:ind w:firstLine="640"/>
        <w:jc w:val="both"/>
        <w:rPr>
          <w:rFonts w:hint="default" w:eastAsia="仿宋_GB2312"/>
          <w:lang w:val="en-US" w:eastAsia="zh-CN"/>
        </w:rPr>
      </w:pPr>
      <w:r>
        <w:rPr>
          <w:rFonts w:ascii="仿宋_GB2312" w:hAnsi="仿宋_GB2312" w:eastAsia="仿宋_GB2312"/>
          <w:b w:val="0"/>
          <w:sz w:val="32"/>
        </w:rPr>
        <w:t>4.一般公共服务支出(类)统战事务(款)其他统战事务支出(项):支出决算数为1.01万元，比上年决算增加1.01万元，增长100.00%,主要原因是：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功能科目调整，</w:t>
      </w:r>
      <w:r>
        <w:rPr>
          <w:rFonts w:hint="eastAsia" w:ascii="仿宋_GB2312" w:hAnsi="仿宋_GB2312" w:eastAsia="仿宋_GB2312"/>
          <w:b w:val="0"/>
          <w:sz w:val="32"/>
          <w:lang w:val="en-US" w:eastAsia="zh-CN"/>
        </w:rPr>
        <w:t>信息</w:t>
      </w:r>
      <w:r>
        <w:rPr>
          <w:rFonts w:ascii="仿宋_GB2312" w:hAnsi="仿宋_GB2312" w:eastAsia="仿宋_GB2312"/>
          <w:b w:val="0"/>
          <w:sz w:val="32"/>
        </w:rPr>
        <w:t>工程建设项目从其他支出科目调整至其他统战事务支出科目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导致此科目经费增加。</w:t>
      </w:r>
    </w:p>
    <w:p w14:paraId="3D6CE319">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5.社会保障和就业支出(类)行政事业单位养老支出(款)行政单位离退休(项):支出决算数为20.79万元，比上年决算增加6.47万元，增长45.18%,主要原因是：由于机构改革，本年退休人员增加，退休费支出增加。</w:t>
      </w:r>
    </w:p>
    <w:p w14:paraId="59EFF4B5">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56.02万元，比上年决算增加15.83万元，增长39.39%,主要原因是：本年在职人员增加，养老保险缴费较上年增加。</w:t>
      </w:r>
    </w:p>
    <w:p w14:paraId="3621B0BB">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7.社会保障和就业支出(类)行政事业单位养老支出(款)机关事业单位职业年金缴费支出(项):支出决算数为11.95万元，比上年决算增加5.68万元，增长90.59%,主要原因是：本年新增退休人员，职业年金缴费支出增加。</w:t>
      </w:r>
    </w:p>
    <w:p w14:paraId="700A4AC6">
      <w:pPr>
        <w:spacing w:line="580" w:lineRule="exact"/>
        <w:ind w:firstLine="640"/>
        <w:jc w:val="both"/>
      </w:pPr>
      <w:r>
        <w:rPr>
          <w:rFonts w:ascii="仿宋_GB2312" w:hAnsi="仿宋_GB2312" w:eastAsia="仿宋_GB2312"/>
          <w:b w:val="0"/>
          <w:sz w:val="32"/>
        </w:rPr>
        <w:t>8.卫生健康支出(类)行政事业单位医疗(款)行政单位医疗(项):支出决算数为23.81万元，比上年决算增加6.73万元，增长39.40%,主要原因是：本年在职人员增加，行政单位医疗较上年增加。</w:t>
      </w:r>
    </w:p>
    <w:p w14:paraId="27770FEF">
      <w:pPr>
        <w:spacing w:line="580" w:lineRule="exact"/>
        <w:ind w:firstLine="640"/>
        <w:jc w:val="both"/>
      </w:pPr>
      <w:r>
        <w:rPr>
          <w:rFonts w:ascii="仿宋_GB2312" w:hAnsi="仿宋_GB2312" w:eastAsia="仿宋_GB2312"/>
          <w:b w:val="0"/>
          <w:sz w:val="32"/>
        </w:rPr>
        <w:t>9.卫生健康支出(类)行政事业单位医疗(款)公务员医疗补助(项):支出决算数为5.14万元，比上年决算增加0.91万元，增长21.51%,主要原因是：本年在职人员增加，公务员医疗补助较上年增加。</w:t>
      </w:r>
    </w:p>
    <w:p w14:paraId="430FCF41">
      <w:pPr>
        <w:spacing w:line="580" w:lineRule="exact"/>
        <w:ind w:firstLine="640"/>
        <w:jc w:val="both"/>
      </w:pPr>
      <w:r>
        <w:rPr>
          <w:rFonts w:ascii="仿宋_GB2312" w:hAnsi="仿宋_GB2312" w:eastAsia="仿宋_GB2312"/>
          <w:b w:val="0"/>
          <w:sz w:val="32"/>
        </w:rPr>
        <w:t>10.住房保障支出(类)住房改革支出(款)住房公积金(项):支出决算数为47.77万元，比上年决算增加14.63万元，增长44.15%,主要原因是：本年在职人员增加，住房公积金支出较上年增加。</w:t>
      </w:r>
    </w:p>
    <w:p w14:paraId="41DA80ED">
      <w:pPr>
        <w:spacing w:line="580" w:lineRule="exact"/>
        <w:ind w:firstLine="640"/>
        <w:jc w:val="both"/>
        <w:rPr>
          <w:rFonts w:hint="default" w:eastAsia="仿宋_GB2312"/>
          <w:lang w:val="en-US" w:eastAsia="zh-CN"/>
        </w:rPr>
      </w:pPr>
      <w:r>
        <w:rPr>
          <w:rFonts w:ascii="仿宋_GB2312" w:hAnsi="仿宋_GB2312" w:eastAsia="仿宋_GB2312"/>
          <w:b w:val="0"/>
          <w:sz w:val="32"/>
        </w:rPr>
        <w:t>11.其他支出(类)其他支出(款)其他支出(项):支出决算数为0.00万元，比上年决算减少2.32万元，下降100.00%,主要原因是：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功能科目调整，</w:t>
      </w:r>
      <w:r>
        <w:rPr>
          <w:rFonts w:hint="eastAsia" w:ascii="仿宋_GB2312" w:hAnsi="仿宋_GB2312" w:eastAsia="仿宋_GB2312"/>
          <w:b w:val="0"/>
          <w:sz w:val="32"/>
          <w:lang w:val="en-US" w:eastAsia="zh-CN"/>
        </w:rPr>
        <w:t>信息</w:t>
      </w:r>
      <w:r>
        <w:rPr>
          <w:rFonts w:ascii="仿宋_GB2312" w:hAnsi="仿宋_GB2312" w:eastAsia="仿宋_GB2312"/>
          <w:b w:val="0"/>
          <w:sz w:val="32"/>
        </w:rPr>
        <w:t>工程建设项目从其他支出科目调整至其他统战事务支出科目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导致此科目经费减少。</w:t>
      </w:r>
    </w:p>
    <w:p w14:paraId="67AEDDA3">
      <w:pPr>
        <w:spacing w:line="640" w:lineRule="exact"/>
        <w:ind w:firstLine="640"/>
        <w:jc w:val="both"/>
        <w:outlineLvl w:val="2"/>
      </w:pPr>
      <w:r>
        <w:rPr>
          <w:rFonts w:ascii="黑体" w:hAnsi="黑体" w:eastAsia="黑体"/>
          <w:sz w:val="32"/>
        </w:rPr>
        <w:t>六、一般公共预算财政拨款基本支出决算情况说明</w:t>
      </w:r>
    </w:p>
    <w:p w14:paraId="62448DF8">
      <w:pPr>
        <w:spacing w:line="580" w:lineRule="exact"/>
        <w:ind w:firstLine="640"/>
        <w:jc w:val="both"/>
      </w:pPr>
      <w:r>
        <w:rPr>
          <w:rFonts w:ascii="仿宋_GB2312" w:hAnsi="仿宋_GB2312" w:eastAsia="仿宋_GB2312"/>
          <w:b w:val="0"/>
          <w:sz w:val="32"/>
        </w:rPr>
        <w:t>2024年度一般公共预算财政拨款基本支出630.11万元，其中：</w:t>
      </w:r>
      <w:r>
        <w:rPr>
          <w:rFonts w:ascii="仿宋_GB2312" w:hAnsi="仿宋_GB2312" w:eastAsia="仿宋_GB2312"/>
          <w:b/>
          <w:sz w:val="32"/>
        </w:rPr>
        <w:t>人员经费604.63万元，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14:paraId="201777C0">
      <w:pPr>
        <w:spacing w:line="580" w:lineRule="exact"/>
        <w:ind w:firstLine="640"/>
        <w:jc w:val="both"/>
      </w:pPr>
      <w:r>
        <w:rPr>
          <w:rFonts w:ascii="仿宋_GB2312" w:hAnsi="仿宋_GB2312" w:eastAsia="仿宋_GB2312"/>
          <w:b/>
          <w:sz w:val="32"/>
        </w:rPr>
        <w:t>公用经费25.48万元，</w:t>
      </w:r>
      <w:r>
        <w:rPr>
          <w:rFonts w:ascii="仿宋_GB2312" w:hAnsi="仿宋_GB2312" w:eastAsia="仿宋_GB2312"/>
          <w:b w:val="0"/>
          <w:sz w:val="32"/>
        </w:rPr>
        <w:t>包括：办公费、印刷费、水费、电费、邮电费、取暖费、物业管理费、差旅费、维修（护）费、专用材料费、劳务费、委托业务费、工会经费、公务用车运行维护费、其他交通费用、其他商品和服务支出。</w:t>
      </w:r>
    </w:p>
    <w:p w14:paraId="388A6DDB">
      <w:pPr>
        <w:spacing w:line="640" w:lineRule="exact"/>
        <w:ind w:firstLine="640"/>
        <w:jc w:val="both"/>
        <w:outlineLvl w:val="2"/>
      </w:pPr>
      <w:r>
        <w:rPr>
          <w:rFonts w:ascii="黑体" w:hAnsi="黑体" w:eastAsia="黑体"/>
          <w:sz w:val="32"/>
        </w:rPr>
        <w:t>七、政府性基金预算财政拨款收入支出决算情况说明</w:t>
      </w:r>
    </w:p>
    <w:p w14:paraId="495F2E5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ADF907B">
      <w:pPr>
        <w:spacing w:line="640" w:lineRule="exact"/>
        <w:ind w:firstLine="640"/>
        <w:jc w:val="both"/>
        <w:outlineLvl w:val="2"/>
      </w:pPr>
      <w:r>
        <w:rPr>
          <w:rFonts w:ascii="黑体" w:hAnsi="黑体" w:eastAsia="黑体"/>
          <w:sz w:val="32"/>
        </w:rPr>
        <w:t>八、国有资本经营预算财政拨款收入支出决算情况说明</w:t>
      </w:r>
    </w:p>
    <w:p w14:paraId="70BD8CD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C111014">
      <w:pPr>
        <w:spacing w:line="640" w:lineRule="exact"/>
        <w:ind w:firstLine="640"/>
        <w:jc w:val="both"/>
        <w:outlineLvl w:val="2"/>
      </w:pPr>
      <w:r>
        <w:rPr>
          <w:rFonts w:ascii="黑体" w:hAnsi="黑体" w:eastAsia="黑体"/>
          <w:sz w:val="32"/>
        </w:rPr>
        <w:t>九、财政拨款“三公”经费支出决算情况说明</w:t>
      </w:r>
    </w:p>
    <w:p w14:paraId="6BD124BA">
      <w:pPr>
        <w:spacing w:line="580" w:lineRule="exact"/>
        <w:ind w:firstLine="640"/>
        <w:jc w:val="both"/>
      </w:pPr>
      <w:r>
        <w:rPr>
          <w:rFonts w:ascii="仿宋_GB2312" w:hAnsi="仿宋_GB2312" w:eastAsia="仿宋_GB2312"/>
          <w:b/>
          <w:sz w:val="32"/>
        </w:rPr>
        <w:t>2024年度财政拨款“三公”经费支出3.15万元，</w:t>
      </w:r>
      <w:r>
        <w:rPr>
          <w:rFonts w:ascii="仿宋_GB2312" w:hAnsi="仿宋_GB2312" w:eastAsia="仿宋_GB2312"/>
          <w:b w:val="0"/>
          <w:sz w:val="32"/>
        </w:rPr>
        <w:t>比上年增加1.05万元，增长50.00%，主要原因是：本年度由于机构改革，</w:t>
      </w:r>
      <w:r>
        <w:rPr>
          <w:rFonts w:hint="eastAsia" w:ascii="仿宋_GB2312" w:hAnsi="仿宋_GB2312" w:eastAsia="仿宋_GB2312"/>
          <w:b w:val="0"/>
          <w:sz w:val="32"/>
          <w:lang w:val="en-US" w:eastAsia="zh-CN"/>
        </w:rPr>
        <w:t>调入一辆</w:t>
      </w:r>
      <w:r>
        <w:rPr>
          <w:rFonts w:ascii="仿宋_GB2312" w:hAnsi="仿宋_GB2312" w:eastAsia="仿宋_GB2312"/>
          <w:b w:val="0"/>
          <w:sz w:val="32"/>
        </w:rPr>
        <w:t>公务用车</w:t>
      </w:r>
      <w:r>
        <w:rPr>
          <w:rFonts w:hint="eastAsia" w:ascii="仿宋_GB2312" w:hAnsi="仿宋_GB2312" w:eastAsia="仿宋_GB2312"/>
          <w:b w:val="0"/>
          <w:sz w:val="32"/>
          <w:lang w:val="en-US" w:eastAsia="zh-CN"/>
        </w:rPr>
        <w:t>至本单位</w:t>
      </w:r>
      <w:r>
        <w:rPr>
          <w:rFonts w:ascii="仿宋_GB2312" w:hAnsi="仿宋_GB2312" w:eastAsia="仿宋_GB2312"/>
          <w:b w:val="0"/>
          <w:sz w:val="32"/>
        </w:rPr>
        <w:t>，导致公务用车运行维护费较上年增加。其中：因公出国（境）费支出0.00万元，占0.00%，比上年增加0.00万元，增长0.00%，主要原因是：2023年与2024年均未安排因公出国（境）费支出。公务用车购置及运行维护费支出3.15万元，占100.00%，比上年增加1.05万元，增长50.00%，主要原因是：本年度由于机构改革，</w:t>
      </w:r>
      <w:r>
        <w:rPr>
          <w:rFonts w:hint="eastAsia" w:ascii="仿宋_GB2312" w:hAnsi="仿宋_GB2312" w:eastAsia="仿宋_GB2312"/>
          <w:b w:val="0"/>
          <w:sz w:val="32"/>
          <w:lang w:val="en-US" w:eastAsia="zh-CN"/>
        </w:rPr>
        <w:t>调入一辆</w:t>
      </w:r>
      <w:r>
        <w:rPr>
          <w:rFonts w:ascii="仿宋_GB2312" w:hAnsi="仿宋_GB2312" w:eastAsia="仿宋_GB2312"/>
          <w:b w:val="0"/>
          <w:sz w:val="32"/>
        </w:rPr>
        <w:t>公务用车</w:t>
      </w:r>
      <w:r>
        <w:rPr>
          <w:rFonts w:hint="eastAsia" w:ascii="仿宋_GB2312" w:hAnsi="仿宋_GB2312" w:eastAsia="仿宋_GB2312"/>
          <w:b w:val="0"/>
          <w:sz w:val="32"/>
          <w:lang w:val="en-US" w:eastAsia="zh-CN"/>
        </w:rPr>
        <w:t>至本单位</w:t>
      </w:r>
      <w:r>
        <w:rPr>
          <w:rFonts w:ascii="仿宋_GB2312" w:hAnsi="仿宋_GB2312" w:eastAsia="仿宋_GB2312"/>
          <w:b w:val="0"/>
          <w:sz w:val="32"/>
        </w:rPr>
        <w:t>，导致公务用车运行维护费较上年增加。公务接待费支出0.00万元，占0.00%，比上年增加0.00万元，增长0.00%，主要原因是：2023年与2024年均未安排公务接待费支出。</w:t>
      </w:r>
    </w:p>
    <w:p w14:paraId="747051A0">
      <w:pPr>
        <w:spacing w:line="580" w:lineRule="exact"/>
        <w:ind w:firstLine="640"/>
        <w:jc w:val="both"/>
      </w:pPr>
      <w:r>
        <w:rPr>
          <w:rFonts w:ascii="仿宋_GB2312" w:hAnsi="仿宋_GB2312" w:eastAsia="仿宋_GB2312"/>
          <w:b/>
          <w:sz w:val="32"/>
        </w:rPr>
        <w:t>具体情况如下：</w:t>
      </w:r>
    </w:p>
    <w:p w14:paraId="75699A2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5560DF2">
      <w:pPr>
        <w:spacing w:line="580" w:lineRule="exact"/>
        <w:ind w:firstLine="640"/>
        <w:jc w:val="both"/>
      </w:pPr>
      <w:r>
        <w:rPr>
          <w:rFonts w:ascii="仿宋_GB2312" w:hAnsi="仿宋_GB2312" w:eastAsia="仿宋_GB2312"/>
          <w:b w:val="0"/>
          <w:sz w:val="32"/>
        </w:rPr>
        <w:t>公务用车购置及运行维护费3.15万元，其中：公务用车购置费0.00万元，公务用车运行维护费3.15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14:paraId="7E17E82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22A2FF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3.15万元，决算数3.15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3.15万元，决算数3.15万元，预决算差异率0.00%，主要原因是：严格按照预算执行，预决算无差异。公务接待费全年预算数0.00万元，决算数0.00万元，预决算差异率0.00%，主要原因是：本单位无公务接待费。</w:t>
      </w:r>
    </w:p>
    <w:p w14:paraId="27232462">
      <w:pPr>
        <w:spacing w:line="640" w:lineRule="exact"/>
        <w:ind w:firstLine="640"/>
        <w:jc w:val="both"/>
        <w:outlineLvl w:val="2"/>
      </w:pPr>
      <w:r>
        <w:rPr>
          <w:rFonts w:ascii="黑体" w:hAnsi="黑体" w:eastAsia="黑体"/>
          <w:sz w:val="32"/>
        </w:rPr>
        <w:t>十、其他重要事项的情况说明</w:t>
      </w:r>
    </w:p>
    <w:p w14:paraId="2EFA4D44">
      <w:pPr>
        <w:spacing w:line="640" w:lineRule="exact"/>
        <w:ind w:firstLine="640"/>
        <w:jc w:val="both"/>
        <w:outlineLvl w:val="3"/>
      </w:pPr>
      <w:r>
        <w:rPr>
          <w:rFonts w:ascii="楷体_GB2312" w:hAnsi="楷体_GB2312" w:eastAsia="楷体_GB2312"/>
          <w:b/>
          <w:sz w:val="32"/>
        </w:rPr>
        <w:t>（一）机关运行经费及公用经费支出情况</w:t>
      </w:r>
    </w:p>
    <w:p w14:paraId="36D637F0">
      <w:pPr>
        <w:spacing w:line="580" w:lineRule="exact"/>
        <w:ind w:firstLine="640"/>
        <w:jc w:val="both"/>
      </w:pPr>
      <w:r>
        <w:rPr>
          <w:rFonts w:ascii="仿宋_GB2312" w:hAnsi="仿宋_GB2312" w:eastAsia="仿宋_GB2312"/>
          <w:b w:val="0"/>
          <w:sz w:val="32"/>
        </w:rPr>
        <w:t>2024年度中共喀什地委统一战线工作部（行政单位和参照公务员法管理事业单位）机关运行经费支出25.48万元，比上年增加5.62万元，增长28.30%，主要原因是：由于机构改革，增加地区民委公用经费，导致办公费等机关运行经费增加。</w:t>
      </w:r>
    </w:p>
    <w:p w14:paraId="26594CAB">
      <w:pPr>
        <w:spacing w:line="640" w:lineRule="exact"/>
        <w:ind w:firstLine="640"/>
        <w:jc w:val="both"/>
        <w:outlineLvl w:val="3"/>
      </w:pPr>
      <w:r>
        <w:rPr>
          <w:rFonts w:ascii="楷体_GB2312" w:hAnsi="楷体_GB2312" w:eastAsia="楷体_GB2312"/>
          <w:b/>
          <w:sz w:val="32"/>
        </w:rPr>
        <w:t>（二）政府采购情况</w:t>
      </w:r>
    </w:p>
    <w:p w14:paraId="17032C1C">
      <w:pPr>
        <w:spacing w:line="580" w:lineRule="exact"/>
        <w:ind w:firstLine="640"/>
        <w:jc w:val="both"/>
      </w:pPr>
      <w:r>
        <w:rPr>
          <w:rFonts w:ascii="仿宋_GB2312" w:hAnsi="仿宋_GB2312" w:eastAsia="仿宋_GB2312"/>
          <w:b w:val="0"/>
          <w:sz w:val="32"/>
        </w:rPr>
        <w:t>2024年度政府采购支出总额102.08万元，其中：政府采购货物支出31.53万元、政府采购工程支出3.38万元、政府采购服务支出67.17万元。</w:t>
      </w:r>
    </w:p>
    <w:p w14:paraId="40F95226">
      <w:pPr>
        <w:spacing w:line="580" w:lineRule="exact"/>
        <w:ind w:firstLine="640"/>
        <w:jc w:val="both"/>
      </w:pPr>
      <w:r>
        <w:rPr>
          <w:rFonts w:ascii="仿宋_GB2312" w:hAnsi="仿宋_GB2312" w:eastAsia="仿宋_GB2312"/>
          <w:b w:val="0"/>
          <w:sz w:val="32"/>
        </w:rPr>
        <w:t>授予中小企业合同金额98.70万元，占政府采购支出总额的96.69%，其中：授予小微企业合同金额72.49万元，占政府采购支出总额的71.01%。</w:t>
      </w:r>
    </w:p>
    <w:p w14:paraId="0E596EAB">
      <w:pPr>
        <w:spacing w:line="640" w:lineRule="exact"/>
        <w:ind w:firstLine="640"/>
        <w:jc w:val="both"/>
        <w:outlineLvl w:val="3"/>
      </w:pPr>
      <w:r>
        <w:rPr>
          <w:rFonts w:ascii="楷体_GB2312" w:hAnsi="楷体_GB2312" w:eastAsia="楷体_GB2312"/>
          <w:b/>
          <w:sz w:val="32"/>
        </w:rPr>
        <w:t>（三）国有资产占用情况说明</w:t>
      </w:r>
    </w:p>
    <w:p w14:paraId="1F65FCB0">
      <w:pPr>
        <w:spacing w:line="580" w:lineRule="exact"/>
        <w:ind w:firstLine="640"/>
        <w:jc w:val="both"/>
      </w:pPr>
      <w:r>
        <w:rPr>
          <w:rFonts w:ascii="仿宋_GB2312" w:hAnsi="仿宋_GB2312" w:eastAsia="仿宋_GB2312"/>
          <w:b w:val="0"/>
          <w:sz w:val="32"/>
        </w:rPr>
        <w:t>截至2024年12月31日，房屋0.00平方米，价值0.00万元。车辆2辆，价值54.78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70EF3440">
      <w:pPr>
        <w:spacing w:line="640" w:lineRule="exact"/>
        <w:ind w:firstLine="640"/>
        <w:jc w:val="both"/>
        <w:outlineLvl w:val="2"/>
      </w:pPr>
      <w:r>
        <w:rPr>
          <w:rFonts w:ascii="黑体" w:hAnsi="黑体" w:eastAsia="黑体"/>
          <w:sz w:val="32"/>
        </w:rPr>
        <w:t>十一、预算绩效的情况说明</w:t>
      </w:r>
    </w:p>
    <w:p w14:paraId="7BEC476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根据预算绩效管理要求，本单位2024年度预算绩效管理形成整体支出绩效自评表1个，全年预算总额1,029.99万元，实际执行总额905.79万元；预算绩效评价项目</w:t>
      </w:r>
      <w:r>
        <w:rPr>
          <w:rFonts w:hint="eastAsia" w:ascii="仿宋_GB2312" w:hAnsi="仿宋_GB2312" w:eastAsia="仿宋_GB2312"/>
          <w:b w:val="0"/>
          <w:sz w:val="32"/>
          <w:lang w:val="en-US" w:eastAsia="zh-CN"/>
        </w:rPr>
        <w:t>9</w:t>
      </w:r>
      <w:r>
        <w:rPr>
          <w:rFonts w:ascii="仿宋_GB2312" w:hAnsi="仿宋_GB2312" w:eastAsia="仿宋_GB2312"/>
          <w:b w:val="0"/>
          <w:sz w:val="32"/>
        </w:rPr>
        <w:t>个，全年预算数</w:t>
      </w:r>
      <w:r>
        <w:rPr>
          <w:rFonts w:hint="eastAsia" w:ascii="仿宋_GB2312" w:hAnsi="仿宋_GB2312" w:eastAsia="仿宋_GB2312"/>
          <w:b w:val="0"/>
          <w:sz w:val="32"/>
        </w:rPr>
        <w:t>396.85</w:t>
      </w:r>
      <w:r>
        <w:rPr>
          <w:rFonts w:ascii="仿宋_GB2312" w:hAnsi="仿宋_GB2312" w:eastAsia="仿宋_GB2312"/>
          <w:b w:val="0"/>
          <w:sz w:val="32"/>
        </w:rPr>
        <w:t>万元，全年执行数</w:t>
      </w:r>
      <w:r>
        <w:rPr>
          <w:rFonts w:hint="eastAsia" w:ascii="仿宋_GB2312" w:hAnsi="仿宋_GB2312" w:eastAsia="仿宋_GB2312"/>
          <w:b w:val="0"/>
          <w:sz w:val="32"/>
        </w:rPr>
        <w:t>275.68</w:t>
      </w:r>
      <w:r>
        <w:rPr>
          <w:rFonts w:ascii="仿宋_GB2312" w:hAnsi="仿宋_GB2312" w:eastAsia="仿宋_GB2312"/>
          <w:b w:val="0"/>
          <w:sz w:val="32"/>
        </w:rPr>
        <w:t>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预算绩效项目不予公开。发现的问题及原因：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预算绩效项目不予公开。下一步改进措施：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预算绩效项目不予公开。具体附整体支出绩效自评表。</w:t>
      </w:r>
    </w:p>
    <w:p w14:paraId="5698E58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CCE1B57">
        <w:tblPrEx>
          <w:tblCellMar>
            <w:top w:w="0" w:type="dxa"/>
            <w:left w:w="108" w:type="dxa"/>
            <w:bottom w:w="0" w:type="dxa"/>
            <w:right w:w="108" w:type="dxa"/>
          </w:tblCellMar>
        </w:tblPrEx>
        <w:tc>
          <w:tcPr>
            <w:tcW w:w="8847" w:type="dxa"/>
            <w:gridSpan w:val="9"/>
            <w:vAlign w:val="center"/>
          </w:tcPr>
          <w:p w14:paraId="576D9BB9">
            <w:pPr>
              <w:jc w:val="center"/>
            </w:pPr>
            <w:r>
              <w:rPr>
                <w:rFonts w:ascii="宋体" w:hAnsi="宋体" w:eastAsia="宋体"/>
                <w:sz w:val="24"/>
              </w:rPr>
              <w:t>单位整体支出绩效自评表</w:t>
            </w:r>
          </w:p>
        </w:tc>
      </w:tr>
      <w:tr w14:paraId="11EA18D0">
        <w:tblPrEx>
          <w:tblCellMar>
            <w:top w:w="0" w:type="dxa"/>
            <w:left w:w="108" w:type="dxa"/>
            <w:bottom w:w="0" w:type="dxa"/>
            <w:right w:w="108" w:type="dxa"/>
          </w:tblCellMar>
        </w:tblPrEx>
        <w:tc>
          <w:tcPr>
            <w:tcW w:w="8847" w:type="dxa"/>
            <w:gridSpan w:val="9"/>
            <w:vAlign w:val="center"/>
          </w:tcPr>
          <w:p w14:paraId="1BB3E658">
            <w:pPr>
              <w:jc w:val="center"/>
            </w:pPr>
            <w:r>
              <w:rPr>
                <w:rFonts w:ascii="宋体" w:hAnsi="宋体" w:eastAsia="宋体"/>
                <w:sz w:val="24"/>
              </w:rPr>
              <w:t>（2024年度）</w:t>
            </w:r>
          </w:p>
        </w:tc>
      </w:tr>
      <w:tr w14:paraId="2085D09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4FE0E">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D6F5B76">
            <w:pPr>
              <w:jc w:val="center"/>
            </w:pPr>
            <w:r>
              <w:rPr>
                <w:rFonts w:ascii="宋体" w:hAnsi="宋体" w:eastAsia="宋体"/>
                <w:sz w:val="16"/>
              </w:rPr>
              <w:t>中共喀什地委统一战线工作部</w:t>
            </w:r>
          </w:p>
        </w:tc>
      </w:tr>
      <w:tr w14:paraId="66290DC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A03BB">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1B51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EEAC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52B2E">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E2C1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9C6E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2F7E7">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66F30">
            <w:pPr>
              <w:jc w:val="center"/>
            </w:pPr>
            <w:r>
              <w:rPr>
                <w:rFonts w:ascii="宋体" w:hAnsi="宋体" w:eastAsia="宋体"/>
                <w:sz w:val="16"/>
              </w:rPr>
              <w:t>得分</w:t>
            </w:r>
          </w:p>
        </w:tc>
      </w:tr>
      <w:tr w14:paraId="2F73D2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5C65F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4DB43">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77551">
            <w:pPr>
              <w:jc w:val="center"/>
            </w:pPr>
            <w:r>
              <w:rPr>
                <w:rFonts w:ascii="宋体" w:hAnsi="宋体" w:eastAsia="宋体"/>
                <w:sz w:val="16"/>
              </w:rPr>
              <w:t>996.27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5DDB9">
            <w:pPr>
              <w:jc w:val="center"/>
            </w:pPr>
            <w:r>
              <w:rPr>
                <w:rFonts w:ascii="宋体" w:hAnsi="宋体" w:eastAsia="宋体"/>
                <w:sz w:val="16"/>
              </w:rPr>
              <w:t>1,029.99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0953C">
            <w:pPr>
              <w:jc w:val="center"/>
            </w:pPr>
            <w:r>
              <w:rPr>
                <w:rFonts w:ascii="宋体" w:hAnsi="宋体" w:eastAsia="宋体"/>
                <w:sz w:val="16"/>
              </w:rPr>
              <w:t>905.79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61A0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84F65">
            <w:pPr>
              <w:jc w:val="center"/>
            </w:pPr>
            <w:r>
              <w:rPr>
                <w:rFonts w:ascii="宋体" w:hAnsi="宋体" w:eastAsia="宋体"/>
                <w:sz w:val="16"/>
              </w:rPr>
              <w:t>87.94%</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93AEC">
            <w:pPr>
              <w:jc w:val="center"/>
            </w:pPr>
            <w:r>
              <w:rPr>
                <w:rFonts w:ascii="宋体" w:hAnsi="宋体" w:eastAsia="宋体"/>
                <w:sz w:val="16"/>
              </w:rPr>
              <w:t>8.79</w:t>
            </w:r>
          </w:p>
        </w:tc>
      </w:tr>
      <w:tr w14:paraId="156F60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8556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96215">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6BD11">
            <w:pPr>
              <w:jc w:val="center"/>
            </w:pPr>
            <w:r>
              <w:rPr>
                <w:rFonts w:ascii="宋体" w:hAnsi="宋体" w:eastAsia="宋体"/>
                <w:sz w:val="16"/>
              </w:rPr>
              <w:t>54.76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2324D">
            <w:pPr>
              <w:jc w:val="center"/>
            </w:pPr>
            <w:r>
              <w:rPr>
                <w:rFonts w:ascii="宋体" w:hAnsi="宋体" w:eastAsia="宋体"/>
                <w:sz w:val="16"/>
              </w:rPr>
              <w:t>94.18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F1F38">
            <w:pPr>
              <w:jc w:val="center"/>
            </w:pPr>
            <w:r>
              <w:rPr>
                <w:rFonts w:ascii="宋体" w:hAnsi="宋体" w:eastAsia="宋体"/>
                <w:sz w:val="16"/>
              </w:rPr>
              <w:t>91.13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A8EF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59F6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55E9A">
            <w:pPr>
              <w:jc w:val="center"/>
            </w:pPr>
            <w:r>
              <w:rPr>
                <w:rFonts w:ascii="宋体" w:hAnsi="宋体" w:eastAsia="宋体"/>
                <w:sz w:val="16"/>
              </w:rPr>
              <w:t>—</w:t>
            </w:r>
          </w:p>
        </w:tc>
      </w:tr>
      <w:tr w14:paraId="7C3479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BABD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E666C">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13E1E">
            <w:pPr>
              <w:jc w:val="center"/>
            </w:pPr>
            <w:r>
              <w:rPr>
                <w:rFonts w:ascii="宋体" w:hAnsi="宋体" w:eastAsia="宋体"/>
                <w:sz w:val="16"/>
              </w:rPr>
              <w:t>941.51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5FB5A">
            <w:pPr>
              <w:jc w:val="center"/>
            </w:pPr>
            <w:r>
              <w:rPr>
                <w:rFonts w:ascii="宋体" w:hAnsi="宋体" w:eastAsia="宋体"/>
                <w:sz w:val="16"/>
              </w:rPr>
              <w:t>680.11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657BD">
            <w:pPr>
              <w:jc w:val="center"/>
            </w:pPr>
            <w:r>
              <w:rPr>
                <w:rFonts w:ascii="宋体" w:hAnsi="宋体" w:eastAsia="宋体"/>
                <w:sz w:val="16"/>
              </w:rPr>
              <w:t>670.49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4AE3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3D52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665A3">
            <w:pPr>
              <w:jc w:val="center"/>
            </w:pPr>
            <w:r>
              <w:rPr>
                <w:rFonts w:ascii="宋体" w:hAnsi="宋体" w:eastAsia="宋体"/>
                <w:sz w:val="16"/>
              </w:rPr>
              <w:t>—</w:t>
            </w:r>
          </w:p>
        </w:tc>
      </w:tr>
      <w:tr w14:paraId="7D9F7C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9E2E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2471F">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C12B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4CDB1">
            <w:pPr>
              <w:jc w:val="center"/>
            </w:pPr>
            <w:r>
              <w:rPr>
                <w:rFonts w:ascii="宋体" w:hAnsi="宋体" w:eastAsia="宋体"/>
                <w:sz w:val="16"/>
              </w:rPr>
              <w:t>255.70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31AB0">
            <w:pPr>
              <w:jc w:val="center"/>
            </w:pPr>
            <w:r>
              <w:rPr>
                <w:rFonts w:ascii="宋体" w:hAnsi="宋体" w:eastAsia="宋体"/>
                <w:sz w:val="16"/>
              </w:rPr>
              <w:t>144.17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EB8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0F4E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7A595">
            <w:pPr>
              <w:jc w:val="center"/>
            </w:pPr>
            <w:r>
              <w:rPr>
                <w:rFonts w:ascii="宋体" w:hAnsi="宋体" w:eastAsia="宋体"/>
                <w:sz w:val="16"/>
              </w:rPr>
              <w:t>—</w:t>
            </w:r>
          </w:p>
        </w:tc>
      </w:tr>
      <w:tr w14:paraId="2712700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3F4A9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F5C9A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BF887F">
            <w:pPr>
              <w:jc w:val="center"/>
            </w:pPr>
            <w:r>
              <w:rPr>
                <w:rFonts w:ascii="宋体" w:hAnsi="宋体" w:eastAsia="宋体"/>
                <w:sz w:val="16"/>
              </w:rPr>
              <w:t>实际完成情况</w:t>
            </w:r>
          </w:p>
        </w:tc>
      </w:tr>
      <w:tr w14:paraId="62941D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3122B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6B90B7">
            <w:pPr>
              <w:jc w:val="both"/>
            </w:pPr>
            <w:r>
              <w:rPr>
                <w:rFonts w:ascii="宋体" w:hAnsi="宋体" w:eastAsia="宋体"/>
                <w:sz w:val="16"/>
              </w:rPr>
              <w:t>对12县市80天开展蹲点联系和调研，重点节日期间对</w:t>
            </w:r>
            <w:r>
              <w:rPr>
                <w:rFonts w:hint="eastAsia" w:ascii="宋体" w:hAnsi="宋体"/>
                <w:sz w:val="16"/>
                <w:lang w:val="en-US" w:eastAsia="zh-CN"/>
              </w:rPr>
              <w:t>人员</w:t>
            </w:r>
            <w:r>
              <w:rPr>
                <w:rFonts w:ascii="宋体" w:hAnsi="宋体" w:eastAsia="宋体"/>
                <w:sz w:val="16"/>
              </w:rPr>
              <w:t>对象开展慰问活动，一次与</w:t>
            </w:r>
            <w:r>
              <w:rPr>
                <w:rFonts w:hint="eastAsia" w:ascii="宋体" w:hAnsi="宋体"/>
                <w:sz w:val="16"/>
                <w:lang w:val="en-US" w:eastAsia="zh-CN"/>
              </w:rPr>
              <w:t>人员</w:t>
            </w:r>
            <w:r>
              <w:rPr>
                <w:rFonts w:ascii="宋体" w:hAnsi="宋体" w:eastAsia="宋体"/>
                <w:sz w:val="16"/>
              </w:rPr>
              <w:t>对象一起进行“寻美·新疆”活动，对民营经济代表、侨情侨眷代表进行一次培训，最大限度把信教群众紧密团结在党和政府周围，为实现新疆社会</w:t>
            </w:r>
            <w:r>
              <w:rPr>
                <w:rFonts w:hint="eastAsia" w:ascii="宋体" w:hAnsi="宋体"/>
                <w:sz w:val="16"/>
                <w:lang w:val="en-US" w:eastAsia="zh-CN"/>
              </w:rPr>
              <w:t>稳定</w:t>
            </w:r>
            <w:r>
              <w:rPr>
                <w:rFonts w:ascii="宋体" w:hAnsi="宋体" w:eastAsia="宋体"/>
                <w:sz w:val="16"/>
              </w:rPr>
              <w:t>和长治久安总目标作出新贡献。坚持以铸牢中华民族共同体意识为主线，持续深入推进民族团结联谊活动和寻美活动，做好政策培训、督促检查，指导，引导各民族在中华民族大家庭中手足相亲、守望相助，像石榴籽一样紧紧抱在一起，形成人心凝聚、团结奋进的强大精神纽带。</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7B890E">
            <w:pPr>
              <w:jc w:val="both"/>
            </w:pPr>
            <w:r>
              <w:rPr>
                <w:rFonts w:ascii="宋体" w:hAnsi="宋体" w:eastAsia="宋体"/>
                <w:sz w:val="16"/>
              </w:rPr>
              <w:t>全年坚持以铸牢中华民族共同体意识为主线，持续深入推进民族团结联谊活动，做好政策培训、督促检查，指导。全年完成业务工作调研85天，开展</w:t>
            </w:r>
            <w:r>
              <w:rPr>
                <w:rFonts w:hint="eastAsia" w:ascii="宋体" w:hAnsi="宋体"/>
                <w:sz w:val="16"/>
                <w:lang w:val="en-US" w:eastAsia="zh-CN"/>
              </w:rPr>
              <w:t>人员</w:t>
            </w:r>
            <w:r>
              <w:rPr>
                <w:rFonts w:ascii="宋体" w:hAnsi="宋体" w:eastAsia="宋体"/>
                <w:sz w:val="16"/>
              </w:rPr>
              <w:t>对象慰问14人次，开展寻美·新疆活动1次，举办民营经济代表人士专题</w:t>
            </w:r>
            <w:r>
              <w:rPr>
                <w:rFonts w:hint="eastAsia" w:ascii="宋体" w:hAnsi="宋体"/>
                <w:sz w:val="16"/>
                <w:lang w:eastAsia="zh-CN"/>
              </w:rPr>
              <w:t>培训班</w:t>
            </w:r>
            <w:r>
              <w:rPr>
                <w:rFonts w:ascii="宋体" w:hAnsi="宋体" w:eastAsia="宋体"/>
                <w:sz w:val="16"/>
              </w:rPr>
              <w:t>1次，开展侨情侨眷培训1次。通过开展各类活动，不断引导各民族在中华民族大家庭中手足相亲、守望相助，像石榴籽一样紧紧抱在一起，形成人心凝聚、团结奋进的强大精神纽带，促进工作迈上新的台阶。</w:t>
            </w:r>
          </w:p>
        </w:tc>
      </w:tr>
      <w:tr w14:paraId="074FD43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3DFE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7D64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B321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5261D">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AA03A">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78EE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7465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A5D88">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18F0A">
            <w:pPr>
              <w:jc w:val="center"/>
            </w:pPr>
            <w:r>
              <w:rPr>
                <w:rFonts w:ascii="宋体" w:hAnsi="宋体" w:eastAsia="宋体"/>
                <w:sz w:val="16"/>
              </w:rPr>
              <w:t>得分</w:t>
            </w:r>
          </w:p>
        </w:tc>
      </w:tr>
      <w:tr w14:paraId="0BCD432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3C3CB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7B2E4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12A85">
            <w:pPr>
              <w:jc w:val="center"/>
            </w:pPr>
            <w:r>
              <w:rPr>
                <w:rFonts w:ascii="宋体" w:hAnsi="宋体" w:eastAsia="宋体"/>
                <w:sz w:val="16"/>
              </w:rPr>
              <w:t>全年开展业务工作调研天数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E308B">
            <w:pPr>
              <w:jc w:val="center"/>
            </w:pPr>
            <w:r>
              <w:rPr>
                <w:rFonts w:ascii="宋体" w:hAnsi="宋体" w:eastAsia="宋体"/>
                <w:sz w:val="16"/>
              </w:rPr>
              <w:t>&gt;=80天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CCF59">
            <w:pPr>
              <w:jc w:val="center"/>
            </w:pPr>
            <w:r>
              <w:rPr>
                <w:rFonts w:ascii="宋体" w:hAnsi="宋体" w:eastAsia="宋体"/>
                <w:sz w:val="16"/>
              </w:rPr>
              <w:t>地委统战部2024年工作要点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EC32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D630B">
            <w:pPr>
              <w:jc w:val="center"/>
            </w:pPr>
            <w:r>
              <w:rPr>
                <w:rFonts w:ascii="宋体" w:hAnsi="宋体" w:eastAsia="宋体"/>
                <w:sz w:val="16"/>
              </w:rPr>
              <w:t>85天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49F12">
            <w:pPr>
              <w:jc w:val="center"/>
            </w:pPr>
            <w:r>
              <w:rPr>
                <w:rFonts w:ascii="宋体" w:hAnsi="宋体" w:eastAsia="宋体"/>
                <w:sz w:val="16"/>
              </w:rPr>
              <w:t>106.25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A29C2">
            <w:pPr>
              <w:jc w:val="center"/>
            </w:pPr>
            <w:r>
              <w:rPr>
                <w:rFonts w:ascii="宋体" w:hAnsi="宋体" w:eastAsia="宋体"/>
                <w:sz w:val="16"/>
              </w:rPr>
              <w:t>20</w:t>
            </w:r>
          </w:p>
        </w:tc>
      </w:tr>
      <w:tr w14:paraId="13CBC0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0F59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8DB2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F91AD">
            <w:pPr>
              <w:jc w:val="center"/>
            </w:pPr>
            <w:r>
              <w:rPr>
                <w:rFonts w:ascii="宋体" w:hAnsi="宋体" w:eastAsia="宋体"/>
                <w:sz w:val="16"/>
              </w:rPr>
              <w:t>慰问</w:t>
            </w:r>
            <w:r>
              <w:rPr>
                <w:rFonts w:hint="eastAsia" w:ascii="宋体" w:hAnsi="宋体"/>
                <w:sz w:val="16"/>
                <w:lang w:val="en-US" w:eastAsia="zh-CN"/>
              </w:rPr>
              <w:t>人员</w:t>
            </w:r>
            <w:r>
              <w:rPr>
                <w:rFonts w:ascii="宋体" w:hAnsi="宋体" w:eastAsia="宋体"/>
                <w:sz w:val="16"/>
              </w:rPr>
              <w:t>对象人次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990AE">
            <w:pPr>
              <w:jc w:val="center"/>
            </w:pPr>
            <w:r>
              <w:rPr>
                <w:rFonts w:ascii="宋体" w:hAnsi="宋体" w:eastAsia="宋体"/>
                <w:sz w:val="16"/>
              </w:rPr>
              <w:t>=10人次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6ABAC">
            <w:pPr>
              <w:jc w:val="center"/>
            </w:pPr>
            <w:r>
              <w:rPr>
                <w:rFonts w:ascii="宋体" w:hAnsi="宋体" w:eastAsia="宋体"/>
                <w:sz w:val="16"/>
              </w:rPr>
              <w:t>地委统战部2024年工作要点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30BF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BB309">
            <w:pPr>
              <w:jc w:val="center"/>
            </w:pPr>
            <w:r>
              <w:rPr>
                <w:rFonts w:ascii="宋体" w:hAnsi="宋体" w:eastAsia="宋体"/>
                <w:sz w:val="16"/>
              </w:rPr>
              <w:t>14人次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5ACD4">
            <w:pPr>
              <w:jc w:val="center"/>
            </w:pPr>
            <w:r>
              <w:rPr>
                <w:rFonts w:ascii="宋体" w:hAnsi="宋体" w:eastAsia="宋体"/>
                <w:sz w:val="16"/>
              </w:rPr>
              <w:t>140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8FF1C">
            <w:pPr>
              <w:jc w:val="center"/>
            </w:pPr>
            <w:r>
              <w:rPr>
                <w:rFonts w:ascii="宋体" w:hAnsi="宋体" w:eastAsia="宋体"/>
                <w:sz w:val="16"/>
              </w:rPr>
              <w:t>20</w:t>
            </w:r>
          </w:p>
        </w:tc>
      </w:tr>
      <w:tr w14:paraId="242274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EFC8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79EB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E3646">
            <w:pPr>
              <w:jc w:val="center"/>
            </w:pPr>
            <w:r>
              <w:rPr>
                <w:rFonts w:hint="eastAsia" w:ascii="宋体" w:hAnsi="宋体"/>
                <w:sz w:val="16"/>
                <w:lang w:eastAsia="zh-CN"/>
              </w:rPr>
              <w:t>“</w:t>
            </w:r>
            <w:r>
              <w:rPr>
                <w:rFonts w:ascii="宋体" w:hAnsi="宋体" w:eastAsia="宋体"/>
                <w:sz w:val="16"/>
              </w:rPr>
              <w:t>寻美·新疆</w:t>
            </w:r>
            <w:r>
              <w:rPr>
                <w:rFonts w:hint="eastAsia" w:ascii="宋体" w:hAnsi="宋体"/>
                <w:sz w:val="16"/>
                <w:lang w:eastAsia="zh-CN"/>
              </w:rPr>
              <w:t>”</w:t>
            </w:r>
            <w:r>
              <w:rPr>
                <w:rFonts w:ascii="宋体" w:hAnsi="宋体" w:eastAsia="宋体"/>
                <w:sz w:val="16"/>
              </w:rPr>
              <w:t>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EF609">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5024F">
            <w:pPr>
              <w:jc w:val="center"/>
            </w:pPr>
            <w:r>
              <w:rPr>
                <w:rFonts w:ascii="宋体" w:hAnsi="宋体" w:eastAsia="宋体"/>
                <w:sz w:val="16"/>
              </w:rPr>
              <w:t>地委统战部2024年工作要点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FC14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52D36">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8185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2FF91">
            <w:pPr>
              <w:jc w:val="center"/>
            </w:pPr>
            <w:r>
              <w:rPr>
                <w:rFonts w:ascii="宋体" w:hAnsi="宋体" w:eastAsia="宋体"/>
                <w:sz w:val="16"/>
              </w:rPr>
              <w:t>20</w:t>
            </w:r>
          </w:p>
        </w:tc>
      </w:tr>
      <w:tr w14:paraId="0E18FE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01DE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53B6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6BACA">
            <w:pPr>
              <w:jc w:val="center"/>
            </w:pPr>
            <w:r>
              <w:rPr>
                <w:rFonts w:ascii="宋体" w:hAnsi="宋体" w:eastAsia="宋体"/>
                <w:sz w:val="16"/>
              </w:rPr>
              <w:t>侨情侨眷培训次数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7C758">
            <w:pPr>
              <w:jc w:val="center"/>
            </w:pPr>
            <w:r>
              <w:rPr>
                <w:rFonts w:ascii="宋体" w:hAnsi="宋体" w:eastAsia="宋体"/>
                <w:sz w:val="16"/>
              </w:rPr>
              <w:t>&gt;=1人次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8C831">
            <w:pPr>
              <w:jc w:val="center"/>
            </w:pPr>
            <w:r>
              <w:rPr>
                <w:rFonts w:ascii="宋体" w:hAnsi="宋体" w:eastAsia="宋体"/>
                <w:sz w:val="16"/>
              </w:rPr>
              <w:t>地委统战部2024年工作要点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30F1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1842D">
            <w:pPr>
              <w:jc w:val="center"/>
            </w:pPr>
            <w:r>
              <w:rPr>
                <w:rFonts w:ascii="宋体" w:hAnsi="宋体" w:eastAsia="宋体"/>
                <w:sz w:val="16"/>
              </w:rPr>
              <w:t>1人次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011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0BD51">
            <w:pPr>
              <w:jc w:val="center"/>
            </w:pPr>
            <w:r>
              <w:rPr>
                <w:rFonts w:ascii="宋体" w:hAnsi="宋体" w:eastAsia="宋体"/>
                <w:sz w:val="16"/>
              </w:rPr>
              <w:t>20</w:t>
            </w:r>
          </w:p>
        </w:tc>
      </w:tr>
      <w:tr w14:paraId="0907A6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D4F0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63DA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6B7C5">
            <w:pPr>
              <w:jc w:val="center"/>
            </w:pPr>
            <w:r>
              <w:rPr>
                <w:rFonts w:ascii="宋体" w:hAnsi="宋体" w:eastAsia="宋体"/>
                <w:sz w:val="16"/>
              </w:rPr>
              <w:t>民营经济代表人士专题培训次数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8BE71">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AB91B">
            <w:pPr>
              <w:jc w:val="center"/>
            </w:pPr>
            <w:r>
              <w:rPr>
                <w:rFonts w:ascii="宋体" w:hAnsi="宋体" w:eastAsia="宋体"/>
                <w:sz w:val="16"/>
              </w:rPr>
              <w:t>地委统战部2024年工作要点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74D6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FF4FF">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84E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152D5">
            <w:pPr>
              <w:jc w:val="center"/>
            </w:pPr>
            <w:r>
              <w:rPr>
                <w:rFonts w:ascii="宋体" w:hAnsi="宋体" w:eastAsia="宋体"/>
                <w:sz w:val="16"/>
              </w:rPr>
              <w:t>10</w:t>
            </w:r>
          </w:p>
        </w:tc>
      </w:tr>
    </w:tbl>
    <w:p w14:paraId="106819AC">
      <w:r>
        <w:br w:type="page"/>
      </w:r>
    </w:p>
    <w:p w14:paraId="55B5D9A2">
      <w:pPr>
        <w:spacing w:line="640" w:lineRule="exact"/>
        <w:ind w:firstLine="640"/>
        <w:jc w:val="both"/>
        <w:outlineLvl w:val="2"/>
      </w:pPr>
      <w:r>
        <w:rPr>
          <w:rFonts w:ascii="黑体" w:hAnsi="黑体" w:eastAsia="黑体"/>
          <w:sz w:val="32"/>
        </w:rPr>
        <w:t>十二、其他需说明的事项</w:t>
      </w:r>
    </w:p>
    <w:p w14:paraId="60FC2796">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涉密</w:t>
      </w:r>
      <w:r>
        <w:rPr>
          <w:rFonts w:ascii="仿宋_GB2312" w:hAnsi="仿宋_GB2312" w:eastAsia="仿宋_GB2312"/>
          <w:b w:val="0"/>
          <w:sz w:val="32"/>
        </w:rPr>
        <w:t>项目9个，全年预算数396.85万元，全年执行数275.68万元。</w:t>
      </w:r>
      <w:bookmarkStart w:id="0" w:name="_GoBack"/>
      <w:bookmarkEnd w:id="0"/>
    </w:p>
    <w:p w14:paraId="78B9513A">
      <w:r>
        <w:br w:type="page"/>
      </w:r>
    </w:p>
    <w:p w14:paraId="2DE0F7F3">
      <w:pPr>
        <w:spacing w:line="240" w:lineRule="auto"/>
        <w:jc w:val="center"/>
        <w:outlineLvl w:val="1"/>
      </w:pPr>
      <w:r>
        <w:rPr>
          <w:rFonts w:ascii="黑体" w:hAnsi="黑体" w:eastAsia="黑体"/>
          <w:sz w:val="32"/>
        </w:rPr>
        <w:t>第三部分 专业名词解释</w:t>
      </w:r>
    </w:p>
    <w:p w14:paraId="5B3F981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200878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A0756A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7458BA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42AC0E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E0C0D6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F838A3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4936D8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3A568C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544A90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6955DF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D87922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258A7A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331EA0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0901B5C">
      <w:r>
        <w:br w:type="page"/>
      </w:r>
    </w:p>
    <w:p w14:paraId="5B55C891">
      <w:pPr>
        <w:spacing w:line="240" w:lineRule="auto"/>
        <w:jc w:val="center"/>
        <w:outlineLvl w:val="1"/>
      </w:pPr>
      <w:r>
        <w:rPr>
          <w:rFonts w:ascii="黑体" w:hAnsi="黑体" w:eastAsia="黑体"/>
          <w:sz w:val="32"/>
        </w:rPr>
        <w:t>第四部分 部门决算报表（见附表）</w:t>
      </w:r>
    </w:p>
    <w:p w14:paraId="0538D3E0">
      <w:pPr>
        <w:spacing w:line="240" w:lineRule="auto"/>
        <w:ind w:firstLine="640"/>
        <w:jc w:val="both"/>
      </w:pPr>
      <w:r>
        <w:rPr>
          <w:rFonts w:ascii="仿宋_GB2312" w:hAnsi="仿宋_GB2312" w:eastAsia="仿宋_GB2312"/>
          <w:b w:val="0"/>
          <w:sz w:val="32"/>
        </w:rPr>
        <w:t>一、《收入支出决算总表》</w:t>
      </w:r>
    </w:p>
    <w:p w14:paraId="28487A5A">
      <w:pPr>
        <w:spacing w:line="240" w:lineRule="auto"/>
        <w:ind w:firstLine="640"/>
        <w:jc w:val="both"/>
      </w:pPr>
      <w:r>
        <w:rPr>
          <w:rFonts w:ascii="仿宋_GB2312" w:hAnsi="仿宋_GB2312" w:eastAsia="仿宋_GB2312"/>
          <w:b w:val="0"/>
          <w:sz w:val="32"/>
        </w:rPr>
        <w:t>二、《收入决算表》</w:t>
      </w:r>
    </w:p>
    <w:p w14:paraId="1D44F0AF">
      <w:pPr>
        <w:spacing w:line="240" w:lineRule="auto"/>
        <w:ind w:firstLine="640"/>
        <w:jc w:val="both"/>
      </w:pPr>
      <w:r>
        <w:rPr>
          <w:rFonts w:ascii="仿宋_GB2312" w:hAnsi="仿宋_GB2312" w:eastAsia="仿宋_GB2312"/>
          <w:b w:val="0"/>
          <w:sz w:val="32"/>
        </w:rPr>
        <w:t>三、《支出决算表》</w:t>
      </w:r>
    </w:p>
    <w:p w14:paraId="55CD41E9">
      <w:pPr>
        <w:spacing w:line="240" w:lineRule="auto"/>
        <w:ind w:firstLine="640"/>
        <w:jc w:val="both"/>
      </w:pPr>
      <w:r>
        <w:rPr>
          <w:rFonts w:ascii="仿宋_GB2312" w:hAnsi="仿宋_GB2312" w:eastAsia="仿宋_GB2312"/>
          <w:b w:val="0"/>
          <w:sz w:val="32"/>
        </w:rPr>
        <w:t>四、《财政拨款收入支出决算总表》</w:t>
      </w:r>
    </w:p>
    <w:p w14:paraId="5E3CE1E1">
      <w:pPr>
        <w:spacing w:line="240" w:lineRule="auto"/>
        <w:ind w:firstLine="640"/>
        <w:jc w:val="both"/>
      </w:pPr>
      <w:r>
        <w:rPr>
          <w:rFonts w:ascii="仿宋_GB2312" w:hAnsi="仿宋_GB2312" w:eastAsia="仿宋_GB2312"/>
          <w:b w:val="0"/>
          <w:sz w:val="32"/>
        </w:rPr>
        <w:t>五、《一般公共预算财政拨款支出决算表》</w:t>
      </w:r>
    </w:p>
    <w:p w14:paraId="50485782">
      <w:pPr>
        <w:spacing w:line="240" w:lineRule="auto"/>
        <w:ind w:firstLine="640"/>
        <w:jc w:val="both"/>
      </w:pPr>
      <w:r>
        <w:rPr>
          <w:rFonts w:ascii="仿宋_GB2312" w:hAnsi="仿宋_GB2312" w:eastAsia="仿宋_GB2312"/>
          <w:b w:val="0"/>
          <w:sz w:val="32"/>
        </w:rPr>
        <w:t>六、《一般公共预算财政拨款基本支出决算表》</w:t>
      </w:r>
    </w:p>
    <w:p w14:paraId="7C01A9E1">
      <w:pPr>
        <w:spacing w:line="240" w:lineRule="auto"/>
        <w:ind w:firstLine="640"/>
        <w:jc w:val="both"/>
      </w:pPr>
      <w:r>
        <w:rPr>
          <w:rFonts w:ascii="仿宋_GB2312" w:hAnsi="仿宋_GB2312" w:eastAsia="仿宋_GB2312"/>
          <w:b w:val="0"/>
          <w:sz w:val="32"/>
        </w:rPr>
        <w:t>七、《政府性基金预算财政拨款收入支出决算表》</w:t>
      </w:r>
    </w:p>
    <w:p w14:paraId="2F98210A">
      <w:pPr>
        <w:spacing w:line="240" w:lineRule="auto"/>
        <w:ind w:firstLine="640"/>
        <w:jc w:val="both"/>
      </w:pPr>
      <w:r>
        <w:rPr>
          <w:rFonts w:ascii="仿宋_GB2312" w:hAnsi="仿宋_GB2312" w:eastAsia="仿宋_GB2312"/>
          <w:b w:val="0"/>
          <w:sz w:val="32"/>
        </w:rPr>
        <w:t>八、《国有资本经营预算财政拨款收入支出决算表》</w:t>
      </w:r>
    </w:p>
    <w:p w14:paraId="00379530">
      <w:pPr>
        <w:spacing w:line="240" w:lineRule="auto"/>
        <w:ind w:firstLine="640"/>
        <w:jc w:val="both"/>
      </w:pPr>
      <w:r>
        <w:rPr>
          <w:rFonts w:ascii="仿宋_GB2312" w:hAnsi="仿宋_GB2312" w:eastAsia="仿宋_GB2312"/>
          <w:b w:val="0"/>
          <w:sz w:val="32"/>
        </w:rPr>
        <w:t>九、《财政拨款“三公”经费支出决算表》</w:t>
      </w:r>
    </w:p>
    <w:p w14:paraId="10FFBF6A">
      <w:pPr>
        <w:spacing w:line="240" w:lineRule="auto"/>
        <w:ind w:firstLine="640"/>
        <w:jc w:val="both"/>
      </w:pPr>
    </w:p>
    <w:p w14:paraId="1321E337">
      <w:pPr>
        <w:spacing w:line="240" w:lineRule="auto"/>
        <w:ind w:firstLine="640"/>
        <w:jc w:val="both"/>
      </w:pPr>
    </w:p>
    <w:p w14:paraId="065F5BE0">
      <w:pPr>
        <w:spacing w:line="240" w:lineRule="auto"/>
        <w:ind w:firstLine="640"/>
        <w:jc w:val="both"/>
      </w:pPr>
    </w:p>
    <w:p w14:paraId="675B2239">
      <w:pPr>
        <w:spacing w:line="240" w:lineRule="auto"/>
        <w:ind w:firstLine="640"/>
        <w:jc w:val="both"/>
      </w:pPr>
    </w:p>
    <w:p w14:paraId="481752A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132D049-8959-45CE-80A3-4628A839F79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0D27D7CB-EE0A-405A-A827-BBEAD922E15A}"/>
  </w:font>
  <w:font w:name="方正小标宋_GBK">
    <w:panose1 w:val="02000000000000000000"/>
    <w:charset w:val="86"/>
    <w:family w:val="script"/>
    <w:pitch w:val="default"/>
    <w:sig w:usb0="A00002BF" w:usb1="38CF7CFA" w:usb2="00082016" w:usb3="00000000" w:csb0="00040001" w:csb1="00000000"/>
    <w:embedRegular r:id="rId3" w:fontKey="{8976A0CC-8B76-4C0B-BB0E-04F5C9436E2F}"/>
  </w:font>
  <w:font w:name="楷体_GB2312">
    <w:panose1 w:val="02010609030101010101"/>
    <w:charset w:val="86"/>
    <w:family w:val="auto"/>
    <w:pitch w:val="default"/>
    <w:sig w:usb0="00000001" w:usb1="080E0000" w:usb2="00000000" w:usb3="00000000" w:csb0="00040000" w:csb1="00000000"/>
    <w:embedRegular r:id="rId4" w:fontKey="{F10DA92A-4270-46A4-80AB-CBA3BA610BC6}"/>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BD35C7"/>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58A327E"/>
    <w:rsid w:val="27CE017C"/>
    <w:rsid w:val="27CF2642"/>
    <w:rsid w:val="282459E2"/>
    <w:rsid w:val="29116777"/>
    <w:rsid w:val="2A053397"/>
    <w:rsid w:val="2A444FB1"/>
    <w:rsid w:val="2A6064E2"/>
    <w:rsid w:val="2C1965E9"/>
    <w:rsid w:val="2D1136DF"/>
    <w:rsid w:val="2DAE0E44"/>
    <w:rsid w:val="2EEC2EA6"/>
    <w:rsid w:val="2FD27414"/>
    <w:rsid w:val="313F1D52"/>
    <w:rsid w:val="318029AB"/>
    <w:rsid w:val="31C63837"/>
    <w:rsid w:val="326F0A17"/>
    <w:rsid w:val="3277581B"/>
    <w:rsid w:val="345B6AD0"/>
    <w:rsid w:val="38006E2C"/>
    <w:rsid w:val="3914510A"/>
    <w:rsid w:val="3B1220C9"/>
    <w:rsid w:val="3D5275AC"/>
    <w:rsid w:val="3EA7725F"/>
    <w:rsid w:val="3EC014A1"/>
    <w:rsid w:val="40834692"/>
    <w:rsid w:val="423A32B2"/>
    <w:rsid w:val="423C0CB4"/>
    <w:rsid w:val="427B5743"/>
    <w:rsid w:val="42E64542"/>
    <w:rsid w:val="46495DDE"/>
    <w:rsid w:val="464B7E04"/>
    <w:rsid w:val="464F7E64"/>
    <w:rsid w:val="46901EEE"/>
    <w:rsid w:val="469C74D2"/>
    <w:rsid w:val="47445515"/>
    <w:rsid w:val="4B4C0111"/>
    <w:rsid w:val="4BB23021"/>
    <w:rsid w:val="4F3F074E"/>
    <w:rsid w:val="50DB5F45"/>
    <w:rsid w:val="52F92565"/>
    <w:rsid w:val="543D17CB"/>
    <w:rsid w:val="55C67DF5"/>
    <w:rsid w:val="55DA564E"/>
    <w:rsid w:val="56E07045"/>
    <w:rsid w:val="583059FA"/>
    <w:rsid w:val="587E6212"/>
    <w:rsid w:val="592D018B"/>
    <w:rsid w:val="59CE3E41"/>
    <w:rsid w:val="5AFC6609"/>
    <w:rsid w:val="5C4F1788"/>
    <w:rsid w:val="5FA17648"/>
    <w:rsid w:val="5FD320BD"/>
    <w:rsid w:val="5FEA0B84"/>
    <w:rsid w:val="60DE4D57"/>
    <w:rsid w:val="613409CB"/>
    <w:rsid w:val="61A46A97"/>
    <w:rsid w:val="62DD7D21"/>
    <w:rsid w:val="65D97752"/>
    <w:rsid w:val="664C500C"/>
    <w:rsid w:val="67D111AB"/>
    <w:rsid w:val="68DB0208"/>
    <w:rsid w:val="68DF36D5"/>
    <w:rsid w:val="69846A0E"/>
    <w:rsid w:val="69AD798C"/>
    <w:rsid w:val="6B68175F"/>
    <w:rsid w:val="6B8B5C99"/>
    <w:rsid w:val="6CA7198F"/>
    <w:rsid w:val="6D761CA9"/>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6051</Words>
  <Characters>6912</Characters>
  <Lines>0</Lines>
  <Paragraphs>0</Paragraphs>
  <TotalTime>0</TotalTime>
  <ScaleCrop>false</ScaleCrop>
  <LinksUpToDate>false</LinksUpToDate>
  <CharactersWithSpaces>6922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2025-09-29T03:39:25Z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