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9E50AF">
      <w:r>
        <w:br w:type="page"/>
      </w:r>
    </w:p>
    <w:p w14:paraId="7430AA07">
      <w:pPr>
        <w:spacing w:line="640" w:lineRule="exact"/>
        <w:jc w:val="center"/>
        <w:outlineLvl w:val="1"/>
      </w:pPr>
      <w:r>
        <w:rPr>
          <w:rFonts w:ascii="黑体" w:hAnsi="黑体" w:eastAsia="黑体"/>
          <w:sz w:val="32"/>
        </w:rPr>
        <w:t>第一部分 单位概况</w:t>
      </w:r>
    </w:p>
    <w:p w14:paraId="0B0B8BB6">
      <w:pPr>
        <w:spacing w:line="640" w:lineRule="exact"/>
        <w:ind w:firstLine="640"/>
        <w:jc w:val="both"/>
        <w:outlineLvl w:val="2"/>
      </w:pPr>
      <w:r>
        <w:rPr>
          <w:rFonts w:ascii="黑体" w:hAnsi="黑体" w:eastAsia="黑体"/>
          <w:sz w:val="32"/>
        </w:rPr>
        <w:t>一、主要职能</w:t>
      </w:r>
    </w:p>
    <w:p w14:paraId="0BB5C6BB">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013F11F4">
      <w:pPr>
        <w:spacing w:line="640" w:lineRule="exact"/>
        <w:ind w:firstLine="640"/>
        <w:jc w:val="both"/>
        <w:outlineLvl w:val="2"/>
      </w:pPr>
      <w:r>
        <w:rPr>
          <w:rFonts w:ascii="黑体" w:hAnsi="黑体" w:eastAsia="黑体"/>
          <w:sz w:val="32"/>
        </w:rPr>
        <w:t>二、机构设置及人员情况</w:t>
      </w:r>
    </w:p>
    <w:p w14:paraId="7B2D9315">
      <w:pPr>
        <w:spacing w:line="580" w:lineRule="exact"/>
        <w:ind w:firstLine="640"/>
        <w:jc w:val="both"/>
      </w:pPr>
      <w:r>
        <w:rPr>
          <w:rFonts w:ascii="仿宋_GB2312" w:hAnsi="仿宋_GB2312" w:eastAsia="仿宋_GB2312"/>
          <w:sz w:val="32"/>
        </w:rPr>
        <w:t>本单位机构设置及人员情况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7AF475CB">
      <w:r>
        <w:br w:type="page"/>
      </w:r>
    </w:p>
    <w:p w14:paraId="5C0B4036">
      <w:pPr>
        <w:spacing w:line="240" w:lineRule="auto"/>
        <w:jc w:val="center"/>
        <w:outlineLvl w:val="1"/>
      </w:pPr>
      <w:r>
        <w:rPr>
          <w:rFonts w:ascii="黑体" w:hAnsi="黑体" w:eastAsia="黑体"/>
          <w:sz w:val="32"/>
        </w:rPr>
        <w:t>第二部分 部门决算情况说明</w:t>
      </w:r>
    </w:p>
    <w:p w14:paraId="2F265146">
      <w:pPr>
        <w:spacing w:line="640" w:lineRule="exact"/>
        <w:ind w:firstLine="640"/>
        <w:jc w:val="both"/>
        <w:outlineLvl w:val="2"/>
      </w:pPr>
      <w:r>
        <w:rPr>
          <w:rFonts w:ascii="黑体" w:hAnsi="黑体" w:eastAsia="黑体"/>
          <w:sz w:val="32"/>
        </w:rPr>
        <w:t>一、收入支出决算总体情况说明</w:t>
      </w:r>
    </w:p>
    <w:p w14:paraId="522DF7C4">
      <w:pPr>
        <w:spacing w:line="580" w:lineRule="exact"/>
        <w:ind w:firstLine="640"/>
        <w:jc w:val="both"/>
      </w:pPr>
      <w:r>
        <w:rPr>
          <w:rFonts w:ascii="仿宋_GB2312" w:hAnsi="仿宋_GB2312" w:eastAsia="仿宋_GB2312"/>
          <w:b/>
          <w:sz w:val="32"/>
        </w:rPr>
        <w:t>2024年度收入总计1,512.47万元，</w:t>
      </w:r>
      <w:r>
        <w:rPr>
          <w:rFonts w:ascii="仿宋_GB2312" w:hAnsi="仿宋_GB2312" w:eastAsia="仿宋_GB2312"/>
          <w:b w:val="0"/>
          <w:sz w:val="32"/>
        </w:rPr>
        <w:t>其中：本年收入合计1,512.47万元，使用非财政拨款结余（含专用结余）0.00万元，年初结转和结余0.00万元。</w:t>
      </w:r>
    </w:p>
    <w:p w14:paraId="2B29C104">
      <w:pPr>
        <w:spacing w:line="580" w:lineRule="exact"/>
        <w:ind w:firstLine="640"/>
        <w:jc w:val="both"/>
      </w:pPr>
      <w:r>
        <w:rPr>
          <w:rFonts w:ascii="仿宋_GB2312" w:hAnsi="仿宋_GB2312" w:eastAsia="仿宋_GB2312"/>
          <w:b/>
          <w:sz w:val="32"/>
        </w:rPr>
        <w:t>2024年度支出总计1,512.47万元，</w:t>
      </w:r>
      <w:r>
        <w:rPr>
          <w:rFonts w:ascii="仿宋_GB2312" w:hAnsi="仿宋_GB2312" w:eastAsia="仿宋_GB2312"/>
          <w:b w:val="0"/>
          <w:sz w:val="32"/>
        </w:rPr>
        <w:t>其中：本年支出合计1,512.47万元，结余分配0.00万元，年末结转和结余0.00万元。</w:t>
      </w:r>
    </w:p>
    <w:p w14:paraId="5202C580">
      <w:pPr>
        <w:spacing w:line="580" w:lineRule="exact"/>
        <w:ind w:firstLine="640"/>
        <w:jc w:val="both"/>
      </w:pPr>
      <w:r>
        <w:rPr>
          <w:rFonts w:ascii="仿宋_GB2312" w:hAnsi="仿宋_GB2312" w:eastAsia="仿宋_GB2312"/>
          <w:b w:val="0"/>
          <w:sz w:val="32"/>
        </w:rPr>
        <w:t>收入支出总体与上年相比，增加229.70万元，增长17.91%，主要原因是：本年在职人员工资调增，社保、公积金基数调增，人员经费增加，增加网络专线通信服务项目、网评和举报奖励金等项目经费，导致相关经费增加。</w:t>
      </w:r>
    </w:p>
    <w:p w14:paraId="537FA193">
      <w:pPr>
        <w:spacing w:line="640" w:lineRule="exact"/>
        <w:ind w:firstLine="640"/>
        <w:jc w:val="both"/>
        <w:outlineLvl w:val="2"/>
      </w:pPr>
      <w:r>
        <w:rPr>
          <w:rFonts w:ascii="黑体" w:hAnsi="黑体" w:eastAsia="黑体"/>
          <w:sz w:val="32"/>
        </w:rPr>
        <w:t>二、收入决算情况说明</w:t>
      </w:r>
    </w:p>
    <w:p w14:paraId="150CC1CB">
      <w:pPr>
        <w:spacing w:line="580" w:lineRule="exact"/>
        <w:ind w:firstLine="640"/>
        <w:jc w:val="both"/>
      </w:pPr>
      <w:r>
        <w:rPr>
          <w:rFonts w:ascii="仿宋_GB2312" w:hAnsi="仿宋_GB2312" w:eastAsia="仿宋_GB2312"/>
          <w:b/>
          <w:sz w:val="32"/>
        </w:rPr>
        <w:t>本年收入1,512.47万元，</w:t>
      </w:r>
      <w:r>
        <w:rPr>
          <w:rFonts w:ascii="仿宋_GB2312" w:hAnsi="仿宋_GB2312" w:eastAsia="仿宋_GB2312"/>
          <w:b w:val="0"/>
          <w:sz w:val="32"/>
        </w:rPr>
        <w:t>其中：财政拨款收入1,512.47万元，占100.00%；上级补助收入0.00万元，占0.00%；事业收入0.00万元，占0.00%；经营收入0.00万元，占0.00%；附属单位上缴收入0.00万元，占0.00%；其他收入0.00万元，占0.00%。</w:t>
      </w:r>
    </w:p>
    <w:p w14:paraId="31DBF9CA">
      <w:pPr>
        <w:spacing w:line="640" w:lineRule="exact"/>
        <w:ind w:firstLine="640"/>
        <w:jc w:val="both"/>
        <w:outlineLvl w:val="2"/>
      </w:pPr>
      <w:r>
        <w:rPr>
          <w:rFonts w:ascii="黑体" w:hAnsi="黑体" w:eastAsia="黑体"/>
          <w:sz w:val="32"/>
        </w:rPr>
        <w:t>三、支出决算情况说明</w:t>
      </w:r>
    </w:p>
    <w:p w14:paraId="4B986AC0">
      <w:pPr>
        <w:spacing w:line="580" w:lineRule="exact"/>
        <w:ind w:firstLine="640"/>
        <w:jc w:val="both"/>
      </w:pPr>
      <w:r>
        <w:rPr>
          <w:rFonts w:ascii="仿宋_GB2312" w:hAnsi="仿宋_GB2312" w:eastAsia="仿宋_GB2312"/>
          <w:b/>
          <w:sz w:val="32"/>
        </w:rPr>
        <w:t>本年支出1,512.47万元，</w:t>
      </w:r>
      <w:r>
        <w:rPr>
          <w:rFonts w:ascii="仿宋_GB2312" w:hAnsi="仿宋_GB2312" w:eastAsia="仿宋_GB2312"/>
          <w:b w:val="0"/>
          <w:sz w:val="32"/>
        </w:rPr>
        <w:t>其中：基本支出1,213.52万元，占80.23%；项目支出298.94万元，占19.77%；上缴上级支出0.00万元，占0.00%；经营支出0.00万元，占0.00%；对附属单位补助支出0.00万元，占0.00%。</w:t>
      </w:r>
    </w:p>
    <w:p w14:paraId="00573629">
      <w:pPr>
        <w:spacing w:line="640" w:lineRule="exact"/>
        <w:ind w:firstLine="640"/>
        <w:jc w:val="both"/>
        <w:outlineLvl w:val="2"/>
      </w:pPr>
      <w:r>
        <w:rPr>
          <w:rFonts w:ascii="黑体" w:hAnsi="黑体" w:eastAsia="黑体"/>
          <w:sz w:val="32"/>
        </w:rPr>
        <w:t>四、财政拨款收入支出决算总体情况说明</w:t>
      </w:r>
    </w:p>
    <w:p w14:paraId="21AE1C17">
      <w:pPr>
        <w:spacing w:line="580" w:lineRule="exact"/>
        <w:ind w:firstLine="640"/>
        <w:jc w:val="both"/>
      </w:pPr>
      <w:r>
        <w:rPr>
          <w:rFonts w:ascii="仿宋_GB2312" w:hAnsi="仿宋_GB2312" w:eastAsia="仿宋_GB2312"/>
          <w:b/>
          <w:sz w:val="32"/>
        </w:rPr>
        <w:t>2024年度财政拨款收入总计1,512.47万元，</w:t>
      </w:r>
      <w:r>
        <w:rPr>
          <w:rFonts w:ascii="仿宋_GB2312" w:hAnsi="仿宋_GB2312" w:eastAsia="仿宋_GB2312"/>
          <w:b w:val="0"/>
          <w:sz w:val="32"/>
        </w:rPr>
        <w:t>其中：年初财政拨款结转和结余0.00万元，本年财政拨款收入1,512.47万元。</w:t>
      </w:r>
      <w:r>
        <w:rPr>
          <w:rFonts w:ascii="仿宋_GB2312" w:hAnsi="仿宋_GB2312" w:eastAsia="仿宋_GB2312"/>
          <w:b/>
          <w:sz w:val="32"/>
        </w:rPr>
        <w:t>财政拨款支出总计1,512.47万元，</w:t>
      </w:r>
      <w:r>
        <w:rPr>
          <w:rFonts w:ascii="仿宋_GB2312" w:hAnsi="仿宋_GB2312" w:eastAsia="仿宋_GB2312"/>
          <w:b w:val="0"/>
          <w:sz w:val="32"/>
        </w:rPr>
        <w:t>其中：年末财政拨款结转和结余0.00万元，本年财政拨款支出1,512.47万元。</w:t>
      </w:r>
    </w:p>
    <w:p w14:paraId="726592B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增加229.70万元，增长17.91%，主要原因是：本年在职人员工资调增，社保、公积金基数调增，人员经费增加，增加网络专线通信服务项目、网评和举报奖励金等项目经费，导致相关经费增加。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年初预算数1,434.42万元，决算数1,512.47万元，预决算差异率5.44%，主要原因是：年中追加人员工资、社保、公积金基数调增部分资金，导致预决算存在差异。</w:t>
      </w:r>
    </w:p>
    <w:p w14:paraId="2160BDDD">
      <w:pPr>
        <w:spacing w:line="640" w:lineRule="exact"/>
        <w:ind w:firstLine="640"/>
        <w:jc w:val="both"/>
        <w:outlineLvl w:val="2"/>
      </w:pPr>
      <w:r>
        <w:rPr>
          <w:rFonts w:ascii="黑体" w:hAnsi="黑体" w:eastAsia="黑体"/>
          <w:sz w:val="32"/>
        </w:rPr>
        <w:t>五、一般公共预算财政拨款支出决算情况说明</w:t>
      </w:r>
    </w:p>
    <w:p w14:paraId="0E052279">
      <w:pPr>
        <w:spacing w:line="640" w:lineRule="exact"/>
        <w:ind w:firstLine="640"/>
        <w:jc w:val="both"/>
        <w:outlineLvl w:val="3"/>
      </w:pPr>
      <w:r>
        <w:rPr>
          <w:rFonts w:ascii="楷体_GB2312" w:hAnsi="楷体_GB2312" w:eastAsia="楷体_GB2312"/>
          <w:b/>
          <w:sz w:val="32"/>
        </w:rPr>
        <w:t>（一）一般公共预算财政拨款支出决算总体情况</w:t>
      </w:r>
    </w:p>
    <w:p w14:paraId="3723D28B">
      <w:pPr>
        <w:spacing w:line="580" w:lineRule="exact"/>
        <w:ind w:firstLine="640"/>
        <w:jc w:val="both"/>
      </w:pPr>
      <w:r>
        <w:rPr>
          <w:rFonts w:ascii="仿宋_GB2312" w:hAnsi="仿宋_GB2312" w:eastAsia="仿宋_GB2312"/>
          <w:b/>
          <w:sz w:val="32"/>
        </w:rPr>
        <w:t>2024年度一般公共预算财政拨款支出1,512.47万元，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增加229.70万元，增长17.91%，主要原因是：本年在职人员工资调增，社保、公积金基数调增，人员经费增加，增加网络专线通信服务项目、网评和举报奖励金等项目经费，导致相关经费增加。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年初预算数1,434.42万元，决算数1,512.47万元，预决算差异率5.44%，主要原因是：年中追加人员工资、社保、公积金基数调增部分资金，导致预决算存在差异。</w:t>
      </w:r>
    </w:p>
    <w:p w14:paraId="2AA59C72">
      <w:pPr>
        <w:spacing w:line="640" w:lineRule="exact"/>
        <w:ind w:firstLine="640"/>
        <w:jc w:val="both"/>
        <w:outlineLvl w:val="3"/>
      </w:pPr>
      <w:r>
        <w:rPr>
          <w:rFonts w:ascii="楷体_GB2312" w:hAnsi="楷体_GB2312" w:eastAsia="楷体_GB2312"/>
          <w:b/>
          <w:sz w:val="32"/>
        </w:rPr>
        <w:t>（二）一般公共预算财政拨款支出决算结构情况</w:t>
      </w:r>
    </w:p>
    <w:p w14:paraId="2B105368">
      <w:pPr>
        <w:spacing w:line="580" w:lineRule="exact"/>
        <w:ind w:firstLine="640"/>
        <w:jc w:val="both"/>
      </w:pPr>
      <w:r>
        <w:rPr>
          <w:rFonts w:ascii="仿宋_GB2312" w:hAnsi="仿宋_GB2312" w:eastAsia="仿宋_GB2312"/>
          <w:b w:val="0"/>
          <w:sz w:val="32"/>
        </w:rPr>
        <w:t>1.一般公共服务支出(类)1,260.85万元,占83.36%。</w:t>
      </w:r>
    </w:p>
    <w:p w14:paraId="22A1BA13">
      <w:pPr>
        <w:spacing w:line="580" w:lineRule="exact"/>
        <w:ind w:firstLine="640"/>
        <w:jc w:val="both"/>
      </w:pPr>
      <w:r>
        <w:rPr>
          <w:rFonts w:ascii="仿宋_GB2312" w:hAnsi="仿宋_GB2312" w:eastAsia="仿宋_GB2312"/>
          <w:b w:val="0"/>
          <w:sz w:val="32"/>
        </w:rPr>
        <w:t>2.社会保障和就业支出(类)108.98万元,占7.21%。</w:t>
      </w:r>
    </w:p>
    <w:p w14:paraId="2EA69640">
      <w:pPr>
        <w:spacing w:line="580" w:lineRule="exact"/>
        <w:ind w:firstLine="640"/>
        <w:jc w:val="both"/>
      </w:pPr>
      <w:r>
        <w:rPr>
          <w:rFonts w:ascii="仿宋_GB2312" w:hAnsi="仿宋_GB2312" w:eastAsia="仿宋_GB2312"/>
          <w:b w:val="0"/>
          <w:sz w:val="32"/>
        </w:rPr>
        <w:t>3.卫生健康支出(类)47.20万元,占3.12%。</w:t>
      </w:r>
    </w:p>
    <w:p w14:paraId="3AD23A5D">
      <w:pPr>
        <w:spacing w:line="580" w:lineRule="exact"/>
        <w:ind w:firstLine="640"/>
        <w:jc w:val="both"/>
      </w:pPr>
      <w:r>
        <w:rPr>
          <w:rFonts w:ascii="仿宋_GB2312" w:hAnsi="仿宋_GB2312" w:eastAsia="仿宋_GB2312"/>
          <w:b w:val="0"/>
          <w:sz w:val="32"/>
        </w:rPr>
        <w:t>4.住房保障支出(类)95.43万元,占6.31%。</w:t>
      </w:r>
    </w:p>
    <w:p w14:paraId="29ADC334">
      <w:pPr>
        <w:spacing w:line="640" w:lineRule="exact"/>
        <w:ind w:firstLine="640"/>
        <w:jc w:val="both"/>
        <w:outlineLvl w:val="3"/>
      </w:pPr>
      <w:r>
        <w:rPr>
          <w:rFonts w:ascii="楷体_GB2312" w:hAnsi="楷体_GB2312" w:eastAsia="楷体_GB2312"/>
          <w:b/>
          <w:sz w:val="32"/>
        </w:rPr>
        <w:t>（三）一般公共预算财政拨款支出决算具体情况</w:t>
      </w:r>
    </w:p>
    <w:p w14:paraId="65F814D8">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1.一般公共服务支出(类)党委办公厅（室）及相关机构事务(款)行政运行(项):支出决算数为959.71万元，比上年决算增加50.64万元，增长5.57%,主要原因是：本年在职人员工资调增，导致相关人员经费较上年有所增加。</w:t>
      </w:r>
    </w:p>
    <w:p w14:paraId="653E6BA0">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298.46万元，比上年决算增加155.28万元，增长108.45%,主要原因是：本年增加网络专线通信服务项目、网评和举报奖励金等项目经费，导致相关经费增加。</w:t>
      </w:r>
    </w:p>
    <w:p w14:paraId="6A256837">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0.48万元，比上年决算增加0.48万元，增长100.00%,主要原因是：本年度增加专项项目经费，导致相关经费增加。</w:t>
      </w:r>
    </w:p>
    <w:p w14:paraId="392B0ED1">
      <w:pPr>
        <w:spacing w:line="580" w:lineRule="exact"/>
        <w:ind w:firstLine="640"/>
        <w:jc w:val="both"/>
      </w:pPr>
      <w:r>
        <w:rPr>
          <w:rFonts w:ascii="仿宋_GB2312" w:hAnsi="仿宋_GB2312" w:eastAsia="仿宋_GB2312"/>
          <w:b w:val="0"/>
          <w:sz w:val="32"/>
        </w:rPr>
        <w:t>4.一般公共服务支出(类)统战事务(款)宗教事务(项):支出决算数为2.20万元，比上年决算增加1.71万元，增长348.98%,主要原因是：本年度增加专项项目经费，导致相关经费增加。</w:t>
      </w:r>
    </w:p>
    <w:p w14:paraId="4B206E0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108.98万元，比上年决算增加8.71万元，增长8.69%,主要原因是：本年在职人员工资基数调增，养老缴费基数上涨，相应支出增加。</w:t>
      </w:r>
    </w:p>
    <w:p w14:paraId="7953DC0B">
      <w:pPr>
        <w:spacing w:line="580" w:lineRule="exact"/>
        <w:ind w:firstLine="640"/>
        <w:jc w:val="both"/>
      </w:pPr>
      <w:r>
        <w:rPr>
          <w:rFonts w:ascii="仿宋_GB2312" w:hAnsi="仿宋_GB2312" w:eastAsia="仿宋_GB2312"/>
          <w:b w:val="0"/>
          <w:sz w:val="32"/>
        </w:rPr>
        <w:t>6.卫生健康支出(类)行政事业单位医疗(款)行政单位医疗(项):支出决算数为46.32万元，比上年决算增加3.71万元，增长8.71%,主要原因是：本年在职人员工资基数调增，医疗缴费基数上涨，相应支出增加。</w:t>
      </w:r>
    </w:p>
    <w:p w14:paraId="69483CC8">
      <w:pPr>
        <w:spacing w:line="580" w:lineRule="exact"/>
        <w:ind w:firstLine="640"/>
        <w:jc w:val="both"/>
      </w:pPr>
      <w:r>
        <w:rPr>
          <w:rFonts w:ascii="仿宋_GB2312" w:hAnsi="仿宋_GB2312" w:eastAsia="仿宋_GB2312"/>
          <w:b w:val="0"/>
          <w:sz w:val="32"/>
        </w:rPr>
        <w:t>7.卫生健康支出(类)行政事业单位医疗(款)公务员医疗补助(项):支出决算数为0.88万元，比上年决算增加0.36万元，增长69.23%,主要原因是：本年在职人员工资基数调增，医疗缴费基数上涨，相应支出增加。</w:t>
      </w:r>
    </w:p>
    <w:p w14:paraId="78DCF073">
      <w:pPr>
        <w:spacing w:line="580" w:lineRule="exact"/>
        <w:ind w:firstLine="640"/>
        <w:jc w:val="both"/>
      </w:pPr>
      <w:r>
        <w:rPr>
          <w:rFonts w:ascii="仿宋_GB2312" w:hAnsi="仿宋_GB2312" w:eastAsia="仿宋_GB2312"/>
          <w:b w:val="0"/>
          <w:sz w:val="32"/>
        </w:rPr>
        <w:t>8.住房保障支出(类)住房改革支出(款)住房公积金(项):支出决算数为95.43万元，比上年决算增加10.02万元，增长11.73%,主要原因是：本年在职人员工资基数调增，公积金缴费基数上涨，相应支出增加。</w:t>
      </w:r>
    </w:p>
    <w:p w14:paraId="1FD73D2F">
      <w:pPr>
        <w:spacing w:line="580" w:lineRule="exact"/>
        <w:ind w:firstLine="640"/>
        <w:jc w:val="both"/>
      </w:pPr>
      <w:r>
        <w:rPr>
          <w:rFonts w:ascii="仿宋_GB2312" w:hAnsi="仿宋_GB2312" w:eastAsia="仿宋_GB2312"/>
          <w:b w:val="0"/>
          <w:sz w:val="32"/>
        </w:rPr>
        <w:t>9.其他支出(类)其他支出(款)其他支出(项):支出决算数为0.00万元，比上年决算减少1.23万元，下降100.00%,主要原因是：本年度专项项目经费减少，相应支出减少。</w:t>
      </w:r>
    </w:p>
    <w:p w14:paraId="543F359E">
      <w:pPr>
        <w:spacing w:line="640" w:lineRule="exact"/>
        <w:ind w:firstLine="640"/>
        <w:jc w:val="both"/>
        <w:outlineLvl w:val="2"/>
      </w:pPr>
      <w:r>
        <w:rPr>
          <w:rFonts w:ascii="黑体" w:hAnsi="黑体" w:eastAsia="黑体"/>
          <w:sz w:val="32"/>
        </w:rPr>
        <w:t>六、一般公共预算财政拨款基本支出决算情况说明</w:t>
      </w:r>
    </w:p>
    <w:p w14:paraId="3DE342ED">
      <w:pPr>
        <w:spacing w:line="580" w:lineRule="exact"/>
        <w:ind w:firstLine="640"/>
        <w:jc w:val="both"/>
      </w:pPr>
      <w:r>
        <w:rPr>
          <w:rFonts w:ascii="仿宋_GB2312" w:hAnsi="仿宋_GB2312" w:eastAsia="仿宋_GB2312"/>
          <w:b w:val="0"/>
          <w:sz w:val="32"/>
        </w:rPr>
        <w:t>2024年度一般公共预算财政拨款基本支出1,213.52万元，其中：</w:t>
      </w:r>
      <w:r>
        <w:rPr>
          <w:rFonts w:ascii="仿宋_GB2312" w:hAnsi="仿宋_GB2312" w:eastAsia="仿宋_GB2312"/>
          <w:b/>
          <w:sz w:val="32"/>
        </w:rPr>
        <w:t>人员经费1,146.71万元，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包括：基本工资、津贴补贴、奖金、绩效工资、机关事业单位基本养老保险缴费、职工基本医疗保险缴费、公务员医疗补助缴费、其他社会保障缴费、住房公积金、生活补助、其他对个人和家庭的补助。</w:t>
      </w:r>
    </w:p>
    <w:p w14:paraId="1EFF2165">
      <w:pPr>
        <w:spacing w:line="580" w:lineRule="exact"/>
        <w:ind w:firstLine="640"/>
        <w:jc w:val="both"/>
      </w:pPr>
      <w:r>
        <w:rPr>
          <w:rFonts w:ascii="仿宋_GB2312" w:hAnsi="仿宋_GB2312" w:eastAsia="仿宋_GB2312"/>
          <w:b/>
          <w:sz w:val="32"/>
        </w:rPr>
        <w:t>公用经费66.81万元，</w:t>
      </w:r>
      <w:r>
        <w:rPr>
          <w:rFonts w:ascii="仿宋_GB2312" w:hAnsi="仿宋_GB2312" w:eastAsia="仿宋_GB2312"/>
          <w:b w:val="0"/>
          <w:sz w:val="32"/>
        </w:rPr>
        <w:t>包括：办公费、印刷费、邮电费、差旅费、维修（护）费、专用材料费、劳务费、委托业务费、工会经费、公务用车运行维护费、其他交通费用、其他商品和服务支出。</w:t>
      </w:r>
    </w:p>
    <w:p w14:paraId="3DAB2B38">
      <w:pPr>
        <w:spacing w:line="640" w:lineRule="exact"/>
        <w:ind w:firstLine="640"/>
        <w:jc w:val="both"/>
        <w:outlineLvl w:val="2"/>
      </w:pPr>
      <w:r>
        <w:rPr>
          <w:rFonts w:ascii="黑体" w:hAnsi="黑体" w:eastAsia="黑体"/>
          <w:sz w:val="32"/>
        </w:rPr>
        <w:t>七、政府性基金预算财政拨款收入支出决算情况说明</w:t>
      </w:r>
    </w:p>
    <w:p w14:paraId="2149F3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2CFBCC">
      <w:pPr>
        <w:spacing w:line="640" w:lineRule="exact"/>
        <w:ind w:firstLine="640"/>
        <w:jc w:val="both"/>
        <w:outlineLvl w:val="2"/>
      </w:pPr>
      <w:r>
        <w:rPr>
          <w:rFonts w:ascii="黑体" w:hAnsi="黑体" w:eastAsia="黑体"/>
          <w:sz w:val="32"/>
        </w:rPr>
        <w:t>八、国有资本经营预算财政拨款收入支出决算情况说明</w:t>
      </w:r>
    </w:p>
    <w:p w14:paraId="768BD56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A5B611">
      <w:pPr>
        <w:spacing w:line="640" w:lineRule="exact"/>
        <w:ind w:firstLine="640"/>
        <w:jc w:val="both"/>
        <w:outlineLvl w:val="2"/>
      </w:pPr>
      <w:r>
        <w:rPr>
          <w:rFonts w:ascii="黑体" w:hAnsi="黑体" w:eastAsia="黑体"/>
          <w:sz w:val="32"/>
        </w:rPr>
        <w:t>九、财政拨款“三公”经费支出决算情况说明</w:t>
      </w:r>
    </w:p>
    <w:p w14:paraId="1DE13714">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2.10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4.20万元，占100.00%，比上年增加2.10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0DA33216">
      <w:pPr>
        <w:spacing w:line="580" w:lineRule="exact"/>
        <w:ind w:firstLine="640"/>
        <w:jc w:val="both"/>
      </w:pPr>
      <w:r>
        <w:rPr>
          <w:rFonts w:ascii="仿宋_GB2312" w:hAnsi="仿宋_GB2312" w:eastAsia="仿宋_GB2312"/>
          <w:b/>
          <w:sz w:val="32"/>
        </w:rPr>
        <w:t>具体情况如下：</w:t>
      </w:r>
    </w:p>
    <w:p w14:paraId="155D49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50E7A0">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3B2F8C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A34E6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0.00万元，决算数0.00万元，预决算差异率0.00%，主要原因是：本单位无公务接待费。</w:t>
      </w:r>
    </w:p>
    <w:p w14:paraId="584195EB">
      <w:pPr>
        <w:spacing w:line="640" w:lineRule="exact"/>
        <w:ind w:firstLine="640"/>
        <w:jc w:val="both"/>
        <w:outlineLvl w:val="2"/>
      </w:pPr>
      <w:r>
        <w:rPr>
          <w:rFonts w:ascii="黑体" w:hAnsi="黑体" w:eastAsia="黑体"/>
          <w:sz w:val="32"/>
        </w:rPr>
        <w:t>十、其他重要事项的情况说明</w:t>
      </w:r>
    </w:p>
    <w:p w14:paraId="5176181C">
      <w:pPr>
        <w:spacing w:line="640" w:lineRule="exact"/>
        <w:ind w:firstLine="640"/>
        <w:jc w:val="both"/>
        <w:outlineLvl w:val="3"/>
      </w:pPr>
      <w:r>
        <w:rPr>
          <w:rFonts w:ascii="楷体_GB2312" w:hAnsi="楷体_GB2312" w:eastAsia="楷体_GB2312"/>
          <w:b/>
          <w:sz w:val="32"/>
        </w:rPr>
        <w:t>（一）机关运行经费及公用经费支出情况</w:t>
      </w:r>
    </w:p>
    <w:p w14:paraId="6F67B428">
      <w:pPr>
        <w:spacing w:line="580" w:lineRule="exact"/>
        <w:ind w:firstLine="640"/>
        <w:jc w:val="both"/>
      </w:pPr>
      <w:r>
        <w:rPr>
          <w:rFonts w:ascii="仿宋_GB2312" w:hAnsi="仿宋_GB2312" w:eastAsia="仿宋_GB2312"/>
          <w:b w:val="0"/>
          <w:sz w:val="32"/>
        </w:rPr>
        <w:t>2024年度中共喀什地委网络安全和信息化委员会办公室（行政单位和参照公务员法管理事业单位）机关运行经费支出66.81万元，比上年增加15.58万元，增长30.41%，主要原因是：本年增加委托业务费等经费，导致机关运行经费增加。</w:t>
      </w:r>
    </w:p>
    <w:p w14:paraId="28EC338F">
      <w:pPr>
        <w:spacing w:line="640" w:lineRule="exact"/>
        <w:ind w:firstLine="640"/>
        <w:jc w:val="both"/>
        <w:outlineLvl w:val="3"/>
      </w:pPr>
      <w:r>
        <w:rPr>
          <w:rFonts w:ascii="楷体_GB2312" w:hAnsi="楷体_GB2312" w:eastAsia="楷体_GB2312"/>
          <w:b/>
          <w:sz w:val="32"/>
        </w:rPr>
        <w:t>（二）政府采购情况</w:t>
      </w:r>
    </w:p>
    <w:p w14:paraId="23211FF6">
      <w:pPr>
        <w:spacing w:line="580" w:lineRule="exact"/>
        <w:ind w:firstLine="640"/>
        <w:jc w:val="both"/>
      </w:pPr>
      <w:r>
        <w:rPr>
          <w:rFonts w:ascii="仿宋_GB2312" w:hAnsi="仿宋_GB2312" w:eastAsia="仿宋_GB2312"/>
          <w:b w:val="0"/>
          <w:sz w:val="32"/>
        </w:rPr>
        <w:t>2024年度政府采购支出总额68.87万元，其中：政府采购货物支出36.70万元、政府采购工程支出0.00万元、政府采购服务支出32.17万元。</w:t>
      </w:r>
    </w:p>
    <w:p w14:paraId="623BFADF">
      <w:pPr>
        <w:spacing w:line="580" w:lineRule="exact"/>
        <w:ind w:firstLine="640"/>
        <w:jc w:val="both"/>
      </w:pPr>
      <w:r>
        <w:rPr>
          <w:rFonts w:ascii="仿宋_GB2312" w:hAnsi="仿宋_GB2312" w:eastAsia="仿宋_GB2312"/>
          <w:b w:val="0"/>
          <w:sz w:val="32"/>
        </w:rPr>
        <w:t>授予中小企业合同金额57.24万元，占政府采购支出总额的83.11%，其中：授予小微企业合同金额52.93万元，占政府采购支出总额的76.85%。</w:t>
      </w:r>
    </w:p>
    <w:p w14:paraId="49375FF3">
      <w:pPr>
        <w:spacing w:line="640" w:lineRule="exact"/>
        <w:ind w:firstLine="640"/>
        <w:jc w:val="both"/>
        <w:outlineLvl w:val="3"/>
      </w:pPr>
      <w:r>
        <w:rPr>
          <w:rFonts w:ascii="楷体_GB2312" w:hAnsi="楷体_GB2312" w:eastAsia="楷体_GB2312"/>
          <w:b/>
          <w:sz w:val="32"/>
        </w:rPr>
        <w:t>（三）国有资产占用情况说明</w:t>
      </w:r>
    </w:p>
    <w:p w14:paraId="56437C12">
      <w:pPr>
        <w:spacing w:line="580" w:lineRule="exact"/>
        <w:ind w:firstLine="640"/>
        <w:jc w:val="both"/>
      </w:pPr>
      <w:r>
        <w:rPr>
          <w:rFonts w:ascii="仿宋_GB2312" w:hAnsi="仿宋_GB2312" w:eastAsia="仿宋_GB2312"/>
          <w:b w:val="0"/>
          <w:sz w:val="32"/>
        </w:rPr>
        <w:t>截至2024年12月31日，房屋0.00平方米，价值0.00万元。车辆2辆，价值15.19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26DA435">
      <w:pPr>
        <w:spacing w:line="640" w:lineRule="exact"/>
        <w:ind w:firstLine="640"/>
        <w:jc w:val="both"/>
        <w:outlineLvl w:val="2"/>
      </w:pPr>
      <w:r>
        <w:rPr>
          <w:rFonts w:ascii="黑体" w:hAnsi="黑体" w:eastAsia="黑体"/>
          <w:sz w:val="32"/>
        </w:rPr>
        <w:t>十一、预算绩效的情况说明</w:t>
      </w:r>
    </w:p>
    <w:p w14:paraId="294A6F9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w:t>
      </w:r>
      <w:bookmarkStart w:id="0" w:name="_GoBack"/>
      <w:bookmarkEnd w:id="0"/>
      <w:r>
        <w:rPr>
          <w:rFonts w:ascii="仿宋_GB2312" w:hAnsi="仿宋_GB2312" w:eastAsia="仿宋_GB2312"/>
          <w:b w:val="0"/>
          <w:sz w:val="32"/>
        </w:rPr>
        <w:t>额1,520.94万元，实际执行总额1,513.93万元；预算绩效评价项目9个，全年预算数298.94万元，全年执行数298.94万元。预算绩效管理取得的成效：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w:t>
      </w:r>
    </w:p>
    <w:p w14:paraId="70DFCC16">
      <w:r>
        <w:br w:type="page"/>
      </w:r>
    </w:p>
    <w:p w14:paraId="73087F8A">
      <w:pPr>
        <w:spacing w:line="640" w:lineRule="exact"/>
        <w:ind w:firstLine="640"/>
        <w:jc w:val="both"/>
        <w:outlineLvl w:val="2"/>
      </w:pPr>
      <w:r>
        <w:rPr>
          <w:rFonts w:ascii="黑体" w:hAnsi="黑体" w:eastAsia="黑体"/>
          <w:sz w:val="32"/>
        </w:rPr>
        <w:t>十二、其他需说明的事项</w:t>
      </w:r>
    </w:p>
    <w:p w14:paraId="7B44AD7F">
      <w:pPr>
        <w:spacing w:line="580" w:lineRule="exact"/>
        <w:ind w:firstLine="640"/>
        <w:jc w:val="both"/>
      </w:pPr>
      <w:r>
        <w:rPr>
          <w:rFonts w:ascii="仿宋_GB2312" w:hAnsi="仿宋_GB2312" w:eastAsia="仿宋_GB2312"/>
          <w:b w:val="0"/>
          <w:sz w:val="32"/>
        </w:rPr>
        <w:t>本年度本单位整体绩效自评表不予公开。本年本单位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项目9个，全年预算数298.94万元，全年执行数298.94万元。</w:t>
      </w:r>
    </w:p>
    <w:p w14:paraId="1A64BB1D">
      <w:r>
        <w:br w:type="page"/>
      </w:r>
    </w:p>
    <w:p w14:paraId="7B011972">
      <w:pPr>
        <w:spacing w:line="240" w:lineRule="auto"/>
        <w:jc w:val="center"/>
        <w:outlineLvl w:val="1"/>
      </w:pPr>
      <w:r>
        <w:rPr>
          <w:rFonts w:ascii="黑体" w:hAnsi="黑体" w:eastAsia="黑体"/>
          <w:sz w:val="32"/>
        </w:rPr>
        <w:t>第三部分 专业名词解释</w:t>
      </w:r>
    </w:p>
    <w:p w14:paraId="6818BD1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F521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FCA7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6E8BC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BFE11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0CAB6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390E7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B8F82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9A28B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65F5A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280C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E7E4B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4FAAA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3A06F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4B1353">
      <w:r>
        <w:br w:type="page"/>
      </w:r>
    </w:p>
    <w:p w14:paraId="60BDE007">
      <w:pPr>
        <w:spacing w:line="240" w:lineRule="auto"/>
        <w:jc w:val="center"/>
        <w:outlineLvl w:val="1"/>
      </w:pPr>
      <w:r>
        <w:rPr>
          <w:rFonts w:ascii="黑体" w:hAnsi="黑体" w:eastAsia="黑体"/>
          <w:sz w:val="32"/>
        </w:rPr>
        <w:t>第四部分 部门决算报表（见附表）</w:t>
      </w:r>
    </w:p>
    <w:p w14:paraId="6D30B470">
      <w:pPr>
        <w:spacing w:line="240" w:lineRule="auto"/>
        <w:ind w:firstLine="640"/>
        <w:jc w:val="both"/>
      </w:pPr>
      <w:r>
        <w:rPr>
          <w:rFonts w:ascii="仿宋_GB2312" w:hAnsi="仿宋_GB2312" w:eastAsia="仿宋_GB2312"/>
          <w:b w:val="0"/>
          <w:sz w:val="32"/>
        </w:rPr>
        <w:t>一、《收入支出决算总表》</w:t>
      </w:r>
    </w:p>
    <w:p w14:paraId="61AE62E9">
      <w:pPr>
        <w:spacing w:line="240" w:lineRule="auto"/>
        <w:ind w:firstLine="640"/>
        <w:jc w:val="both"/>
      </w:pPr>
      <w:r>
        <w:rPr>
          <w:rFonts w:ascii="仿宋_GB2312" w:hAnsi="仿宋_GB2312" w:eastAsia="仿宋_GB2312"/>
          <w:b w:val="0"/>
          <w:sz w:val="32"/>
        </w:rPr>
        <w:t>二、《收入决算表》</w:t>
      </w:r>
    </w:p>
    <w:p w14:paraId="3879FB1C">
      <w:pPr>
        <w:spacing w:line="240" w:lineRule="auto"/>
        <w:ind w:firstLine="640"/>
        <w:jc w:val="both"/>
      </w:pPr>
      <w:r>
        <w:rPr>
          <w:rFonts w:ascii="仿宋_GB2312" w:hAnsi="仿宋_GB2312" w:eastAsia="仿宋_GB2312"/>
          <w:b w:val="0"/>
          <w:sz w:val="32"/>
        </w:rPr>
        <w:t>三、《支出决算表》</w:t>
      </w:r>
    </w:p>
    <w:p w14:paraId="24E93BC9">
      <w:pPr>
        <w:spacing w:line="240" w:lineRule="auto"/>
        <w:ind w:firstLine="640"/>
        <w:jc w:val="both"/>
      </w:pPr>
      <w:r>
        <w:rPr>
          <w:rFonts w:ascii="仿宋_GB2312" w:hAnsi="仿宋_GB2312" w:eastAsia="仿宋_GB2312"/>
          <w:b w:val="0"/>
          <w:sz w:val="32"/>
        </w:rPr>
        <w:t>四、《财政拨款收入支出决算总表》</w:t>
      </w:r>
    </w:p>
    <w:p w14:paraId="1FAA8226">
      <w:pPr>
        <w:spacing w:line="240" w:lineRule="auto"/>
        <w:ind w:firstLine="640"/>
        <w:jc w:val="both"/>
      </w:pPr>
      <w:r>
        <w:rPr>
          <w:rFonts w:ascii="仿宋_GB2312" w:hAnsi="仿宋_GB2312" w:eastAsia="仿宋_GB2312"/>
          <w:b w:val="0"/>
          <w:sz w:val="32"/>
        </w:rPr>
        <w:t>五、《一般公共预算财政拨款支出决算表》</w:t>
      </w:r>
    </w:p>
    <w:p w14:paraId="3FCF24A7">
      <w:pPr>
        <w:spacing w:line="240" w:lineRule="auto"/>
        <w:ind w:firstLine="640"/>
        <w:jc w:val="both"/>
      </w:pPr>
      <w:r>
        <w:rPr>
          <w:rFonts w:ascii="仿宋_GB2312" w:hAnsi="仿宋_GB2312" w:eastAsia="仿宋_GB2312"/>
          <w:b w:val="0"/>
          <w:sz w:val="32"/>
        </w:rPr>
        <w:t>六、《一般公共预算财政拨款基本支出决算表》</w:t>
      </w:r>
    </w:p>
    <w:p w14:paraId="2A17C4C0">
      <w:pPr>
        <w:spacing w:line="240" w:lineRule="auto"/>
        <w:ind w:firstLine="640"/>
        <w:jc w:val="both"/>
      </w:pPr>
      <w:r>
        <w:rPr>
          <w:rFonts w:ascii="仿宋_GB2312" w:hAnsi="仿宋_GB2312" w:eastAsia="仿宋_GB2312"/>
          <w:b w:val="0"/>
          <w:sz w:val="32"/>
        </w:rPr>
        <w:t>七、《政府性基金预算财政拨款收入支出决算表》</w:t>
      </w:r>
    </w:p>
    <w:p w14:paraId="01BB4912">
      <w:pPr>
        <w:spacing w:line="240" w:lineRule="auto"/>
        <w:ind w:firstLine="640"/>
        <w:jc w:val="both"/>
      </w:pPr>
      <w:r>
        <w:rPr>
          <w:rFonts w:ascii="仿宋_GB2312" w:hAnsi="仿宋_GB2312" w:eastAsia="仿宋_GB2312"/>
          <w:b w:val="0"/>
          <w:sz w:val="32"/>
        </w:rPr>
        <w:t>八、《国有资本经营预算财政拨款收入支出决算表》</w:t>
      </w:r>
    </w:p>
    <w:p w14:paraId="5E5A9AD2">
      <w:pPr>
        <w:spacing w:line="240" w:lineRule="auto"/>
        <w:ind w:firstLine="640"/>
        <w:jc w:val="both"/>
      </w:pPr>
      <w:r>
        <w:rPr>
          <w:rFonts w:ascii="仿宋_GB2312" w:hAnsi="仿宋_GB2312" w:eastAsia="仿宋_GB2312"/>
          <w:b w:val="0"/>
          <w:sz w:val="32"/>
        </w:rPr>
        <w:t>九、《财政拨款“三公”经费支出决算表》</w:t>
      </w:r>
    </w:p>
    <w:p w14:paraId="0253F5BA">
      <w:pPr>
        <w:spacing w:line="240" w:lineRule="auto"/>
        <w:ind w:firstLine="640"/>
        <w:jc w:val="both"/>
      </w:pPr>
    </w:p>
    <w:p w14:paraId="1C7B1D73">
      <w:pPr>
        <w:spacing w:line="240" w:lineRule="auto"/>
        <w:ind w:firstLine="640"/>
        <w:jc w:val="both"/>
      </w:pPr>
    </w:p>
    <w:p w14:paraId="4D01F9C4">
      <w:pPr>
        <w:spacing w:line="240" w:lineRule="auto"/>
        <w:ind w:firstLine="640"/>
        <w:jc w:val="both"/>
      </w:pPr>
    </w:p>
    <w:p w14:paraId="30380DB2">
      <w:pPr>
        <w:spacing w:line="240" w:lineRule="auto"/>
        <w:ind w:firstLine="640"/>
        <w:jc w:val="both"/>
      </w:pPr>
    </w:p>
    <w:p w14:paraId="0C16AC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38433C-6DE6-44B3-A18E-24F7BCF8AE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33A348E-1CE9-419C-B71A-A34F237E0531}"/>
  </w:font>
  <w:font w:name="方正小标宋_GBK">
    <w:panose1 w:val="02000000000000000000"/>
    <w:charset w:val="86"/>
    <w:family w:val="script"/>
    <w:pitch w:val="default"/>
    <w:sig w:usb0="A00002BF" w:usb1="38CF7CFA" w:usb2="00082016" w:usb3="00000000" w:csb0="00040001" w:csb1="00000000"/>
    <w:embedRegular r:id="rId3" w:fontKey="{7E49E989-0728-4162-8718-311476737792}"/>
  </w:font>
  <w:font w:name="楷体_GB2312">
    <w:altName w:val="楷体"/>
    <w:panose1 w:val="00000000000000000000"/>
    <w:charset w:val="00"/>
    <w:family w:val="auto"/>
    <w:pitch w:val="default"/>
    <w:sig w:usb0="00000000" w:usb1="00000000" w:usb2="00000000" w:usb3="00000000" w:csb0="00000000" w:csb1="00000000"/>
    <w:embedRegular r:id="rId4" w:fontKey="{E1AF91B2-5073-4E68-9C8D-2D0B64A6363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B079B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6267F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BE3118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5B2ED2"/>
    <w:rsid w:val="6B68175F"/>
    <w:rsid w:val="6B8B5C99"/>
    <w:rsid w:val="6CA7198F"/>
    <w:rsid w:val="6D8919A8"/>
    <w:rsid w:val="6E0F7A08"/>
    <w:rsid w:val="6E801ABC"/>
    <w:rsid w:val="71473612"/>
    <w:rsid w:val="718F7F65"/>
    <w:rsid w:val="73423603"/>
    <w:rsid w:val="737A5923"/>
    <w:rsid w:val="73DE4104"/>
    <w:rsid w:val="73FB6630"/>
    <w:rsid w:val="74CE04EC"/>
    <w:rsid w:val="74E76DCD"/>
    <w:rsid w:val="75F45E61"/>
    <w:rsid w:val="76660D7C"/>
    <w:rsid w:val="77ED6F44"/>
    <w:rsid w:val="795A0A34"/>
    <w:rsid w:val="79FD2DAB"/>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5284</Words>
  <Characters>6012</Characters>
  <Lines>0</Lines>
  <Paragraphs>0</Paragraphs>
  <TotalTime>0</TotalTime>
  <ScaleCrop>false</ScaleCrop>
  <LinksUpToDate>false</LinksUpToDate>
  <CharactersWithSpaces>6022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