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665D08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中共喀什地委老干部局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3EF962">
      <w:r>
        <w:br w:type="page"/>
      </w:r>
    </w:p>
    <w:p w14:paraId="2CD10E2A">
      <w:pPr>
        <w:spacing w:line="640" w:lineRule="exact"/>
        <w:jc w:val="center"/>
        <w:outlineLvl w:val="1"/>
      </w:pPr>
      <w:r>
        <w:rPr>
          <w:rFonts w:ascii="黑体" w:hAnsi="黑体" w:eastAsia="黑体"/>
          <w:sz w:val="32"/>
        </w:rPr>
        <w:t>第一部分 单位概况</w:t>
      </w:r>
    </w:p>
    <w:p w14:paraId="2268EBFC">
      <w:pPr>
        <w:spacing w:line="640" w:lineRule="exact"/>
        <w:ind w:firstLine="640"/>
        <w:jc w:val="both"/>
        <w:outlineLvl w:val="2"/>
      </w:pPr>
      <w:r>
        <w:rPr>
          <w:rFonts w:ascii="黑体" w:hAnsi="黑体" w:eastAsia="黑体"/>
          <w:sz w:val="32"/>
        </w:rPr>
        <w:t>一、主要职能</w:t>
      </w:r>
    </w:p>
    <w:p w14:paraId="4EB2609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负责指导地区离退休干部政治建设、思想建设和党组织建设，组织引导离退休干部在贯彻以习近平同志为核心的党中央治疆方略、特别是社会</w:t>
      </w:r>
      <w:r>
        <w:rPr>
          <w:rFonts w:hint="eastAsia" w:ascii="仿宋_GB2312" w:hAnsi="仿宋_GB2312" w:eastAsia="仿宋_GB2312"/>
          <w:sz w:val="32"/>
          <w:lang w:val="en-US" w:eastAsia="zh-CN"/>
        </w:rPr>
        <w:t>稳定</w:t>
      </w:r>
      <w:r>
        <w:rPr>
          <w:rFonts w:ascii="仿宋_GB2312" w:hAnsi="仿宋_GB2312" w:eastAsia="仿宋_GB2312"/>
          <w:sz w:val="32"/>
        </w:rPr>
        <w:t>和长治久安总目标中发挥作用，为党和人民事业增添正能量。</w:t>
      </w:r>
    </w:p>
    <w:p w14:paraId="2EF5FD4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组织开展地区离退休干部工作调研</w:t>
      </w:r>
      <w:bookmarkStart w:id="0" w:name="_GoBack"/>
      <w:bookmarkEnd w:id="0"/>
      <w:r>
        <w:rPr>
          <w:rFonts w:ascii="仿宋_GB2312" w:hAnsi="仿宋_GB2312" w:eastAsia="仿宋_GB2312"/>
          <w:sz w:val="32"/>
        </w:rPr>
        <w:t>，及时向地委反映带有全局性和倾向性的重要问题，并提出意见和建议。</w:t>
      </w:r>
    </w:p>
    <w:p w14:paraId="61D1EC4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负责地区离退休干部工作政策业务的指导和检查工作，并办理相关业务，督促有关部门落实离退休干部政治待遇和生活待遇。</w:t>
      </w:r>
    </w:p>
    <w:p w14:paraId="63A7B93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负责推动地区离退休干部工作精准化、信息化建设；指导地区老干部工作部门自身建设。</w:t>
      </w:r>
    </w:p>
    <w:p w14:paraId="3F2A387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组织协调开展离退休干部各项活动；严格管理、合理使用离退休干部各项专用经费。</w:t>
      </w:r>
    </w:p>
    <w:p w14:paraId="2758FBC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负责宣传党的离退休干部工作方针政策及地区典型经验做法。</w:t>
      </w:r>
    </w:p>
    <w:p w14:paraId="2499791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组织协调地区关心教育青少年一代健康成长工作。</w:t>
      </w:r>
    </w:p>
    <w:p w14:paraId="7713FCE3">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完成地委交办的其他任务。</w:t>
      </w:r>
    </w:p>
    <w:p w14:paraId="38462AA5">
      <w:pPr>
        <w:spacing w:line="640" w:lineRule="exact"/>
        <w:ind w:firstLine="640"/>
        <w:jc w:val="both"/>
        <w:outlineLvl w:val="2"/>
      </w:pPr>
      <w:r>
        <w:rPr>
          <w:rFonts w:ascii="黑体" w:hAnsi="黑体" w:eastAsia="黑体"/>
          <w:sz w:val="32"/>
        </w:rPr>
        <w:t>二、机构设置及人员情况</w:t>
      </w:r>
    </w:p>
    <w:p w14:paraId="5A898C59">
      <w:pPr>
        <w:spacing w:line="580" w:lineRule="exact"/>
        <w:ind w:firstLine="640"/>
        <w:jc w:val="both"/>
      </w:pPr>
      <w:r>
        <w:rPr>
          <w:rFonts w:ascii="仿宋_GB2312" w:hAnsi="仿宋_GB2312" w:eastAsia="仿宋_GB2312"/>
          <w:sz w:val="32"/>
        </w:rPr>
        <w:t>中共喀什地委老干部局2024年度，实有人数24人，其中：在职人员16人，减少1人；离休人员0人，增加0人；退休人员8人,增加0人。</w:t>
      </w:r>
    </w:p>
    <w:p w14:paraId="450D32AF">
      <w:pPr>
        <w:spacing w:line="580" w:lineRule="exact"/>
        <w:ind w:firstLine="640"/>
        <w:jc w:val="both"/>
      </w:pPr>
      <w:r>
        <w:rPr>
          <w:rFonts w:ascii="仿宋_GB2312" w:hAnsi="仿宋_GB2312" w:eastAsia="仿宋_GB2312"/>
          <w:sz w:val="32"/>
        </w:rPr>
        <w:t>中共喀什地委老干部局无下属预算单位，下设3个科室，分别是：综合科、离退休干部服务管理科、关心下一代工作办公室。</w:t>
      </w:r>
    </w:p>
    <w:p w14:paraId="5B822B5F">
      <w:r>
        <w:br w:type="page"/>
      </w:r>
    </w:p>
    <w:p w14:paraId="59B34B17">
      <w:pPr>
        <w:spacing w:line="240" w:lineRule="auto"/>
        <w:jc w:val="center"/>
        <w:outlineLvl w:val="1"/>
      </w:pPr>
      <w:r>
        <w:rPr>
          <w:rFonts w:ascii="黑体" w:hAnsi="黑体" w:eastAsia="黑体"/>
          <w:sz w:val="32"/>
        </w:rPr>
        <w:t>第二部分 部门决算情况说明</w:t>
      </w:r>
    </w:p>
    <w:p w14:paraId="2F60A175">
      <w:pPr>
        <w:spacing w:line="640" w:lineRule="exact"/>
        <w:ind w:firstLine="640"/>
        <w:jc w:val="both"/>
        <w:outlineLvl w:val="2"/>
      </w:pPr>
      <w:r>
        <w:rPr>
          <w:rFonts w:ascii="黑体" w:hAnsi="黑体" w:eastAsia="黑体"/>
          <w:sz w:val="32"/>
        </w:rPr>
        <w:t>一、收入支出决算总体情况说明</w:t>
      </w:r>
    </w:p>
    <w:p w14:paraId="0D00585F">
      <w:pPr>
        <w:spacing w:line="580" w:lineRule="exact"/>
        <w:ind w:firstLine="640"/>
        <w:jc w:val="both"/>
      </w:pPr>
      <w:r>
        <w:rPr>
          <w:rFonts w:ascii="仿宋_GB2312" w:hAnsi="仿宋_GB2312" w:eastAsia="仿宋_GB2312"/>
          <w:b/>
          <w:sz w:val="32"/>
        </w:rPr>
        <w:t>2024年度收入总计554.93万元，</w:t>
      </w:r>
      <w:r>
        <w:rPr>
          <w:rFonts w:ascii="仿宋_GB2312" w:hAnsi="仿宋_GB2312" w:eastAsia="仿宋_GB2312"/>
          <w:b w:val="0"/>
          <w:sz w:val="32"/>
        </w:rPr>
        <w:t>其中：本年收入合计554.93万元，使用非财政拨款结余（含专用结余）0.00万元，年初结转和结余0.00万元。</w:t>
      </w:r>
    </w:p>
    <w:p w14:paraId="7394B3BC">
      <w:pPr>
        <w:spacing w:line="580" w:lineRule="exact"/>
        <w:ind w:firstLine="640"/>
        <w:jc w:val="both"/>
      </w:pPr>
      <w:r>
        <w:rPr>
          <w:rFonts w:ascii="仿宋_GB2312" w:hAnsi="仿宋_GB2312" w:eastAsia="仿宋_GB2312"/>
          <w:b/>
          <w:sz w:val="32"/>
        </w:rPr>
        <w:t>2024年度支出总计554.93万元，</w:t>
      </w:r>
      <w:r>
        <w:rPr>
          <w:rFonts w:ascii="仿宋_GB2312" w:hAnsi="仿宋_GB2312" w:eastAsia="仿宋_GB2312"/>
          <w:b w:val="0"/>
          <w:sz w:val="32"/>
        </w:rPr>
        <w:t>其中：本年支出合计554.93万元，结余分配0.00万元，年末结转和结余0.00万元。</w:t>
      </w:r>
    </w:p>
    <w:p w14:paraId="2BC21AB8">
      <w:pPr>
        <w:spacing w:line="580" w:lineRule="exact"/>
        <w:ind w:firstLine="640"/>
        <w:jc w:val="both"/>
      </w:pPr>
      <w:r>
        <w:rPr>
          <w:rFonts w:ascii="仿宋_GB2312" w:hAnsi="仿宋_GB2312" w:eastAsia="仿宋_GB2312"/>
          <w:b w:val="0"/>
          <w:sz w:val="32"/>
        </w:rPr>
        <w:t>收入支出总体与上年相比，减少99.65万元，下降15.22%，主要原因是：本年减少乌鲁木齐市服务管理中心专项、关爱慰问老干部工作等项目经费，导致相关经费减少。</w:t>
      </w:r>
    </w:p>
    <w:p w14:paraId="1AA0EE3A">
      <w:pPr>
        <w:spacing w:line="640" w:lineRule="exact"/>
        <w:ind w:firstLine="640"/>
        <w:jc w:val="both"/>
        <w:outlineLvl w:val="2"/>
      </w:pPr>
      <w:r>
        <w:rPr>
          <w:rFonts w:ascii="黑体" w:hAnsi="黑体" w:eastAsia="黑体"/>
          <w:sz w:val="32"/>
        </w:rPr>
        <w:t>二、收入决算情况说明</w:t>
      </w:r>
    </w:p>
    <w:p w14:paraId="5B163CBA">
      <w:pPr>
        <w:spacing w:line="580" w:lineRule="exact"/>
        <w:ind w:firstLine="640"/>
        <w:jc w:val="both"/>
      </w:pPr>
      <w:r>
        <w:rPr>
          <w:rFonts w:ascii="仿宋_GB2312" w:hAnsi="仿宋_GB2312" w:eastAsia="仿宋_GB2312"/>
          <w:b/>
          <w:sz w:val="32"/>
        </w:rPr>
        <w:t>本年收入554.93万元，</w:t>
      </w:r>
      <w:r>
        <w:rPr>
          <w:rFonts w:ascii="仿宋_GB2312" w:hAnsi="仿宋_GB2312" w:eastAsia="仿宋_GB2312"/>
          <w:b w:val="0"/>
          <w:sz w:val="32"/>
        </w:rPr>
        <w:t>其中：财政拨款收入554.93万元，占100.00%；上级补助收入0.00万元，占0.00%；事业收入0.00万元，占0.00%；经营收入0.00万元，占0.00%；附属单位上缴收入0.00万元，占0.00%；其他收入0.00万元，占0.00%。</w:t>
      </w:r>
    </w:p>
    <w:p w14:paraId="240CEF51">
      <w:pPr>
        <w:spacing w:line="640" w:lineRule="exact"/>
        <w:ind w:firstLine="640"/>
        <w:jc w:val="both"/>
        <w:outlineLvl w:val="2"/>
      </w:pPr>
      <w:r>
        <w:rPr>
          <w:rFonts w:ascii="黑体" w:hAnsi="黑体" w:eastAsia="黑体"/>
          <w:sz w:val="32"/>
        </w:rPr>
        <w:t>三、支出决算情况说明</w:t>
      </w:r>
    </w:p>
    <w:p w14:paraId="6C7E6B84">
      <w:pPr>
        <w:spacing w:line="580" w:lineRule="exact"/>
        <w:ind w:firstLine="640"/>
        <w:jc w:val="both"/>
      </w:pPr>
      <w:r>
        <w:rPr>
          <w:rFonts w:ascii="仿宋_GB2312" w:hAnsi="仿宋_GB2312" w:eastAsia="仿宋_GB2312"/>
          <w:b/>
          <w:sz w:val="32"/>
        </w:rPr>
        <w:t>本年支出554.93万元，</w:t>
      </w:r>
      <w:r>
        <w:rPr>
          <w:rFonts w:ascii="仿宋_GB2312" w:hAnsi="仿宋_GB2312" w:eastAsia="仿宋_GB2312"/>
          <w:b w:val="0"/>
          <w:sz w:val="32"/>
        </w:rPr>
        <w:t>其中：基本支出427.59万元，占77.05%；项目支出127.34万元，占22.95%；上缴上级支出0.00万元，占0.00%；经营支出0.00万元，占0.00%；对附属单位补助支出0.00万元，占0.00%。</w:t>
      </w:r>
    </w:p>
    <w:p w14:paraId="5E63DC77">
      <w:pPr>
        <w:spacing w:line="640" w:lineRule="exact"/>
        <w:ind w:firstLine="640"/>
        <w:jc w:val="both"/>
        <w:outlineLvl w:val="2"/>
      </w:pPr>
      <w:r>
        <w:rPr>
          <w:rFonts w:ascii="黑体" w:hAnsi="黑体" w:eastAsia="黑体"/>
          <w:sz w:val="32"/>
        </w:rPr>
        <w:t>四、财政拨款收入支出决算总体情况说明</w:t>
      </w:r>
    </w:p>
    <w:p w14:paraId="0586A893">
      <w:pPr>
        <w:spacing w:line="580" w:lineRule="exact"/>
        <w:ind w:firstLine="640"/>
        <w:jc w:val="both"/>
      </w:pPr>
      <w:r>
        <w:rPr>
          <w:rFonts w:ascii="仿宋_GB2312" w:hAnsi="仿宋_GB2312" w:eastAsia="仿宋_GB2312"/>
          <w:b/>
          <w:sz w:val="32"/>
        </w:rPr>
        <w:t>2024年度财政拨款收入总计554.93万元，</w:t>
      </w:r>
      <w:r>
        <w:rPr>
          <w:rFonts w:ascii="仿宋_GB2312" w:hAnsi="仿宋_GB2312" w:eastAsia="仿宋_GB2312"/>
          <w:b w:val="0"/>
          <w:sz w:val="32"/>
        </w:rPr>
        <w:t>其中：年初财政拨款结转和结余0.00万元，本年财政拨款收入554.93万元。</w:t>
      </w:r>
      <w:r>
        <w:rPr>
          <w:rFonts w:ascii="仿宋_GB2312" w:hAnsi="仿宋_GB2312" w:eastAsia="仿宋_GB2312"/>
          <w:b/>
          <w:sz w:val="32"/>
        </w:rPr>
        <w:t>财政拨款支出总计554.93万元，</w:t>
      </w:r>
      <w:r>
        <w:rPr>
          <w:rFonts w:ascii="仿宋_GB2312" w:hAnsi="仿宋_GB2312" w:eastAsia="仿宋_GB2312"/>
          <w:b w:val="0"/>
          <w:sz w:val="32"/>
        </w:rPr>
        <w:t>其中：年末财政拨款结转和结余0.00万元，本年财政拨款支出554.93万元。</w:t>
      </w:r>
    </w:p>
    <w:p w14:paraId="147076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减少63.93万元，下降10.33%，主要原因是：本年减少乌鲁木齐市服务管理中心专项、关爱慰问老干部工作等项目经费，导致相关经费减少。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年初预算数553.36万元，决算数554.93万元，预决算差异率0.28%，主要原因是：年中追加人员工资、社保、公积金基数调增部分资金，导致预决算存在差异。</w:t>
      </w:r>
    </w:p>
    <w:p w14:paraId="5D7F4B25">
      <w:pPr>
        <w:spacing w:line="640" w:lineRule="exact"/>
        <w:ind w:firstLine="640"/>
        <w:jc w:val="both"/>
        <w:outlineLvl w:val="2"/>
      </w:pPr>
      <w:r>
        <w:rPr>
          <w:rFonts w:ascii="黑体" w:hAnsi="黑体" w:eastAsia="黑体"/>
          <w:sz w:val="32"/>
        </w:rPr>
        <w:t>五、一般公共预算财政拨款支出决算情况说明</w:t>
      </w:r>
    </w:p>
    <w:p w14:paraId="3CA1D121">
      <w:pPr>
        <w:spacing w:line="640" w:lineRule="exact"/>
        <w:ind w:firstLine="640"/>
        <w:jc w:val="both"/>
        <w:outlineLvl w:val="3"/>
      </w:pPr>
      <w:r>
        <w:rPr>
          <w:rFonts w:ascii="楷体_GB2312" w:hAnsi="楷体_GB2312" w:eastAsia="楷体_GB2312"/>
          <w:b/>
          <w:sz w:val="32"/>
        </w:rPr>
        <w:t>（一）一般公共预算财政拨款支出决算总体情况</w:t>
      </w:r>
    </w:p>
    <w:p w14:paraId="279DC766">
      <w:pPr>
        <w:spacing w:line="580" w:lineRule="exact"/>
        <w:ind w:firstLine="640"/>
        <w:jc w:val="both"/>
      </w:pPr>
      <w:r>
        <w:rPr>
          <w:rFonts w:ascii="仿宋_GB2312" w:hAnsi="仿宋_GB2312" w:eastAsia="仿宋_GB2312"/>
          <w:b/>
          <w:sz w:val="32"/>
        </w:rPr>
        <w:t>2024年度一般公共预算财政拨款支出554.93万元，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减少63.93万元，下降10.33%，主要原因是：本年减少乌鲁木齐市服务管理中心专项、关爱慰问老干部工作等项目经费，导致相关经费减少。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年初预算数553.36万元，决算数554.93万元，预决算差异率0.28%，主要原因是：年中追加人员工资、社保、公积金基数调增部分资金，导致预决算存在差异。</w:t>
      </w:r>
    </w:p>
    <w:p w14:paraId="2E1C1D69">
      <w:pPr>
        <w:spacing w:line="640" w:lineRule="exact"/>
        <w:ind w:firstLine="640"/>
        <w:jc w:val="both"/>
        <w:outlineLvl w:val="3"/>
      </w:pPr>
      <w:r>
        <w:rPr>
          <w:rFonts w:ascii="楷体_GB2312" w:hAnsi="楷体_GB2312" w:eastAsia="楷体_GB2312"/>
          <w:b/>
          <w:sz w:val="32"/>
        </w:rPr>
        <w:t>（二）一般公共预算财政拨款支出决算结构情况</w:t>
      </w:r>
    </w:p>
    <w:p w14:paraId="5FA0061D">
      <w:pPr>
        <w:spacing w:line="580" w:lineRule="exact"/>
        <w:ind w:firstLine="640"/>
        <w:jc w:val="both"/>
      </w:pPr>
      <w:r>
        <w:rPr>
          <w:rFonts w:ascii="仿宋_GB2312" w:hAnsi="仿宋_GB2312" w:eastAsia="仿宋_GB2312"/>
          <w:b w:val="0"/>
          <w:sz w:val="32"/>
        </w:rPr>
        <w:t>1.一般公共服务支出(类)462.65万元,占83.37%。</w:t>
      </w:r>
    </w:p>
    <w:p w14:paraId="0003D38D">
      <w:pPr>
        <w:spacing w:line="580" w:lineRule="exact"/>
        <w:ind w:firstLine="640"/>
        <w:jc w:val="both"/>
      </w:pPr>
      <w:r>
        <w:rPr>
          <w:rFonts w:ascii="仿宋_GB2312" w:hAnsi="仿宋_GB2312" w:eastAsia="仿宋_GB2312"/>
          <w:b w:val="0"/>
          <w:sz w:val="32"/>
        </w:rPr>
        <w:t>2.社会保障和就业支出(类)47.13万元,占8.49%。</w:t>
      </w:r>
    </w:p>
    <w:p w14:paraId="7925ACFE">
      <w:pPr>
        <w:spacing w:line="580" w:lineRule="exact"/>
        <w:ind w:firstLine="640"/>
        <w:jc w:val="both"/>
      </w:pPr>
      <w:r>
        <w:rPr>
          <w:rFonts w:ascii="仿宋_GB2312" w:hAnsi="仿宋_GB2312" w:eastAsia="仿宋_GB2312"/>
          <w:b w:val="0"/>
          <w:sz w:val="32"/>
        </w:rPr>
        <w:t>3.卫生健康支出(类)16.73万元,占3.01%。</w:t>
      </w:r>
    </w:p>
    <w:p w14:paraId="7E24001F">
      <w:pPr>
        <w:spacing w:line="580" w:lineRule="exact"/>
        <w:ind w:firstLine="640"/>
        <w:jc w:val="both"/>
      </w:pPr>
      <w:r>
        <w:rPr>
          <w:rFonts w:ascii="仿宋_GB2312" w:hAnsi="仿宋_GB2312" w:eastAsia="仿宋_GB2312"/>
          <w:b w:val="0"/>
          <w:sz w:val="32"/>
        </w:rPr>
        <w:t>4.住房保障支出(类)28.42万元,占5.12%。</w:t>
      </w:r>
    </w:p>
    <w:p w14:paraId="5E8B9F4A">
      <w:pPr>
        <w:spacing w:line="640" w:lineRule="exact"/>
        <w:ind w:firstLine="640"/>
        <w:jc w:val="both"/>
        <w:outlineLvl w:val="3"/>
      </w:pPr>
      <w:r>
        <w:rPr>
          <w:rFonts w:ascii="楷体_GB2312" w:hAnsi="楷体_GB2312" w:eastAsia="楷体_GB2312"/>
          <w:b/>
          <w:sz w:val="32"/>
        </w:rPr>
        <w:t>（三）一般公共预算财政拨款支出决算具体情况</w:t>
      </w:r>
    </w:p>
    <w:p w14:paraId="6C83B0EE">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1.一般公共服务支出(类)党委办公厅（室）及相关机构事务(款)行政运行(项):支出决算数为335.31万元，比上年决算增加14.42万元，增长4.49%,主要原因是：本年在职人员工资调增，导致相关人员经费较上年有所增加。</w:t>
      </w:r>
    </w:p>
    <w:p w14:paraId="02B068B2">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127.28万元，比上年决算减少86.22万元，下降40.38%,主要原因是：本年减少乌鲁木齐市服务管理中心专项、关爱慰问老干部工作等项目经费，导致相关经费减少。</w:t>
      </w:r>
    </w:p>
    <w:p w14:paraId="16ED17E1">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0.05万元，比上年决算增加0.05万元，增长100.00%,主要原因是：本年科目调整，专项项目经费上年在其他支出科目列支，本年调整至其他党委办公厅（室）及相关机构事务支出科目列支，导致相关经费增加。</w:t>
      </w:r>
    </w:p>
    <w:p w14:paraId="01CF3FA7">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4.社会保障和就业支出(类)行政事业单位养老支出(款)行政单位离退休(项):支出决算数为14.00万元，比上年决算增加2.66万元，增长23.46%,主要原因是：本年增加退休人员基础绩效奖，退休费支出增加。</w:t>
      </w:r>
    </w:p>
    <w:p w14:paraId="68E81BAF">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33.13万元，比上年决算增加2.24万元，增长7.25%,主要原因是：本年在职人员工资基数调增，养老缴费基数上涨，相应支出增加。</w:t>
      </w:r>
    </w:p>
    <w:p w14:paraId="25AA0FFB">
      <w:pPr>
        <w:spacing w:line="580" w:lineRule="exact"/>
        <w:ind w:firstLine="640"/>
        <w:jc w:val="both"/>
      </w:pPr>
      <w:r>
        <w:rPr>
          <w:rFonts w:ascii="仿宋_GB2312" w:hAnsi="仿宋_GB2312" w:eastAsia="仿宋_GB2312"/>
          <w:b w:val="0"/>
          <w:sz w:val="32"/>
        </w:rPr>
        <w:t>6.卫生健康支出(类)行政事业单位医疗(款)行政单位医疗(项):支出决算数为14.08万元，比上年决算增加0.95万元，增长7.24%,主要原因是：本年在职人员工资基数调增，医疗缴费基数上涨，相应支出增加。</w:t>
      </w:r>
    </w:p>
    <w:p w14:paraId="2AFA6F5A">
      <w:pPr>
        <w:spacing w:line="580" w:lineRule="exact"/>
        <w:ind w:firstLine="640"/>
        <w:jc w:val="both"/>
      </w:pPr>
      <w:r>
        <w:rPr>
          <w:rFonts w:ascii="仿宋_GB2312" w:hAnsi="仿宋_GB2312" w:eastAsia="仿宋_GB2312"/>
          <w:b w:val="0"/>
          <w:sz w:val="32"/>
        </w:rPr>
        <w:t>7.卫生健康支出(类)行政事业单位医疗(款)公务员医疗补助(项):支出决算数为2.65万元，比上年决算增加0.04万元，增长1.53%,主要原因是：本年在职人员工资基数调增，医疗缴费基数上涨，相应支出增加。</w:t>
      </w:r>
    </w:p>
    <w:p w14:paraId="4890D233">
      <w:pPr>
        <w:spacing w:line="580" w:lineRule="exact"/>
        <w:ind w:firstLine="640"/>
        <w:jc w:val="both"/>
      </w:pPr>
      <w:r>
        <w:rPr>
          <w:rFonts w:ascii="仿宋_GB2312" w:hAnsi="仿宋_GB2312" w:eastAsia="仿宋_GB2312"/>
          <w:b w:val="0"/>
          <w:sz w:val="32"/>
        </w:rPr>
        <w:t>8.住房保障支出(类)住房改革支出(款)住房公积金(项):支出决算数为28.42万元，比上年决算增加2.84万元，增长11.10%,主要原因是：本年在职人员工资基数调增，公积金缴费基数上涨，相应支出增加。</w:t>
      </w:r>
    </w:p>
    <w:p w14:paraId="1AD4A698">
      <w:pPr>
        <w:spacing w:line="580" w:lineRule="exact"/>
        <w:ind w:firstLine="640"/>
        <w:jc w:val="both"/>
      </w:pPr>
      <w:r>
        <w:rPr>
          <w:rFonts w:ascii="仿宋_GB2312" w:hAnsi="仿宋_GB2312" w:eastAsia="仿宋_GB2312"/>
          <w:b w:val="0"/>
          <w:sz w:val="32"/>
        </w:rPr>
        <w:t>9.其他支出(类)其他支出(款)其他支出(项):支出决算数为0.00万元，比上年决算减少0.93万元，下降100.00%,主要原因是：本年科目调整，专项项目经费上年在其他支出科目列支，本年调整至其他党委办公厅（室）及相关机构事务支出科目列支，导致相关经费减少。</w:t>
      </w:r>
    </w:p>
    <w:p w14:paraId="3156794D">
      <w:pPr>
        <w:spacing w:line="640" w:lineRule="exact"/>
        <w:ind w:firstLine="640"/>
        <w:jc w:val="both"/>
        <w:outlineLvl w:val="2"/>
      </w:pPr>
      <w:r>
        <w:rPr>
          <w:rFonts w:ascii="黑体" w:hAnsi="黑体" w:eastAsia="黑体"/>
          <w:sz w:val="32"/>
        </w:rPr>
        <w:t>六、一般公共预算财政拨款基本支出决算情况说明</w:t>
      </w:r>
    </w:p>
    <w:p w14:paraId="2117BF2C">
      <w:pPr>
        <w:spacing w:line="580" w:lineRule="exact"/>
        <w:ind w:firstLine="640"/>
        <w:jc w:val="both"/>
      </w:pPr>
      <w:r>
        <w:rPr>
          <w:rFonts w:ascii="仿宋_GB2312" w:hAnsi="仿宋_GB2312" w:eastAsia="仿宋_GB2312"/>
          <w:b w:val="0"/>
          <w:sz w:val="32"/>
        </w:rPr>
        <w:t>2024年度一般公共预算财政拨款基本支出427.59万元，其中：</w:t>
      </w:r>
      <w:r>
        <w:rPr>
          <w:rFonts w:ascii="仿宋_GB2312" w:hAnsi="仿宋_GB2312" w:eastAsia="仿宋_GB2312"/>
          <w:b/>
          <w:sz w:val="32"/>
        </w:rPr>
        <w:t>人员经费393.02万元，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14:paraId="6F20997A">
      <w:pPr>
        <w:spacing w:line="580" w:lineRule="exact"/>
        <w:ind w:firstLine="640"/>
        <w:jc w:val="both"/>
      </w:pPr>
      <w:r>
        <w:rPr>
          <w:rFonts w:ascii="仿宋_GB2312" w:hAnsi="仿宋_GB2312" w:eastAsia="仿宋_GB2312"/>
          <w:b/>
          <w:sz w:val="32"/>
        </w:rPr>
        <w:t>公用经费34.57万元，</w:t>
      </w:r>
      <w:r>
        <w:rPr>
          <w:rFonts w:ascii="仿宋_GB2312" w:hAnsi="仿宋_GB2312" w:eastAsia="仿宋_GB2312"/>
          <w:b w:val="0"/>
          <w:sz w:val="32"/>
        </w:rPr>
        <w:t>包括：办公费、邮电费、取暖费、差旅费、维修（护）费、专用材料费、劳务费、工会经费、其他交通费用、其他商品和服务支出。</w:t>
      </w:r>
    </w:p>
    <w:p w14:paraId="72B1736A">
      <w:pPr>
        <w:spacing w:line="640" w:lineRule="exact"/>
        <w:ind w:firstLine="640"/>
        <w:jc w:val="both"/>
        <w:outlineLvl w:val="2"/>
      </w:pPr>
      <w:r>
        <w:rPr>
          <w:rFonts w:ascii="黑体" w:hAnsi="黑体" w:eastAsia="黑体"/>
          <w:sz w:val="32"/>
        </w:rPr>
        <w:t>七、政府性基金预算财政拨款收入支出决算情况说明</w:t>
      </w:r>
    </w:p>
    <w:p w14:paraId="749CBC3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3AFFD69">
      <w:pPr>
        <w:spacing w:line="640" w:lineRule="exact"/>
        <w:ind w:firstLine="640"/>
        <w:jc w:val="both"/>
        <w:outlineLvl w:val="2"/>
      </w:pPr>
      <w:r>
        <w:rPr>
          <w:rFonts w:ascii="黑体" w:hAnsi="黑体" w:eastAsia="黑体"/>
          <w:sz w:val="32"/>
        </w:rPr>
        <w:t>八、国有资本经营预算财政拨款收入支出决算情况说明</w:t>
      </w:r>
    </w:p>
    <w:p w14:paraId="5E659FE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B7AF17">
      <w:pPr>
        <w:spacing w:line="640" w:lineRule="exact"/>
        <w:ind w:firstLine="640"/>
        <w:jc w:val="both"/>
        <w:outlineLvl w:val="2"/>
      </w:pPr>
      <w:r>
        <w:rPr>
          <w:rFonts w:ascii="黑体" w:hAnsi="黑体" w:eastAsia="黑体"/>
          <w:sz w:val="32"/>
        </w:rPr>
        <w:t>九、财政拨款“三公”经费支出决算情况说明</w:t>
      </w:r>
    </w:p>
    <w:p w14:paraId="5EC47BF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A865D23">
      <w:pPr>
        <w:spacing w:line="580" w:lineRule="exact"/>
        <w:ind w:firstLine="640"/>
        <w:jc w:val="both"/>
      </w:pPr>
      <w:r>
        <w:rPr>
          <w:rFonts w:ascii="仿宋_GB2312" w:hAnsi="仿宋_GB2312" w:eastAsia="仿宋_GB2312"/>
          <w:b/>
          <w:sz w:val="32"/>
        </w:rPr>
        <w:t>具体情况如下：</w:t>
      </w:r>
    </w:p>
    <w:p w14:paraId="2D531C4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28A525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232059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C89D7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38A7E7">
      <w:pPr>
        <w:spacing w:line="640" w:lineRule="exact"/>
        <w:ind w:firstLine="640"/>
        <w:jc w:val="both"/>
        <w:outlineLvl w:val="2"/>
      </w:pPr>
      <w:r>
        <w:rPr>
          <w:rFonts w:ascii="黑体" w:hAnsi="黑体" w:eastAsia="黑体"/>
          <w:sz w:val="32"/>
        </w:rPr>
        <w:t>十、其他重要事项的情况说明</w:t>
      </w:r>
    </w:p>
    <w:p w14:paraId="24C84F56">
      <w:pPr>
        <w:spacing w:line="640" w:lineRule="exact"/>
        <w:ind w:firstLine="640"/>
        <w:jc w:val="both"/>
        <w:outlineLvl w:val="3"/>
      </w:pPr>
      <w:r>
        <w:rPr>
          <w:rFonts w:ascii="楷体_GB2312" w:hAnsi="楷体_GB2312" w:eastAsia="楷体_GB2312"/>
          <w:b/>
          <w:sz w:val="32"/>
        </w:rPr>
        <w:t>（一）机关运行经费及公用经费支出情况</w:t>
      </w:r>
    </w:p>
    <w:p w14:paraId="1AF6921A">
      <w:pPr>
        <w:spacing w:line="580" w:lineRule="exact"/>
        <w:ind w:firstLine="640"/>
        <w:jc w:val="both"/>
      </w:pPr>
      <w:r>
        <w:rPr>
          <w:rFonts w:ascii="仿宋_GB2312" w:hAnsi="仿宋_GB2312" w:eastAsia="仿宋_GB2312"/>
          <w:b w:val="0"/>
          <w:sz w:val="32"/>
        </w:rPr>
        <w:t>2024年度中共喀什地委老干部局（行政单位和参照公务员法管理事业单位）机关运行经费支出34.57万元，比上年减少22.69万元，下降39.63%，主要原因是：本年取暖费支出减少，导致机关运行经费减少。</w:t>
      </w:r>
    </w:p>
    <w:p w14:paraId="5DE9F9A0">
      <w:pPr>
        <w:spacing w:line="640" w:lineRule="exact"/>
        <w:ind w:firstLine="640"/>
        <w:jc w:val="both"/>
        <w:outlineLvl w:val="3"/>
      </w:pPr>
      <w:r>
        <w:rPr>
          <w:rFonts w:ascii="楷体_GB2312" w:hAnsi="楷体_GB2312" w:eastAsia="楷体_GB2312"/>
          <w:b/>
          <w:sz w:val="32"/>
        </w:rPr>
        <w:t>（二）政府采购情况</w:t>
      </w:r>
    </w:p>
    <w:p w14:paraId="5C2B9447">
      <w:pPr>
        <w:spacing w:line="580" w:lineRule="exact"/>
        <w:ind w:firstLine="640"/>
        <w:jc w:val="both"/>
      </w:pPr>
      <w:r>
        <w:rPr>
          <w:rFonts w:ascii="仿宋_GB2312" w:hAnsi="仿宋_GB2312" w:eastAsia="仿宋_GB2312"/>
          <w:b w:val="0"/>
          <w:sz w:val="32"/>
        </w:rPr>
        <w:t>2024年度政府采购支出总额36.98万元，其中：政府采购货物支出16.62万元、政府采购工程支出1.30万元、政府采购服务支出19.07万元。</w:t>
      </w:r>
    </w:p>
    <w:p w14:paraId="665D594A">
      <w:pPr>
        <w:spacing w:line="580" w:lineRule="exact"/>
        <w:ind w:firstLine="640"/>
        <w:jc w:val="both"/>
      </w:pPr>
      <w:r>
        <w:rPr>
          <w:rFonts w:ascii="仿宋_GB2312" w:hAnsi="仿宋_GB2312" w:eastAsia="仿宋_GB2312"/>
          <w:b w:val="0"/>
          <w:sz w:val="32"/>
        </w:rPr>
        <w:t>授予中小企业合同金额36.98万元，占政府采购支出总额的100.00%，其中：授予小微企业合同金额35.43万元，占政府采购支出总额的95.81%。</w:t>
      </w:r>
    </w:p>
    <w:p w14:paraId="6C29F1F7">
      <w:pPr>
        <w:spacing w:line="640" w:lineRule="exact"/>
        <w:ind w:firstLine="640"/>
        <w:jc w:val="both"/>
        <w:outlineLvl w:val="3"/>
      </w:pPr>
      <w:r>
        <w:rPr>
          <w:rFonts w:ascii="楷体_GB2312" w:hAnsi="楷体_GB2312" w:eastAsia="楷体_GB2312"/>
          <w:b/>
          <w:sz w:val="32"/>
        </w:rPr>
        <w:t>（三）国有资产占用情况说明</w:t>
      </w:r>
    </w:p>
    <w:p w14:paraId="6000C82F">
      <w:pPr>
        <w:spacing w:line="580" w:lineRule="exact"/>
        <w:ind w:firstLine="640"/>
        <w:jc w:val="both"/>
      </w:pPr>
      <w:r>
        <w:rPr>
          <w:rFonts w:ascii="仿宋_GB2312" w:hAnsi="仿宋_GB2312" w:eastAsia="仿宋_GB2312"/>
          <w:b w:val="0"/>
          <w:sz w:val="32"/>
        </w:rPr>
        <w:t>截至2024年12月31日，房屋8,000.00平方米，价值2,938.82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99CED64">
      <w:pPr>
        <w:spacing w:line="640" w:lineRule="exact"/>
        <w:ind w:firstLine="640"/>
        <w:jc w:val="both"/>
        <w:outlineLvl w:val="2"/>
      </w:pPr>
      <w:r>
        <w:rPr>
          <w:rFonts w:ascii="黑体" w:hAnsi="黑体" w:eastAsia="黑体"/>
          <w:sz w:val="32"/>
        </w:rPr>
        <w:t>十一、预算绩效的情况说明</w:t>
      </w:r>
    </w:p>
    <w:p w14:paraId="35C72F7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569.95万元，实际执行总额554.93万元；预算绩效评价项目6个，全年预算数128.06万元，全年执行数117.57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w:t>
      </w:r>
      <w:r>
        <w:rPr>
          <w:rFonts w:hint="eastAsia" w:ascii="仿宋_GB2312" w:hAnsi="仿宋_GB2312" w:eastAsia="仿宋_GB2312"/>
          <w:b w:val="0"/>
          <w:sz w:val="32"/>
          <w:lang w:val="en-US" w:eastAsia="zh-CN"/>
        </w:rPr>
        <w:t>一</w:t>
      </w:r>
      <w:r>
        <w:rPr>
          <w:rFonts w:ascii="仿宋_GB2312" w:hAnsi="仿宋_GB2312" w:eastAsia="仿宋_GB2312"/>
          <w:b w:val="0"/>
          <w:sz w:val="32"/>
        </w:rPr>
        <w:t>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4019AE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B709C9">
        <w:tblPrEx>
          <w:tblCellMar>
            <w:top w:w="0" w:type="dxa"/>
            <w:left w:w="108" w:type="dxa"/>
            <w:bottom w:w="0" w:type="dxa"/>
            <w:right w:w="108" w:type="dxa"/>
          </w:tblCellMar>
        </w:tblPrEx>
        <w:tc>
          <w:tcPr>
            <w:tcW w:w="8847" w:type="dxa"/>
            <w:gridSpan w:val="9"/>
            <w:vAlign w:val="center"/>
          </w:tcPr>
          <w:p w14:paraId="33A5F1D1">
            <w:pPr>
              <w:jc w:val="center"/>
            </w:pPr>
            <w:r>
              <w:rPr>
                <w:rFonts w:ascii="宋体" w:hAnsi="宋体" w:eastAsia="宋体"/>
                <w:sz w:val="24"/>
              </w:rPr>
              <w:t>单位整体支出绩效自评表</w:t>
            </w:r>
          </w:p>
        </w:tc>
      </w:tr>
      <w:tr w14:paraId="75425329">
        <w:tblPrEx>
          <w:tblCellMar>
            <w:top w:w="0" w:type="dxa"/>
            <w:left w:w="108" w:type="dxa"/>
            <w:bottom w:w="0" w:type="dxa"/>
            <w:right w:w="108" w:type="dxa"/>
          </w:tblCellMar>
        </w:tblPrEx>
        <w:tc>
          <w:tcPr>
            <w:tcW w:w="8847" w:type="dxa"/>
            <w:gridSpan w:val="9"/>
            <w:vAlign w:val="center"/>
          </w:tcPr>
          <w:p w14:paraId="68F52EE1">
            <w:pPr>
              <w:jc w:val="center"/>
            </w:pPr>
            <w:r>
              <w:rPr>
                <w:rFonts w:ascii="宋体" w:hAnsi="宋体" w:eastAsia="宋体"/>
                <w:sz w:val="24"/>
              </w:rPr>
              <w:t>（2024年度）</w:t>
            </w:r>
          </w:p>
        </w:tc>
      </w:tr>
      <w:tr w14:paraId="6551AA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F72F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5A5B6F">
            <w:pPr>
              <w:jc w:val="center"/>
            </w:pPr>
            <w:r>
              <w:rPr>
                <w:rFonts w:ascii="宋体" w:hAnsi="宋体" w:eastAsia="宋体"/>
                <w:sz w:val="16"/>
              </w:rPr>
              <w:t>中共喀什地委老干部局</w:t>
            </w:r>
          </w:p>
        </w:tc>
      </w:tr>
      <w:tr w14:paraId="1F7B39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6673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BB4E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9B3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67B5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A02E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910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8759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0B541">
            <w:pPr>
              <w:jc w:val="center"/>
            </w:pPr>
            <w:r>
              <w:rPr>
                <w:rFonts w:ascii="宋体" w:hAnsi="宋体" w:eastAsia="宋体"/>
                <w:sz w:val="16"/>
              </w:rPr>
              <w:t>得分</w:t>
            </w:r>
          </w:p>
        </w:tc>
      </w:tr>
      <w:tr w14:paraId="268013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D42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B9A4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658CE">
            <w:pPr>
              <w:jc w:val="center"/>
            </w:pPr>
            <w:r>
              <w:rPr>
                <w:rFonts w:ascii="宋体" w:hAnsi="宋体" w:eastAsia="宋体"/>
                <w:sz w:val="16"/>
              </w:rPr>
              <w:t>553.36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4F1B7">
            <w:pPr>
              <w:jc w:val="center"/>
            </w:pPr>
            <w:r>
              <w:rPr>
                <w:rFonts w:ascii="宋体" w:hAnsi="宋体" w:eastAsia="宋体"/>
                <w:sz w:val="16"/>
              </w:rPr>
              <w:t>569.95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5248D">
            <w:pPr>
              <w:jc w:val="center"/>
            </w:pPr>
            <w:r>
              <w:rPr>
                <w:rFonts w:ascii="宋体" w:hAnsi="宋体" w:eastAsia="宋体"/>
                <w:sz w:val="16"/>
              </w:rPr>
              <w:t>554.93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768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9A78">
            <w:pPr>
              <w:jc w:val="center"/>
            </w:pPr>
            <w:r>
              <w:rPr>
                <w:rFonts w:ascii="宋体" w:hAnsi="宋体" w:eastAsia="宋体"/>
                <w:sz w:val="16"/>
              </w:rPr>
              <w:t>97.36%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26C85">
            <w:pPr>
              <w:jc w:val="center"/>
            </w:pPr>
            <w:r>
              <w:rPr>
                <w:rFonts w:ascii="宋体" w:hAnsi="宋体" w:eastAsia="宋体"/>
                <w:sz w:val="16"/>
              </w:rPr>
              <w:t>9.74</w:t>
            </w:r>
          </w:p>
        </w:tc>
      </w:tr>
      <w:tr w14:paraId="7A6711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5CCE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AA67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CBA03">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517AA">
            <w:pPr>
              <w:jc w:val="center"/>
            </w:pPr>
            <w:r>
              <w:rPr>
                <w:rFonts w:ascii="宋体" w:hAnsi="宋体" w:eastAsia="宋体"/>
                <w:sz w:val="16"/>
              </w:rPr>
              <w:t>37.94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FCA41">
            <w:pPr>
              <w:jc w:val="center"/>
            </w:pPr>
            <w:r>
              <w:rPr>
                <w:rFonts w:ascii="宋体" w:hAnsi="宋体" w:eastAsia="宋体"/>
                <w:sz w:val="16"/>
              </w:rPr>
              <w:t>32.96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3AE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DD5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A0F28">
            <w:pPr>
              <w:jc w:val="center"/>
            </w:pPr>
            <w:r>
              <w:rPr>
                <w:rFonts w:ascii="宋体" w:hAnsi="宋体" w:eastAsia="宋体"/>
                <w:sz w:val="16"/>
              </w:rPr>
              <w:t>—</w:t>
            </w:r>
          </w:p>
        </w:tc>
      </w:tr>
      <w:tr w14:paraId="140F54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F2E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B44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B3EA">
            <w:pPr>
              <w:jc w:val="center"/>
            </w:pPr>
            <w:r>
              <w:rPr>
                <w:rFonts w:ascii="宋体" w:hAnsi="宋体" w:eastAsia="宋体"/>
                <w:sz w:val="16"/>
              </w:rPr>
              <w:t>551.88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8F3A5">
            <w:pPr>
              <w:jc w:val="center"/>
            </w:pPr>
            <w:r>
              <w:rPr>
                <w:rFonts w:ascii="宋体" w:hAnsi="宋体" w:eastAsia="宋体"/>
                <w:sz w:val="16"/>
              </w:rPr>
              <w:t>532.01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86697">
            <w:pPr>
              <w:jc w:val="center"/>
            </w:pPr>
            <w:r>
              <w:rPr>
                <w:rFonts w:ascii="宋体" w:hAnsi="宋体" w:eastAsia="宋体"/>
                <w:sz w:val="16"/>
              </w:rPr>
              <w:t>521.97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8D9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4957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6FD8">
            <w:pPr>
              <w:jc w:val="center"/>
            </w:pPr>
            <w:r>
              <w:rPr>
                <w:rFonts w:ascii="宋体" w:hAnsi="宋体" w:eastAsia="宋体"/>
                <w:sz w:val="16"/>
              </w:rPr>
              <w:t>—</w:t>
            </w:r>
          </w:p>
        </w:tc>
      </w:tr>
      <w:tr w14:paraId="23D9EC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04C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B4C6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13D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30D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31B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519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0AB8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9DB0">
            <w:pPr>
              <w:jc w:val="center"/>
            </w:pPr>
            <w:r>
              <w:rPr>
                <w:rFonts w:ascii="宋体" w:hAnsi="宋体" w:eastAsia="宋体"/>
                <w:sz w:val="16"/>
              </w:rPr>
              <w:t>—</w:t>
            </w:r>
          </w:p>
        </w:tc>
      </w:tr>
      <w:tr w14:paraId="4AB49A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F4F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D9CB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096026">
            <w:pPr>
              <w:jc w:val="center"/>
            </w:pPr>
            <w:r>
              <w:rPr>
                <w:rFonts w:ascii="宋体" w:hAnsi="宋体" w:eastAsia="宋体"/>
                <w:sz w:val="16"/>
              </w:rPr>
              <w:t>实际完成情况</w:t>
            </w:r>
          </w:p>
        </w:tc>
      </w:tr>
      <w:tr w14:paraId="1105F1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01D81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38DF56">
            <w:pPr>
              <w:jc w:val="both"/>
            </w:pPr>
            <w:r>
              <w:rPr>
                <w:rFonts w:ascii="宋体" w:hAnsi="宋体" w:eastAsia="宋体"/>
                <w:sz w:val="16"/>
              </w:rPr>
              <w:t>地委老干部局以习近平新时代中国特色社会主义思想为指导，全面落实新时代党的建设总要求，贯彻落实党中央、自治区党委关于离退休干部工作的方针政策和决策部署以及地委工作要求，在履行职责过程中坚持和加强党对离退休干部工作的集中统一领导。做好重点节日慰问工作3次，特殊困难帮扶30人，组织老干部开展参观学习活动和各类文体活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515E8">
            <w:pPr>
              <w:jc w:val="both"/>
            </w:pPr>
            <w:r>
              <w:rPr>
                <w:rFonts w:ascii="宋体" w:hAnsi="宋体" w:eastAsia="宋体"/>
                <w:sz w:val="16"/>
              </w:rPr>
              <w:t>在地委的坚强领导下，在自治区党委老干部局的大力指导下，地委老干部局以加强离退休干部思想政治建设为重点，认真落实老干部政治生活待遇，积极组织发挥老干部优势作用，切实加强部门自身建设，扎实推进老干部各项工作开创新局面。今年做好了春节、古尔邦节和建国75周年的节日慰问工作，特殊困难帮扶30人，切实将党组织的关心关爱送到老干部心中。组织老干部开展参观学习活动2次，开阔了老干部视野，激发了老干部持续助力喀什地区发展建设建言献策的积极性，开展各类文体活动6次，举办健康知识讲座1次，充分展示了新时代老干部永葆初心、积极健康的良好精神面貌。</w:t>
            </w:r>
          </w:p>
        </w:tc>
      </w:tr>
      <w:tr w14:paraId="5FDD49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775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380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3000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8C2C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0E95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C77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D1B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7C2A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ECB3E">
            <w:pPr>
              <w:jc w:val="center"/>
            </w:pPr>
            <w:r>
              <w:rPr>
                <w:rFonts w:ascii="宋体" w:hAnsi="宋体" w:eastAsia="宋体"/>
                <w:sz w:val="16"/>
              </w:rPr>
              <w:t>得分</w:t>
            </w:r>
          </w:p>
        </w:tc>
      </w:tr>
      <w:tr w14:paraId="5CA4A2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24EC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7F96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98359">
            <w:pPr>
              <w:jc w:val="center"/>
            </w:pPr>
            <w:r>
              <w:rPr>
                <w:rFonts w:ascii="宋体" w:hAnsi="宋体" w:eastAsia="宋体"/>
                <w:sz w:val="16"/>
              </w:rPr>
              <w:t>组织老干部参观学习次数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4709E">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F9E48">
            <w:pPr>
              <w:jc w:val="center"/>
            </w:pPr>
            <w:r>
              <w:rPr>
                <w:rFonts w:hint="eastAsia" w:ascii="宋体" w:hAnsi="宋体"/>
                <w:sz w:val="16"/>
                <w:lang w:eastAsia="zh-CN"/>
              </w:rPr>
              <w:t>老干部局</w:t>
            </w:r>
            <w:r>
              <w:rPr>
                <w:rFonts w:ascii="宋体" w:hAnsi="宋体" w:eastAsia="宋体"/>
                <w:sz w:val="16"/>
              </w:rPr>
              <w:t>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2A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A21B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F18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E2A1A">
            <w:pPr>
              <w:jc w:val="center"/>
            </w:pPr>
            <w:r>
              <w:rPr>
                <w:rFonts w:ascii="宋体" w:hAnsi="宋体" w:eastAsia="宋体"/>
                <w:sz w:val="16"/>
              </w:rPr>
              <w:t>20</w:t>
            </w:r>
          </w:p>
        </w:tc>
      </w:tr>
      <w:tr w14:paraId="5E9A6C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9E9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19F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C84B1">
            <w:pPr>
              <w:jc w:val="center"/>
            </w:pPr>
            <w:r>
              <w:rPr>
                <w:rFonts w:ascii="宋体" w:hAnsi="宋体" w:eastAsia="宋体"/>
                <w:sz w:val="16"/>
              </w:rPr>
              <w:t>特殊困难帮扶人数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E565F">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88607">
            <w:pPr>
              <w:jc w:val="center"/>
            </w:pPr>
            <w:r>
              <w:rPr>
                <w:rFonts w:hint="eastAsia" w:ascii="宋体" w:hAnsi="宋体"/>
                <w:sz w:val="16"/>
                <w:lang w:eastAsia="zh-CN"/>
              </w:rPr>
              <w:t>老干部局</w:t>
            </w:r>
            <w:r>
              <w:rPr>
                <w:rFonts w:ascii="宋体" w:hAnsi="宋体" w:eastAsia="宋体"/>
                <w:sz w:val="16"/>
              </w:rPr>
              <w:t>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C38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907CD">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8BE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B41E6">
            <w:pPr>
              <w:jc w:val="center"/>
            </w:pPr>
            <w:r>
              <w:rPr>
                <w:rFonts w:ascii="宋体" w:hAnsi="宋体" w:eastAsia="宋体"/>
                <w:sz w:val="16"/>
              </w:rPr>
              <w:t>20</w:t>
            </w:r>
          </w:p>
        </w:tc>
      </w:tr>
      <w:tr w14:paraId="69DAB9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2E7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3DA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1B591">
            <w:pPr>
              <w:jc w:val="center"/>
            </w:pPr>
            <w:r>
              <w:rPr>
                <w:rFonts w:ascii="宋体" w:hAnsi="宋体" w:eastAsia="宋体"/>
                <w:sz w:val="16"/>
              </w:rPr>
              <w:t>开展节日慰问次数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720A4">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7AFC9">
            <w:pPr>
              <w:jc w:val="center"/>
            </w:pPr>
            <w:r>
              <w:rPr>
                <w:rFonts w:hint="eastAsia" w:ascii="宋体" w:hAnsi="宋体"/>
                <w:sz w:val="16"/>
                <w:lang w:eastAsia="zh-CN"/>
              </w:rPr>
              <w:t>老干部局</w:t>
            </w: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582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AB5B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EB5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F30A">
            <w:pPr>
              <w:jc w:val="center"/>
            </w:pPr>
            <w:r>
              <w:rPr>
                <w:rFonts w:ascii="宋体" w:hAnsi="宋体" w:eastAsia="宋体"/>
                <w:sz w:val="16"/>
              </w:rPr>
              <w:t>20</w:t>
            </w:r>
          </w:p>
        </w:tc>
      </w:tr>
      <w:tr w14:paraId="05435C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9B47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E37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7C23C">
            <w:pPr>
              <w:jc w:val="center"/>
            </w:pPr>
            <w:r>
              <w:rPr>
                <w:rFonts w:ascii="宋体" w:hAnsi="宋体" w:eastAsia="宋体"/>
                <w:sz w:val="16"/>
              </w:rPr>
              <w:t>开展各类文体活动次数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99AA">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FB793">
            <w:pPr>
              <w:jc w:val="center"/>
            </w:pPr>
            <w:r>
              <w:rPr>
                <w:rFonts w:hint="eastAsia" w:ascii="宋体" w:hAnsi="宋体"/>
                <w:sz w:val="16"/>
                <w:lang w:eastAsia="zh-CN"/>
              </w:rPr>
              <w:t>老干部局</w:t>
            </w: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738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9393">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75C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5C04E">
            <w:pPr>
              <w:jc w:val="center"/>
            </w:pPr>
            <w:r>
              <w:rPr>
                <w:rFonts w:ascii="宋体" w:hAnsi="宋体" w:eastAsia="宋体"/>
                <w:sz w:val="16"/>
              </w:rPr>
              <w:t>10</w:t>
            </w:r>
          </w:p>
        </w:tc>
      </w:tr>
      <w:tr w14:paraId="290DA4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014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F3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01BD7">
            <w:pPr>
              <w:jc w:val="center"/>
            </w:pPr>
            <w:r>
              <w:rPr>
                <w:rFonts w:ascii="宋体" w:hAnsi="宋体" w:eastAsia="宋体"/>
                <w:sz w:val="16"/>
              </w:rPr>
              <w:t>举办老年健康讲座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E4AD4">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3123C">
            <w:pPr>
              <w:jc w:val="center"/>
            </w:pPr>
            <w:r>
              <w:rPr>
                <w:rFonts w:ascii="宋体" w:hAnsi="宋体" w:eastAsia="宋体"/>
                <w:sz w:val="16"/>
              </w:rPr>
              <w:t>地委老干部局2024年度工作计划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73B5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9D5B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88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29E9D">
            <w:pPr>
              <w:jc w:val="center"/>
            </w:pPr>
            <w:r>
              <w:rPr>
                <w:rFonts w:ascii="宋体" w:hAnsi="宋体" w:eastAsia="宋体"/>
                <w:sz w:val="16"/>
              </w:rPr>
              <w:t>20</w:t>
            </w:r>
          </w:p>
        </w:tc>
      </w:tr>
    </w:tbl>
    <w:p w14:paraId="1F786D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5682A0">
        <w:tc>
          <w:tcPr>
            <w:tcW w:w="8848" w:type="dxa"/>
            <w:gridSpan w:val="14"/>
            <w:vAlign w:val="center"/>
          </w:tcPr>
          <w:p w14:paraId="2CBF9BE1">
            <w:pPr>
              <w:jc w:val="center"/>
            </w:pPr>
            <w:r>
              <w:rPr>
                <w:rFonts w:ascii="宋体" w:hAnsi="宋体" w:eastAsia="宋体"/>
                <w:sz w:val="24"/>
              </w:rPr>
              <w:t>项目支出绩效自评表</w:t>
            </w:r>
          </w:p>
        </w:tc>
      </w:tr>
      <w:tr w14:paraId="04E10AB2">
        <w:tblPrEx>
          <w:tblCellMar>
            <w:top w:w="0" w:type="dxa"/>
            <w:left w:w="108" w:type="dxa"/>
            <w:bottom w:w="0" w:type="dxa"/>
            <w:right w:w="108" w:type="dxa"/>
          </w:tblCellMar>
        </w:tblPrEx>
        <w:tc>
          <w:tcPr>
            <w:tcW w:w="8848" w:type="dxa"/>
            <w:gridSpan w:val="14"/>
            <w:vAlign w:val="center"/>
          </w:tcPr>
          <w:p w14:paraId="3E9324B6">
            <w:pPr>
              <w:jc w:val="center"/>
            </w:pPr>
            <w:r>
              <w:rPr>
                <w:rFonts w:ascii="宋体" w:hAnsi="宋体" w:eastAsia="宋体"/>
                <w:sz w:val="24"/>
              </w:rPr>
              <w:t>(2024年度)</w:t>
            </w:r>
          </w:p>
        </w:tc>
      </w:tr>
      <w:tr w14:paraId="045947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F0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EF9E51">
            <w:pPr>
              <w:jc w:val="center"/>
            </w:pPr>
            <w:r>
              <w:rPr>
                <w:rFonts w:ascii="宋体" w:hAnsi="宋体" w:eastAsia="宋体"/>
                <w:sz w:val="16"/>
              </w:rPr>
              <w:t>乌鲁木齐市服务管理中心运行项目</w:t>
            </w:r>
          </w:p>
        </w:tc>
      </w:tr>
      <w:tr w14:paraId="67208A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E1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94028">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32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39CD9A">
            <w:pPr>
              <w:jc w:val="center"/>
            </w:pPr>
            <w:r>
              <w:rPr>
                <w:rFonts w:ascii="宋体" w:hAnsi="宋体" w:eastAsia="宋体"/>
                <w:sz w:val="16"/>
              </w:rPr>
              <w:t>中共喀什地委老干部局</w:t>
            </w:r>
          </w:p>
        </w:tc>
      </w:tr>
      <w:tr w14:paraId="2D9CA1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A32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C4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B8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28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E6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6E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2B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D910">
            <w:pPr>
              <w:jc w:val="center"/>
            </w:pPr>
            <w:r>
              <w:rPr>
                <w:rFonts w:ascii="宋体" w:hAnsi="宋体" w:eastAsia="宋体"/>
                <w:sz w:val="16"/>
              </w:rPr>
              <w:t>得分</w:t>
            </w:r>
          </w:p>
        </w:tc>
      </w:tr>
      <w:tr w14:paraId="5A8F4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9C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13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4E88">
            <w:pPr>
              <w:jc w:val="center"/>
            </w:pPr>
            <w:r>
              <w:rPr>
                <w:rFonts w:ascii="宋体" w:hAnsi="宋体" w:eastAsia="宋体"/>
                <w:sz w:val="16"/>
              </w:rPr>
              <w:t>15.43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FFA9">
            <w:pPr>
              <w:jc w:val="center"/>
            </w:pPr>
            <w:r>
              <w:rPr>
                <w:rFonts w:ascii="宋体" w:hAnsi="宋体" w:eastAsia="宋体"/>
                <w:sz w:val="16"/>
              </w:rPr>
              <w:t>19.43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1D2D5">
            <w:pPr>
              <w:jc w:val="center"/>
            </w:pPr>
            <w:r>
              <w:rPr>
                <w:rFonts w:ascii="宋体" w:hAnsi="宋体" w:eastAsia="宋体"/>
                <w:sz w:val="16"/>
              </w:rPr>
              <w:t>18.83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F7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DF3E1">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F606">
            <w:pPr>
              <w:jc w:val="center"/>
            </w:pPr>
            <w:r>
              <w:rPr>
                <w:rFonts w:ascii="宋体" w:hAnsi="宋体" w:eastAsia="宋体"/>
                <w:sz w:val="16"/>
              </w:rPr>
              <w:t>9.23分</w:t>
            </w:r>
          </w:p>
        </w:tc>
      </w:tr>
      <w:tr w14:paraId="7312F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DC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8D3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2BDB">
            <w:pPr>
              <w:jc w:val="center"/>
            </w:pPr>
            <w:r>
              <w:rPr>
                <w:rFonts w:ascii="宋体" w:hAnsi="宋体" w:eastAsia="宋体"/>
                <w:sz w:val="16"/>
              </w:rPr>
              <w:t>15.43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B32C">
            <w:pPr>
              <w:jc w:val="center"/>
            </w:pPr>
            <w:r>
              <w:rPr>
                <w:rFonts w:ascii="宋体" w:hAnsi="宋体" w:eastAsia="宋体"/>
                <w:sz w:val="16"/>
              </w:rPr>
              <w:t>19.43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EAB8">
            <w:pPr>
              <w:jc w:val="center"/>
            </w:pPr>
            <w:r>
              <w:rPr>
                <w:rFonts w:ascii="宋体" w:hAnsi="宋体" w:eastAsia="宋体"/>
                <w:sz w:val="16"/>
              </w:rPr>
              <w:t>18.83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16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2F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BD8A">
            <w:pPr>
              <w:jc w:val="center"/>
            </w:pPr>
            <w:r>
              <w:rPr>
                <w:rFonts w:ascii="宋体" w:hAnsi="宋体" w:eastAsia="宋体"/>
                <w:sz w:val="16"/>
              </w:rPr>
              <w:t>—</w:t>
            </w:r>
          </w:p>
        </w:tc>
      </w:tr>
      <w:tr w14:paraId="2C389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541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E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A1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9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D1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25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9C7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2CC7">
            <w:pPr>
              <w:jc w:val="center"/>
            </w:pPr>
            <w:r>
              <w:rPr>
                <w:rFonts w:ascii="宋体" w:hAnsi="宋体" w:eastAsia="宋体"/>
                <w:sz w:val="16"/>
              </w:rPr>
              <w:t>—</w:t>
            </w:r>
          </w:p>
        </w:tc>
      </w:tr>
      <w:tr w14:paraId="7FC284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5C4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001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0EB7C3">
            <w:pPr>
              <w:jc w:val="center"/>
            </w:pPr>
            <w:r>
              <w:rPr>
                <w:rFonts w:ascii="宋体" w:hAnsi="宋体" w:eastAsia="宋体"/>
                <w:sz w:val="16"/>
              </w:rPr>
              <w:t>实际完成情况</w:t>
            </w:r>
          </w:p>
        </w:tc>
      </w:tr>
      <w:tr w14:paraId="40065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CC2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15895">
            <w:pPr>
              <w:jc w:val="both"/>
            </w:pPr>
            <w:r>
              <w:rPr>
                <w:rFonts w:ascii="宋体" w:hAnsi="宋体" w:eastAsia="宋体"/>
                <w:sz w:val="16"/>
              </w:rPr>
              <w:t>经地委批示，决定在丝路嘉园小区设立喀什地区驻乌鲁木齐市老干部服务管理中心，服务居住在丝路嘉园小区的离退休</w:t>
            </w:r>
            <w:r>
              <w:rPr>
                <w:rFonts w:hint="eastAsia" w:ascii="宋体" w:hAnsi="宋体"/>
                <w:sz w:val="16"/>
                <w:lang w:eastAsia="zh-CN"/>
              </w:rPr>
              <w:t>干部</w:t>
            </w:r>
            <w:r>
              <w:rPr>
                <w:rFonts w:ascii="宋体" w:hAnsi="宋体" w:eastAsia="宋体"/>
                <w:sz w:val="16"/>
              </w:rPr>
              <w:t>300余人，项目总投资19.43万元，主要用于保障服务管理中心的正常运转，组织老同志开展各类学习和文体活动，提高老同志感受党的关怀。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85479">
            <w:pPr>
              <w:jc w:val="both"/>
            </w:pPr>
            <w:r>
              <w:rPr>
                <w:rFonts w:ascii="宋体" w:hAnsi="宋体" w:eastAsia="宋体"/>
                <w:sz w:val="16"/>
              </w:rPr>
              <w:t>正常缴纳了喀什地区驻乌鲁木齐市老干部服务管理中心物业费，房租费、通信费和水电费，组织老同志开展了庆祝七一文体活动，聘请舞蹈、朗诵和合唱老师为老同志们授课，征订一批报刊杂志，保证了300名老同志的日常活动，有效保障了服务管理中心的正常运转。</w:t>
            </w:r>
          </w:p>
        </w:tc>
      </w:tr>
      <w:tr w14:paraId="58B07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008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A9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DA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D6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20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6F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9F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89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67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06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7D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3B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3F71">
            <w:pPr>
              <w:jc w:val="center"/>
            </w:pPr>
            <w:r>
              <w:rPr>
                <w:rFonts w:ascii="宋体" w:hAnsi="宋体" w:eastAsia="宋体"/>
                <w:sz w:val="16"/>
              </w:rPr>
              <w:t>偏差原因分析及改进措施</w:t>
            </w:r>
          </w:p>
        </w:tc>
      </w:tr>
      <w:tr w14:paraId="0B46A4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27B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0A4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3F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0CF8">
            <w:pPr>
              <w:jc w:val="center"/>
            </w:pPr>
            <w:r>
              <w:rPr>
                <w:rFonts w:ascii="宋体" w:hAnsi="宋体" w:eastAsia="宋体"/>
                <w:sz w:val="16"/>
              </w:rPr>
              <w:t>老同志数量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0D46">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6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09D6">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A1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E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8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C921">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975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D07EA">
            <w:pPr>
              <w:jc w:val="center"/>
            </w:pPr>
          </w:p>
        </w:tc>
      </w:tr>
      <w:tr w14:paraId="35743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D2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CC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1E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385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21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0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C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89A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18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6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9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264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752F9">
            <w:pPr>
              <w:jc w:val="center"/>
            </w:pPr>
          </w:p>
        </w:tc>
      </w:tr>
      <w:tr w14:paraId="6B62C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ED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8B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73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841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6F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B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31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B2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1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5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DA2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9A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3890">
            <w:pPr>
              <w:jc w:val="center"/>
            </w:pPr>
          </w:p>
        </w:tc>
      </w:tr>
      <w:tr w14:paraId="3063D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C8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D7EC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C1F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22CD">
            <w:pPr>
              <w:jc w:val="center"/>
            </w:pPr>
            <w:r>
              <w:rPr>
                <w:rFonts w:ascii="宋体" w:hAnsi="宋体" w:eastAsia="宋体"/>
                <w:sz w:val="16"/>
              </w:rPr>
              <w:t>中心运转成本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1E45">
            <w:pPr>
              <w:jc w:val="center"/>
            </w:pPr>
            <w:r>
              <w:rPr>
                <w:rFonts w:ascii="宋体" w:hAnsi="宋体" w:eastAsia="宋体"/>
                <w:sz w:val="16"/>
              </w:rPr>
              <w:t>&lt;=13.14万元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11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E7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F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5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85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1980">
            <w:pPr>
              <w:jc w:val="center"/>
            </w:pPr>
            <w:r>
              <w:rPr>
                <w:rFonts w:ascii="宋体" w:hAnsi="宋体" w:eastAsia="宋体"/>
                <w:sz w:val="16"/>
              </w:rPr>
              <w:t>=12.87万元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AFCC">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1C02">
            <w:pPr>
              <w:jc w:val="center"/>
            </w:pPr>
            <w:r>
              <w:rPr>
                <w:rFonts w:ascii="宋体" w:hAnsi="宋体" w:eastAsia="宋体"/>
                <w:sz w:val="16"/>
              </w:rPr>
              <w:t>偏差原因：水电费根据实际用量进行结算，故存在结余。整改措施：加强资金管理，做到精准预算。</w:t>
            </w:r>
          </w:p>
        </w:tc>
      </w:tr>
      <w:tr w14:paraId="1FE7A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85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16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11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F34B">
            <w:pPr>
              <w:jc w:val="center"/>
            </w:pPr>
            <w:r>
              <w:rPr>
                <w:rFonts w:ascii="宋体" w:hAnsi="宋体" w:eastAsia="宋体"/>
                <w:sz w:val="16"/>
              </w:rPr>
              <w:t>购买商品和服务成本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D3D1">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1D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EE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29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A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B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61EE">
            <w:pPr>
              <w:jc w:val="center"/>
            </w:pPr>
            <w:r>
              <w:rPr>
                <w:rFonts w:ascii="宋体" w:hAnsi="宋体" w:eastAsia="宋体"/>
                <w:sz w:val="16"/>
              </w:rPr>
              <w:t>=5.96万元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4740">
            <w:pPr>
              <w:jc w:val="center"/>
            </w:pPr>
            <w:r>
              <w:rPr>
                <w:rFonts w:ascii="宋体" w:hAnsi="宋体" w:eastAsia="宋体"/>
                <w:sz w:val="16"/>
              </w:rPr>
              <w:t>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CC706">
            <w:pPr>
              <w:jc w:val="center"/>
            </w:pPr>
            <w:r>
              <w:rPr>
                <w:rFonts w:ascii="宋体" w:hAnsi="宋体" w:eastAsia="宋体"/>
                <w:sz w:val="16"/>
              </w:rPr>
              <w:t>偏差原因：根据实际需求报刊订阅较</w:t>
            </w:r>
            <w:r>
              <w:rPr>
                <w:rFonts w:hint="eastAsia" w:ascii="宋体" w:hAnsi="宋体"/>
                <w:sz w:val="16"/>
                <w:lang w:val="en-US" w:eastAsia="zh-CN"/>
              </w:rPr>
              <w:t>上</w:t>
            </w:r>
            <w:r>
              <w:rPr>
                <w:rFonts w:ascii="宋体" w:hAnsi="宋体" w:eastAsia="宋体"/>
                <w:sz w:val="16"/>
              </w:rPr>
              <w:t>年有所减少。整改措施：合理统筹资金支出做到精准预算。</w:t>
            </w:r>
          </w:p>
        </w:tc>
      </w:tr>
      <w:tr w14:paraId="705E0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C3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2C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DC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C5EE">
            <w:pPr>
              <w:jc w:val="center"/>
            </w:pPr>
            <w:r>
              <w:rPr>
                <w:rFonts w:ascii="宋体" w:hAnsi="宋体" w:eastAsia="宋体"/>
                <w:sz w:val="16"/>
              </w:rPr>
              <w:t>提高老同志感受党的关怀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24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0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F3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50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99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83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18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EF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8F1FA">
            <w:pPr>
              <w:jc w:val="center"/>
            </w:pPr>
          </w:p>
        </w:tc>
      </w:tr>
      <w:tr w14:paraId="4A898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DC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CC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CE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5D78">
            <w:pPr>
              <w:jc w:val="center"/>
            </w:pPr>
            <w:r>
              <w:rPr>
                <w:rFonts w:ascii="宋体" w:hAnsi="宋体" w:eastAsia="宋体"/>
                <w:sz w:val="16"/>
              </w:rPr>
              <w:t>老同志满意度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F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8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4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25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50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5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5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BA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E6D95">
            <w:pPr>
              <w:jc w:val="center"/>
            </w:pPr>
          </w:p>
        </w:tc>
      </w:tr>
      <w:tr w14:paraId="0F1C15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CD5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B4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B98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0E5D74">
            <w:pPr>
              <w:jc w:val="center"/>
            </w:pPr>
            <w:r>
              <w:rPr>
                <w:rFonts w:ascii="宋体" w:hAnsi="宋体" w:eastAsia="宋体"/>
                <w:sz w:val="16"/>
              </w:rPr>
              <w:t>97.41分</w:t>
            </w:r>
          </w:p>
        </w:tc>
      </w:tr>
    </w:tbl>
    <w:p w14:paraId="5F4D95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2A9512B">
        <w:tc>
          <w:tcPr>
            <w:tcW w:w="8848" w:type="dxa"/>
            <w:gridSpan w:val="14"/>
            <w:vAlign w:val="center"/>
          </w:tcPr>
          <w:p w14:paraId="2610ACB6">
            <w:pPr>
              <w:jc w:val="center"/>
            </w:pPr>
            <w:r>
              <w:rPr>
                <w:rFonts w:ascii="宋体" w:hAnsi="宋体" w:eastAsia="宋体"/>
                <w:sz w:val="24"/>
              </w:rPr>
              <w:t>项目支出绩效自评表</w:t>
            </w:r>
          </w:p>
        </w:tc>
      </w:tr>
      <w:tr w14:paraId="1C0C0873">
        <w:tblPrEx>
          <w:tblCellMar>
            <w:top w:w="0" w:type="dxa"/>
            <w:left w:w="108" w:type="dxa"/>
            <w:bottom w:w="0" w:type="dxa"/>
            <w:right w:w="108" w:type="dxa"/>
          </w:tblCellMar>
        </w:tblPrEx>
        <w:tc>
          <w:tcPr>
            <w:tcW w:w="8848" w:type="dxa"/>
            <w:gridSpan w:val="14"/>
            <w:vAlign w:val="center"/>
          </w:tcPr>
          <w:p w14:paraId="38AADF6F">
            <w:pPr>
              <w:jc w:val="center"/>
            </w:pPr>
            <w:r>
              <w:rPr>
                <w:rFonts w:ascii="宋体" w:hAnsi="宋体" w:eastAsia="宋体"/>
                <w:sz w:val="24"/>
              </w:rPr>
              <w:t>(2024年度)</w:t>
            </w:r>
          </w:p>
        </w:tc>
      </w:tr>
      <w:tr w14:paraId="2D562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73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ED7DE0">
            <w:pPr>
              <w:jc w:val="center"/>
            </w:pPr>
            <w:r>
              <w:rPr>
                <w:rFonts w:ascii="宋体" w:hAnsi="宋体" w:eastAsia="宋体"/>
                <w:sz w:val="16"/>
              </w:rPr>
              <w:t>关爱慰问老干部工作项目</w:t>
            </w:r>
          </w:p>
        </w:tc>
      </w:tr>
      <w:tr w14:paraId="0DE2EC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BB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D4249">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0F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68C19">
            <w:pPr>
              <w:jc w:val="center"/>
            </w:pPr>
            <w:r>
              <w:rPr>
                <w:rFonts w:ascii="宋体" w:hAnsi="宋体" w:eastAsia="宋体"/>
                <w:sz w:val="16"/>
              </w:rPr>
              <w:t>中共喀什地委老干部局</w:t>
            </w:r>
          </w:p>
        </w:tc>
      </w:tr>
      <w:tr w14:paraId="488C37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E22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1B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89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50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97C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3CE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403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004F">
            <w:pPr>
              <w:jc w:val="center"/>
            </w:pPr>
            <w:r>
              <w:rPr>
                <w:rFonts w:ascii="宋体" w:hAnsi="宋体" w:eastAsia="宋体"/>
                <w:sz w:val="16"/>
              </w:rPr>
              <w:t>得分</w:t>
            </w:r>
          </w:p>
        </w:tc>
      </w:tr>
      <w:tr w14:paraId="7CC43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85B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8E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596C">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4B3E0">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E6580">
            <w:pPr>
              <w:jc w:val="center"/>
            </w:pPr>
            <w:r>
              <w:rPr>
                <w:rFonts w:ascii="宋体" w:hAnsi="宋体" w:eastAsia="宋体"/>
                <w:sz w:val="16"/>
              </w:rPr>
              <w:t>49.26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E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54114">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2662">
            <w:pPr>
              <w:jc w:val="center"/>
            </w:pPr>
            <w:r>
              <w:rPr>
                <w:rFonts w:ascii="宋体" w:hAnsi="宋体" w:eastAsia="宋体"/>
                <w:sz w:val="16"/>
              </w:rPr>
              <w:t>8.94分</w:t>
            </w:r>
          </w:p>
        </w:tc>
      </w:tr>
      <w:tr w14:paraId="2CF72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A50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01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5A20">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CE061">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7AD76">
            <w:pPr>
              <w:jc w:val="center"/>
            </w:pPr>
            <w:r>
              <w:rPr>
                <w:rFonts w:ascii="宋体" w:hAnsi="宋体" w:eastAsia="宋体"/>
                <w:sz w:val="16"/>
              </w:rPr>
              <w:t>49.26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B10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046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4B83">
            <w:pPr>
              <w:jc w:val="center"/>
            </w:pPr>
            <w:r>
              <w:rPr>
                <w:rFonts w:ascii="宋体" w:hAnsi="宋体" w:eastAsia="宋体"/>
                <w:sz w:val="16"/>
              </w:rPr>
              <w:t>—</w:t>
            </w:r>
          </w:p>
        </w:tc>
      </w:tr>
      <w:tr w14:paraId="45DC1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16D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8AF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BC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96D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35C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A0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8E1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7C97">
            <w:pPr>
              <w:jc w:val="center"/>
            </w:pPr>
            <w:r>
              <w:rPr>
                <w:rFonts w:ascii="宋体" w:hAnsi="宋体" w:eastAsia="宋体"/>
                <w:sz w:val="16"/>
              </w:rPr>
              <w:t>—</w:t>
            </w:r>
          </w:p>
        </w:tc>
      </w:tr>
      <w:tr w14:paraId="3E2B85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5B9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8F3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74DB6A">
            <w:pPr>
              <w:jc w:val="center"/>
            </w:pPr>
            <w:r>
              <w:rPr>
                <w:rFonts w:ascii="宋体" w:hAnsi="宋体" w:eastAsia="宋体"/>
                <w:sz w:val="16"/>
              </w:rPr>
              <w:t>实际完成情况</w:t>
            </w:r>
          </w:p>
        </w:tc>
      </w:tr>
      <w:tr w14:paraId="263E6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F6B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F5BDB">
            <w:pPr>
              <w:jc w:val="both"/>
            </w:pPr>
            <w:r>
              <w:rPr>
                <w:rFonts w:ascii="宋体" w:hAnsi="宋体" w:eastAsia="宋体"/>
                <w:sz w:val="16"/>
              </w:rPr>
              <w:t>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BB1D0">
            <w:pPr>
              <w:jc w:val="both"/>
            </w:pPr>
            <w:r>
              <w:rPr>
                <w:rFonts w:ascii="宋体" w:hAnsi="宋体" w:eastAsia="宋体"/>
                <w:sz w:val="16"/>
              </w:rPr>
              <w:t>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w:t>
            </w:r>
            <w:r>
              <w:rPr>
                <w:rFonts w:ascii="宋体" w:hAnsi="宋体" w:eastAsia="宋体"/>
                <w:sz w:val="16"/>
              </w:rPr>
              <w:br w:type="textWrapping"/>
            </w:r>
            <w:r>
              <w:rPr>
                <w:rFonts w:ascii="宋体" w:hAnsi="宋体" w:eastAsia="宋体"/>
                <w:sz w:val="16"/>
              </w:rPr>
              <w:br w:type="textWrapping"/>
            </w:r>
          </w:p>
        </w:tc>
      </w:tr>
      <w:tr w14:paraId="68FCC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42C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B2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E0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DD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CC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EB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9F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35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70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EC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BE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80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FF6D">
            <w:pPr>
              <w:jc w:val="center"/>
            </w:pPr>
            <w:r>
              <w:rPr>
                <w:rFonts w:ascii="宋体" w:hAnsi="宋体" w:eastAsia="宋体"/>
                <w:sz w:val="16"/>
              </w:rPr>
              <w:t>偏差原因分析及改进措施</w:t>
            </w:r>
          </w:p>
        </w:tc>
      </w:tr>
      <w:tr w14:paraId="07CC2A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BB3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D24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7B6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B52B">
            <w:pPr>
              <w:jc w:val="center"/>
            </w:pPr>
            <w:r>
              <w:rPr>
                <w:rFonts w:ascii="宋体" w:hAnsi="宋体" w:eastAsia="宋体"/>
                <w:sz w:val="16"/>
              </w:rPr>
              <w:t>特殊困难离退休干部帮扶人数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C0ED">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C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F842">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6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9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2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CBC6">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B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075B8">
            <w:pPr>
              <w:jc w:val="center"/>
            </w:pPr>
          </w:p>
        </w:tc>
      </w:tr>
      <w:tr w14:paraId="025BC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E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10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DC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B003">
            <w:pPr>
              <w:jc w:val="center"/>
            </w:pPr>
            <w:r>
              <w:rPr>
                <w:rFonts w:ascii="宋体" w:hAnsi="宋体" w:eastAsia="宋体"/>
                <w:sz w:val="16"/>
              </w:rPr>
              <w:t>离休人员遗孀人数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209C">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A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D89A">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47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5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8F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5A3A">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C311">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6DC43">
            <w:pPr>
              <w:jc w:val="center"/>
            </w:pPr>
            <w:r>
              <w:rPr>
                <w:rFonts w:ascii="宋体" w:hAnsi="宋体" w:eastAsia="宋体"/>
                <w:sz w:val="16"/>
              </w:rPr>
              <w:t>偏差原因：遗孀本年度去世人员较多，数量减少。整改措施：及时更新遗孀人数台账确保数据更加精准。</w:t>
            </w:r>
          </w:p>
        </w:tc>
      </w:tr>
      <w:tr w14:paraId="35720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2B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76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F6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B5EF">
            <w:pPr>
              <w:jc w:val="center"/>
            </w:pPr>
            <w:r>
              <w:rPr>
                <w:rFonts w:ascii="宋体" w:hAnsi="宋体" w:eastAsia="宋体"/>
                <w:sz w:val="16"/>
              </w:rPr>
              <w:t>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3207">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B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3F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A5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89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AF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4BE3">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BA4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E5CA9">
            <w:pPr>
              <w:jc w:val="center"/>
            </w:pPr>
            <w:r>
              <w:rPr>
                <w:rFonts w:ascii="宋体" w:hAnsi="宋体" w:eastAsia="宋体"/>
                <w:sz w:val="16"/>
              </w:rPr>
              <w:t>偏差原因：根据有关文件要求，建国75周年慰问时离休人数较计划人数有所增加。整改措施：吸取经验，做好离休人员的慰问工作。</w:t>
            </w:r>
          </w:p>
        </w:tc>
      </w:tr>
      <w:tr w14:paraId="68F77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5E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C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50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FA04">
            <w:pPr>
              <w:jc w:val="center"/>
            </w:pPr>
            <w:r>
              <w:rPr>
                <w:rFonts w:ascii="宋体" w:hAnsi="宋体" w:eastAsia="宋体"/>
                <w:sz w:val="16"/>
              </w:rPr>
              <w:t>慰问对象覆盖率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3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2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5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CF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8A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DC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B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B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70A5">
            <w:pPr>
              <w:jc w:val="center"/>
            </w:pPr>
          </w:p>
        </w:tc>
      </w:tr>
      <w:tr w14:paraId="4BFE8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85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79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CA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F3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772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5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C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DE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5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1F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3BE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E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5A9E">
            <w:pPr>
              <w:jc w:val="center"/>
            </w:pPr>
          </w:p>
        </w:tc>
      </w:tr>
      <w:tr w14:paraId="30EA47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46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840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0B1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D6B0">
            <w:pPr>
              <w:jc w:val="center"/>
            </w:pPr>
            <w:r>
              <w:rPr>
                <w:rFonts w:ascii="宋体" w:hAnsi="宋体" w:eastAsia="宋体"/>
                <w:sz w:val="16"/>
              </w:rPr>
              <w:t>离休人员遗孀取暖费及帮扶慰问金费用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56CF">
            <w:pPr>
              <w:jc w:val="center"/>
            </w:pPr>
            <w:r>
              <w:rPr>
                <w:rFonts w:ascii="宋体" w:hAnsi="宋体" w:eastAsia="宋体"/>
                <w:sz w:val="16"/>
              </w:rPr>
              <w:t>&lt;=14.78万元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F3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8768">
            <w:pPr>
              <w:jc w:val="center"/>
            </w:pPr>
            <w:r>
              <w:rPr>
                <w:rFonts w:ascii="宋体" w:hAnsi="宋体" w:eastAsia="宋体"/>
                <w:sz w:val="16"/>
              </w:rPr>
              <w:t>14.78万元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D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A3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EE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538D">
            <w:pPr>
              <w:jc w:val="center"/>
            </w:pPr>
            <w:r>
              <w:rPr>
                <w:rFonts w:ascii="宋体" w:hAnsi="宋体" w:eastAsia="宋体"/>
                <w:sz w:val="16"/>
              </w:rPr>
              <w:t>=13.24万元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76CE">
            <w:pPr>
              <w:jc w:val="center"/>
            </w:pPr>
            <w:r>
              <w:rPr>
                <w:rFonts w:ascii="宋体" w:hAnsi="宋体" w:eastAsia="宋体"/>
                <w:sz w:val="16"/>
              </w:rPr>
              <w:t>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65A2">
            <w:pPr>
              <w:jc w:val="center"/>
            </w:pPr>
            <w:r>
              <w:rPr>
                <w:rFonts w:ascii="宋体" w:hAnsi="宋体" w:eastAsia="宋体"/>
                <w:sz w:val="16"/>
              </w:rPr>
              <w:t>偏差原因：遗孀本年度去世人员较多，资金产生结余。整改措施：及时更新遗孀人数台账确保数据更加精准。</w:t>
            </w:r>
          </w:p>
        </w:tc>
      </w:tr>
      <w:tr w14:paraId="09FA0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FE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6E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6B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D2BB">
            <w:pPr>
              <w:jc w:val="center"/>
            </w:pPr>
            <w:r>
              <w:rPr>
                <w:rFonts w:ascii="宋体" w:hAnsi="宋体" w:eastAsia="宋体"/>
                <w:sz w:val="16"/>
              </w:rPr>
              <w:t>特殊困难离退休干部帮扶金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8B7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22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FB3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A8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6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C4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230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1A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574D">
            <w:pPr>
              <w:jc w:val="center"/>
            </w:pPr>
          </w:p>
        </w:tc>
      </w:tr>
      <w:tr w14:paraId="6DD1B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52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5E7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B4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22B0">
            <w:pPr>
              <w:jc w:val="center"/>
            </w:pPr>
            <w:r>
              <w:rPr>
                <w:rFonts w:ascii="宋体" w:hAnsi="宋体" w:eastAsia="宋体"/>
                <w:sz w:val="16"/>
              </w:rPr>
              <w:t>慰问费用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16BE">
            <w:pPr>
              <w:jc w:val="center"/>
            </w:pPr>
            <w:r>
              <w:rPr>
                <w:rFonts w:ascii="宋体" w:hAnsi="宋体" w:eastAsia="宋体"/>
                <w:sz w:val="16"/>
              </w:rPr>
              <w:t>&lt;=21.66万元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B9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A45C">
            <w:pPr>
              <w:jc w:val="center"/>
            </w:pPr>
            <w:r>
              <w:rPr>
                <w:rFonts w:ascii="宋体" w:hAnsi="宋体" w:eastAsia="宋体"/>
                <w:sz w:val="16"/>
              </w:rPr>
              <w:t>9.41万元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56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C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F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BC58">
            <w:pPr>
              <w:jc w:val="center"/>
            </w:pPr>
            <w:r>
              <w:rPr>
                <w:rFonts w:ascii="宋体" w:hAnsi="宋体" w:eastAsia="宋体"/>
                <w:sz w:val="16"/>
              </w:rPr>
              <w:t>=21.02万元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0E9C">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2D36">
            <w:pPr>
              <w:jc w:val="center"/>
            </w:pPr>
            <w:r>
              <w:rPr>
                <w:rFonts w:ascii="宋体" w:hAnsi="宋体" w:eastAsia="宋体"/>
                <w:sz w:val="16"/>
              </w:rPr>
              <w:t>偏差原因：有离休人员去世，老干部的生日祝福和看病探望费用有结余。整改措施：加强与老干部的联系，做到更加精准。</w:t>
            </w:r>
          </w:p>
        </w:tc>
      </w:tr>
      <w:tr w14:paraId="39338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0B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00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A3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5A6D">
            <w:pPr>
              <w:jc w:val="center"/>
            </w:pPr>
            <w:r>
              <w:rPr>
                <w:rFonts w:ascii="宋体" w:hAnsi="宋体" w:eastAsia="宋体"/>
                <w:sz w:val="16"/>
              </w:rPr>
              <w:t>提高老同志感受党的关怀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73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0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98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35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3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F5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C0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09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9347">
            <w:pPr>
              <w:jc w:val="center"/>
            </w:pPr>
          </w:p>
        </w:tc>
      </w:tr>
      <w:tr w14:paraId="3828F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D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66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A8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8E02">
            <w:pPr>
              <w:jc w:val="center"/>
            </w:pPr>
            <w:r>
              <w:rPr>
                <w:rFonts w:ascii="宋体" w:hAnsi="宋体" w:eastAsia="宋体"/>
                <w:sz w:val="16"/>
              </w:rPr>
              <w:t>老同志满意度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45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8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B9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57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DD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0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9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4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D0D7">
            <w:pPr>
              <w:jc w:val="center"/>
            </w:pPr>
          </w:p>
        </w:tc>
      </w:tr>
      <w:tr w14:paraId="7583B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236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D7F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579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7288BA">
            <w:pPr>
              <w:jc w:val="center"/>
            </w:pPr>
            <w:r>
              <w:rPr>
                <w:rFonts w:ascii="宋体" w:hAnsi="宋体" w:eastAsia="宋体"/>
                <w:sz w:val="16"/>
              </w:rPr>
              <w:t>93.68分</w:t>
            </w:r>
          </w:p>
        </w:tc>
      </w:tr>
    </w:tbl>
    <w:p w14:paraId="7B4559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F86A67B">
        <w:tblPrEx>
          <w:tblCellMar>
            <w:top w:w="0" w:type="dxa"/>
            <w:left w:w="108" w:type="dxa"/>
            <w:bottom w:w="0" w:type="dxa"/>
            <w:right w:w="108" w:type="dxa"/>
          </w:tblCellMar>
        </w:tblPrEx>
        <w:tc>
          <w:tcPr>
            <w:tcW w:w="8848" w:type="dxa"/>
            <w:gridSpan w:val="14"/>
            <w:vAlign w:val="center"/>
          </w:tcPr>
          <w:p w14:paraId="75FFB689">
            <w:pPr>
              <w:jc w:val="center"/>
            </w:pPr>
            <w:r>
              <w:rPr>
                <w:rFonts w:ascii="宋体" w:hAnsi="宋体" w:eastAsia="宋体"/>
                <w:sz w:val="24"/>
              </w:rPr>
              <w:t>项目支出绩效自评表</w:t>
            </w:r>
          </w:p>
        </w:tc>
      </w:tr>
      <w:tr w14:paraId="2304FFBD">
        <w:tblPrEx>
          <w:tblCellMar>
            <w:top w:w="0" w:type="dxa"/>
            <w:left w:w="108" w:type="dxa"/>
            <w:bottom w:w="0" w:type="dxa"/>
            <w:right w:w="108" w:type="dxa"/>
          </w:tblCellMar>
        </w:tblPrEx>
        <w:tc>
          <w:tcPr>
            <w:tcW w:w="8848" w:type="dxa"/>
            <w:gridSpan w:val="14"/>
            <w:vAlign w:val="center"/>
          </w:tcPr>
          <w:p w14:paraId="683EEBFF">
            <w:pPr>
              <w:jc w:val="center"/>
            </w:pPr>
            <w:r>
              <w:rPr>
                <w:rFonts w:ascii="宋体" w:hAnsi="宋体" w:eastAsia="宋体"/>
                <w:sz w:val="24"/>
              </w:rPr>
              <w:t>(2024年度)</w:t>
            </w:r>
          </w:p>
        </w:tc>
      </w:tr>
      <w:tr w14:paraId="57DDB2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44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084FD8">
            <w:pPr>
              <w:jc w:val="center"/>
            </w:pPr>
            <w:r>
              <w:rPr>
                <w:rFonts w:ascii="宋体" w:hAnsi="宋体" w:eastAsia="宋体"/>
                <w:sz w:val="16"/>
              </w:rPr>
              <w:t>喀什地区2024年老年人门球赛项目</w:t>
            </w:r>
          </w:p>
        </w:tc>
      </w:tr>
      <w:tr w14:paraId="520AB8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49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E2871">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01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E0BB96">
            <w:pPr>
              <w:jc w:val="center"/>
            </w:pPr>
            <w:r>
              <w:rPr>
                <w:rFonts w:ascii="宋体" w:hAnsi="宋体" w:eastAsia="宋体"/>
                <w:sz w:val="16"/>
              </w:rPr>
              <w:t>中共喀什地委老干部局</w:t>
            </w:r>
          </w:p>
        </w:tc>
      </w:tr>
      <w:tr w14:paraId="4203E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1D4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024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1E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8F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00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E98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000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E393">
            <w:pPr>
              <w:jc w:val="center"/>
            </w:pPr>
            <w:r>
              <w:rPr>
                <w:rFonts w:ascii="宋体" w:hAnsi="宋体" w:eastAsia="宋体"/>
                <w:sz w:val="16"/>
              </w:rPr>
              <w:t>得分</w:t>
            </w:r>
          </w:p>
        </w:tc>
      </w:tr>
      <w:tr w14:paraId="4F539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EFB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AE3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0BD2">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494A">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20B95">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E2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83F9">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B6D1">
            <w:pPr>
              <w:jc w:val="center"/>
            </w:pPr>
            <w:r>
              <w:rPr>
                <w:rFonts w:ascii="宋体" w:hAnsi="宋体" w:eastAsia="宋体"/>
                <w:sz w:val="16"/>
              </w:rPr>
              <w:t>7.50分</w:t>
            </w:r>
          </w:p>
        </w:tc>
      </w:tr>
      <w:tr w14:paraId="3608B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C4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F4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EFFA">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884C">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982D2">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6B5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530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C191">
            <w:pPr>
              <w:jc w:val="center"/>
            </w:pPr>
            <w:r>
              <w:rPr>
                <w:rFonts w:ascii="宋体" w:hAnsi="宋体" w:eastAsia="宋体"/>
                <w:sz w:val="16"/>
              </w:rPr>
              <w:t>—</w:t>
            </w:r>
          </w:p>
        </w:tc>
      </w:tr>
      <w:tr w14:paraId="7553F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D08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1DB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F4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F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DE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13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3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C74E">
            <w:pPr>
              <w:jc w:val="center"/>
            </w:pPr>
            <w:r>
              <w:rPr>
                <w:rFonts w:ascii="宋体" w:hAnsi="宋体" w:eastAsia="宋体"/>
                <w:sz w:val="16"/>
              </w:rPr>
              <w:t>—</w:t>
            </w:r>
          </w:p>
        </w:tc>
      </w:tr>
      <w:tr w14:paraId="1AE7C5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40F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9A2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6B5B80">
            <w:pPr>
              <w:jc w:val="center"/>
            </w:pPr>
            <w:r>
              <w:rPr>
                <w:rFonts w:ascii="宋体" w:hAnsi="宋体" w:eastAsia="宋体"/>
                <w:sz w:val="16"/>
              </w:rPr>
              <w:t>实际完成情况</w:t>
            </w:r>
          </w:p>
        </w:tc>
      </w:tr>
      <w:tr w14:paraId="79FB5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9F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5018A">
            <w:pPr>
              <w:jc w:val="both"/>
            </w:pPr>
            <w:r>
              <w:rPr>
                <w:rFonts w:ascii="宋体" w:hAnsi="宋体" w:eastAsia="宋体"/>
                <w:sz w:val="16"/>
              </w:rPr>
              <w:t>根据《全民健身计划（2021</w:t>
            </w:r>
            <w:r>
              <w:rPr>
                <w:rFonts w:hint="eastAsia" w:ascii="宋体" w:hAnsi="宋体"/>
                <w:sz w:val="16"/>
                <w:lang w:eastAsia="zh-CN"/>
              </w:rPr>
              <w:t>—</w:t>
            </w:r>
            <w:r>
              <w:rPr>
                <w:rFonts w:ascii="宋体" w:hAnsi="宋体" w:eastAsia="宋体"/>
                <w:sz w:val="16"/>
              </w:rPr>
              <w:t>2025年》,不断推进健康中国和体育强国建设，有力推动全地区老年人门球事业的全面发展,促进喀什老年人体育活动广泛开展，举办喀什地区2024年老年人门球赛，项目总投资4.41万元，主要用于裁判人员费用、奖励参赛人员和各类宣传制作工作，达到圆满完成本次赛事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F2CD9">
            <w:pPr>
              <w:jc w:val="both"/>
            </w:pPr>
            <w:r>
              <w:rPr>
                <w:rFonts w:ascii="宋体" w:hAnsi="宋体" w:eastAsia="宋体"/>
                <w:sz w:val="16"/>
              </w:rPr>
              <w:t>成功举办了为期2天的喀什地区2024年老年人门球赛，全地区13</w:t>
            </w:r>
            <w:r>
              <w:rPr>
                <w:rFonts w:hint="eastAsia" w:ascii="宋体" w:hAnsi="宋体"/>
                <w:sz w:val="16"/>
                <w:lang w:eastAsia="zh-CN"/>
              </w:rPr>
              <w:t>支</w:t>
            </w:r>
            <w:r>
              <w:rPr>
                <w:rFonts w:ascii="宋体" w:hAnsi="宋体" w:eastAsia="宋体"/>
                <w:sz w:val="16"/>
              </w:rPr>
              <w:t>队伍参赛，委托1家公司做好活动现场策划等工作，达到圆满完成本次赛事活动，有力推动全地区老年人门球事业的全面发展。</w:t>
            </w:r>
          </w:p>
        </w:tc>
      </w:tr>
      <w:tr w14:paraId="2413E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E87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CE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53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C1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A9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36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CF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1E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54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56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D4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E5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10892">
            <w:pPr>
              <w:jc w:val="center"/>
            </w:pPr>
            <w:r>
              <w:rPr>
                <w:rFonts w:ascii="宋体" w:hAnsi="宋体" w:eastAsia="宋体"/>
                <w:sz w:val="16"/>
              </w:rPr>
              <w:t>偏差原因分析及改进措施</w:t>
            </w:r>
          </w:p>
        </w:tc>
      </w:tr>
      <w:tr w14:paraId="0C4304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1A2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378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314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B3D6">
            <w:pPr>
              <w:jc w:val="center"/>
            </w:pPr>
            <w:r>
              <w:rPr>
                <w:rFonts w:ascii="宋体" w:hAnsi="宋体" w:eastAsia="宋体"/>
                <w:sz w:val="16"/>
              </w:rPr>
              <w:t>开展活动天数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CF6C">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9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9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2B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DD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1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F112">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E2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2586">
            <w:pPr>
              <w:jc w:val="center"/>
            </w:pPr>
          </w:p>
        </w:tc>
      </w:tr>
      <w:tr w14:paraId="0150B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B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F4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1D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B7B8">
            <w:pPr>
              <w:jc w:val="center"/>
            </w:pPr>
            <w:r>
              <w:rPr>
                <w:rFonts w:ascii="宋体" w:hAnsi="宋体" w:eastAsia="宋体"/>
                <w:sz w:val="16"/>
              </w:rPr>
              <w:t>参赛队伍数量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2BFF">
            <w:pPr>
              <w:jc w:val="center"/>
            </w:pPr>
            <w:r>
              <w:rPr>
                <w:rFonts w:ascii="宋体" w:hAnsi="宋体" w:eastAsia="宋体"/>
                <w:sz w:val="16"/>
              </w:rPr>
              <w:t>&gt;=12队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FF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827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23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5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8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3E46">
            <w:pPr>
              <w:jc w:val="center"/>
            </w:pPr>
            <w:r>
              <w:rPr>
                <w:rFonts w:ascii="宋体" w:hAnsi="宋体" w:eastAsia="宋体"/>
                <w:sz w:val="16"/>
              </w:rPr>
              <w:t>=13队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369A">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5998">
            <w:pPr>
              <w:jc w:val="center"/>
            </w:pPr>
            <w:r>
              <w:rPr>
                <w:rFonts w:ascii="宋体" w:hAnsi="宋体" w:eastAsia="宋体"/>
                <w:sz w:val="16"/>
              </w:rPr>
              <w:t>偏差原因：实际参赛队伍数量与前期报名数量有差别。整改措施：加强活动宣传力度，做到精准统计。</w:t>
            </w:r>
          </w:p>
        </w:tc>
      </w:tr>
      <w:tr w14:paraId="0EA96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6E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25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39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616C">
            <w:pPr>
              <w:jc w:val="center"/>
            </w:pPr>
            <w:r>
              <w:rPr>
                <w:rFonts w:ascii="宋体" w:hAnsi="宋体" w:eastAsia="宋体"/>
                <w:sz w:val="16"/>
              </w:rPr>
              <w:t>委托第三方数量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4CE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F3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24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6B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2B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0D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FCC2">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89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CA45">
            <w:pPr>
              <w:jc w:val="center"/>
            </w:pPr>
          </w:p>
        </w:tc>
      </w:tr>
      <w:tr w14:paraId="66050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4E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AA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F9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207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5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B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7C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F9C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B5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24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8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03B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752E">
            <w:pPr>
              <w:jc w:val="center"/>
            </w:pPr>
          </w:p>
        </w:tc>
      </w:tr>
      <w:tr w14:paraId="045FD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A9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FE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C3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F95C">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AE31">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9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5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B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3E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3F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0E7A">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C725">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66D1D">
            <w:pPr>
              <w:jc w:val="center"/>
            </w:pPr>
            <w:r>
              <w:rPr>
                <w:rFonts w:ascii="宋体" w:hAnsi="宋体" w:eastAsia="宋体"/>
                <w:sz w:val="16"/>
              </w:rPr>
              <w:t>偏差原因：项目实施比较顺利，提前完成所有支付。整改措施：吸取经验，完善项目指标设置。</w:t>
            </w:r>
          </w:p>
        </w:tc>
      </w:tr>
      <w:tr w14:paraId="61E5E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2E9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92B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01D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829B">
            <w:pPr>
              <w:jc w:val="center"/>
            </w:pPr>
            <w:r>
              <w:rPr>
                <w:rFonts w:ascii="宋体" w:hAnsi="宋体" w:eastAsia="宋体"/>
                <w:sz w:val="16"/>
              </w:rPr>
              <w:t>裁判人员费用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BFC4">
            <w:pPr>
              <w:jc w:val="center"/>
            </w:pPr>
            <w:r>
              <w:rPr>
                <w:rFonts w:ascii="宋体" w:hAnsi="宋体" w:eastAsia="宋体"/>
                <w:sz w:val="16"/>
              </w:rPr>
              <w:t>&lt;=0.56万元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0B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9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8D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3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10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D63D">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BA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425CA">
            <w:pPr>
              <w:jc w:val="center"/>
            </w:pPr>
            <w:r>
              <w:rPr>
                <w:rFonts w:ascii="宋体" w:hAnsi="宋体" w:eastAsia="宋体"/>
                <w:sz w:val="16"/>
              </w:rPr>
              <w:t>偏差原因：因裁判人员未产生相关食宿和差旅费用。整改措施：加强资金统筹合理安排各项资金的支出。</w:t>
            </w:r>
          </w:p>
        </w:tc>
      </w:tr>
      <w:tr w14:paraId="52A5D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1B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83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D7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32BB">
            <w:pPr>
              <w:jc w:val="center"/>
            </w:pPr>
            <w:r>
              <w:rPr>
                <w:rFonts w:ascii="宋体" w:hAnsi="宋体" w:eastAsia="宋体"/>
                <w:sz w:val="16"/>
              </w:rPr>
              <w:t>宣传设计和制作费用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157D">
            <w:pPr>
              <w:jc w:val="center"/>
            </w:pPr>
            <w:r>
              <w:rPr>
                <w:rFonts w:ascii="宋体" w:hAnsi="宋体" w:eastAsia="宋体"/>
                <w:sz w:val="16"/>
              </w:rPr>
              <w:t>&lt;=3.29万元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5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29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0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C4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29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A4A8">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53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4FB8">
            <w:pPr>
              <w:jc w:val="center"/>
            </w:pPr>
          </w:p>
        </w:tc>
      </w:tr>
      <w:tr w14:paraId="0D148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DC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EB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13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E9CC">
            <w:pPr>
              <w:jc w:val="center"/>
            </w:pPr>
            <w:r>
              <w:rPr>
                <w:rFonts w:ascii="宋体" w:hAnsi="宋体" w:eastAsia="宋体"/>
                <w:sz w:val="16"/>
              </w:rPr>
              <w:t>比赛奖励费用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E092">
            <w:pPr>
              <w:jc w:val="center"/>
            </w:pPr>
            <w:r>
              <w:rPr>
                <w:rFonts w:ascii="宋体" w:hAnsi="宋体" w:eastAsia="宋体"/>
                <w:sz w:val="16"/>
              </w:rPr>
              <w:t>&lt;=0.56万元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4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8B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88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B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93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63C0">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69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BEE21">
            <w:pPr>
              <w:jc w:val="center"/>
            </w:pPr>
          </w:p>
        </w:tc>
      </w:tr>
      <w:tr w14:paraId="75029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D7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7C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BA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DA92">
            <w:pPr>
              <w:jc w:val="center"/>
            </w:pPr>
            <w:r>
              <w:rPr>
                <w:rFonts w:ascii="宋体" w:hAnsi="宋体" w:eastAsia="宋体"/>
                <w:sz w:val="16"/>
              </w:rPr>
              <w:t>促进地区老年人门球事业发展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A20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11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C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E1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E7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D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893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B6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44948">
            <w:pPr>
              <w:jc w:val="center"/>
            </w:pPr>
          </w:p>
        </w:tc>
      </w:tr>
      <w:tr w14:paraId="75AC9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06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EC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69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A30E">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D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C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38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68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45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9B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E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6B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A33FE">
            <w:pPr>
              <w:jc w:val="center"/>
            </w:pPr>
          </w:p>
        </w:tc>
      </w:tr>
      <w:tr w14:paraId="6638A0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A4D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E0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EC3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AB032">
            <w:pPr>
              <w:jc w:val="center"/>
            </w:pPr>
            <w:r>
              <w:rPr>
                <w:rFonts w:ascii="宋体" w:hAnsi="宋体" w:eastAsia="宋体"/>
                <w:sz w:val="16"/>
              </w:rPr>
              <w:t>83.85分</w:t>
            </w:r>
          </w:p>
        </w:tc>
      </w:tr>
    </w:tbl>
    <w:p w14:paraId="5E3C27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E376BA5">
        <w:tblPrEx>
          <w:tblCellMar>
            <w:top w:w="0" w:type="dxa"/>
            <w:left w:w="108" w:type="dxa"/>
            <w:bottom w:w="0" w:type="dxa"/>
            <w:right w:w="108" w:type="dxa"/>
          </w:tblCellMar>
        </w:tblPrEx>
        <w:tc>
          <w:tcPr>
            <w:tcW w:w="8848" w:type="dxa"/>
            <w:gridSpan w:val="14"/>
            <w:vAlign w:val="center"/>
          </w:tcPr>
          <w:p w14:paraId="5094A4CB">
            <w:pPr>
              <w:jc w:val="center"/>
            </w:pPr>
            <w:r>
              <w:rPr>
                <w:rFonts w:ascii="宋体" w:hAnsi="宋体" w:eastAsia="宋体"/>
                <w:sz w:val="24"/>
              </w:rPr>
              <w:t>项目支出绩效自评表</w:t>
            </w:r>
          </w:p>
        </w:tc>
      </w:tr>
      <w:tr w14:paraId="0158BAD1">
        <w:tblPrEx>
          <w:tblCellMar>
            <w:top w:w="0" w:type="dxa"/>
            <w:left w:w="108" w:type="dxa"/>
            <w:bottom w:w="0" w:type="dxa"/>
            <w:right w:w="108" w:type="dxa"/>
          </w:tblCellMar>
        </w:tblPrEx>
        <w:tc>
          <w:tcPr>
            <w:tcW w:w="8848" w:type="dxa"/>
            <w:gridSpan w:val="14"/>
            <w:vAlign w:val="center"/>
          </w:tcPr>
          <w:p w14:paraId="7646B12B">
            <w:pPr>
              <w:jc w:val="center"/>
            </w:pPr>
            <w:r>
              <w:rPr>
                <w:rFonts w:ascii="宋体" w:hAnsi="宋体" w:eastAsia="宋体"/>
                <w:sz w:val="24"/>
              </w:rPr>
              <w:t>(2024年度)</w:t>
            </w:r>
          </w:p>
        </w:tc>
      </w:tr>
      <w:tr w14:paraId="0EB21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7F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283EF8">
            <w:pPr>
              <w:jc w:val="center"/>
            </w:pPr>
            <w:r>
              <w:rPr>
                <w:rFonts w:ascii="宋体" w:hAnsi="宋体" w:eastAsia="宋体"/>
                <w:sz w:val="16"/>
              </w:rPr>
              <w:t>综合保障项目</w:t>
            </w:r>
          </w:p>
        </w:tc>
      </w:tr>
      <w:tr w14:paraId="34D505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0E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284DE">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BD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4EEC0">
            <w:pPr>
              <w:jc w:val="center"/>
            </w:pPr>
            <w:r>
              <w:rPr>
                <w:rFonts w:ascii="宋体" w:hAnsi="宋体" w:eastAsia="宋体"/>
                <w:sz w:val="16"/>
              </w:rPr>
              <w:t>中共喀什地委老干部局</w:t>
            </w:r>
          </w:p>
        </w:tc>
      </w:tr>
      <w:tr w14:paraId="0C8CEB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613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E5E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B3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C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D29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DD5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A9C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AC31">
            <w:pPr>
              <w:jc w:val="center"/>
            </w:pPr>
            <w:r>
              <w:rPr>
                <w:rFonts w:ascii="宋体" w:hAnsi="宋体" w:eastAsia="宋体"/>
                <w:sz w:val="16"/>
              </w:rPr>
              <w:t>得分</w:t>
            </w:r>
          </w:p>
        </w:tc>
      </w:tr>
      <w:tr w14:paraId="3D081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78F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2D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7D6CF">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F908">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B280">
            <w:pPr>
              <w:jc w:val="center"/>
            </w:pPr>
            <w:r>
              <w:rPr>
                <w:rFonts w:ascii="宋体" w:hAnsi="宋体" w:eastAsia="宋体"/>
                <w:sz w:val="16"/>
              </w:rPr>
              <w:t>24.12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16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5D84">
            <w:pPr>
              <w:jc w:val="center"/>
            </w:pPr>
            <w:r>
              <w:rPr>
                <w:rFonts w:ascii="宋体" w:hAnsi="宋体" w:eastAsia="宋体"/>
                <w:sz w:val="16"/>
              </w:rPr>
              <w:t>80.7%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ECB0">
            <w:pPr>
              <w:jc w:val="center"/>
            </w:pPr>
            <w:r>
              <w:rPr>
                <w:rFonts w:ascii="宋体" w:hAnsi="宋体" w:eastAsia="宋体"/>
                <w:sz w:val="16"/>
              </w:rPr>
              <w:t>5.19分</w:t>
            </w:r>
          </w:p>
        </w:tc>
      </w:tr>
      <w:tr w14:paraId="6C248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A93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BA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6267">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20FF">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90AA">
            <w:pPr>
              <w:jc w:val="center"/>
            </w:pPr>
            <w:r>
              <w:rPr>
                <w:rFonts w:ascii="宋体" w:hAnsi="宋体" w:eastAsia="宋体"/>
                <w:sz w:val="16"/>
              </w:rPr>
              <w:t>24.12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6F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8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7BAC">
            <w:pPr>
              <w:jc w:val="center"/>
            </w:pPr>
            <w:r>
              <w:rPr>
                <w:rFonts w:ascii="宋体" w:hAnsi="宋体" w:eastAsia="宋体"/>
                <w:sz w:val="16"/>
              </w:rPr>
              <w:t>—</w:t>
            </w:r>
          </w:p>
        </w:tc>
      </w:tr>
      <w:tr w14:paraId="66A53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E19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88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EAC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6F3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EE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7D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A65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5DF8">
            <w:pPr>
              <w:jc w:val="center"/>
            </w:pPr>
            <w:r>
              <w:rPr>
                <w:rFonts w:ascii="宋体" w:hAnsi="宋体" w:eastAsia="宋体"/>
                <w:sz w:val="16"/>
              </w:rPr>
              <w:t>—</w:t>
            </w:r>
          </w:p>
        </w:tc>
      </w:tr>
      <w:tr w14:paraId="374F73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13A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CD0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F2CC94">
            <w:pPr>
              <w:jc w:val="center"/>
            </w:pPr>
            <w:r>
              <w:rPr>
                <w:rFonts w:ascii="宋体" w:hAnsi="宋体" w:eastAsia="宋体"/>
                <w:sz w:val="16"/>
              </w:rPr>
              <w:t>实际完成情况</w:t>
            </w:r>
          </w:p>
        </w:tc>
      </w:tr>
      <w:tr w14:paraId="235C9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BA9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4F2BE">
            <w:pPr>
              <w:jc w:val="both"/>
            </w:pPr>
            <w:r>
              <w:rPr>
                <w:rFonts w:ascii="宋体" w:hAnsi="宋体" w:eastAsia="宋体"/>
                <w:sz w:val="16"/>
              </w:rPr>
              <w:t>项目投资29.87万元，在建国75周年之际慰问异地居住的离休干部送去党的关怀，维修老干部活动中心消防设施等零星工程和租赁新能源汽车1辆，对综治视联网和监控联网、机关事务内网本年度的通信费正常交纳等，聘请法律顾问1名，做好大组工网运行维护工作，不断提升老干部服务管理信息化精准化规范化水平，用心用情做好老干部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40E4DC">
            <w:pPr>
              <w:jc w:val="both"/>
            </w:pPr>
            <w:r>
              <w:rPr>
                <w:rFonts w:ascii="宋体" w:hAnsi="宋体" w:eastAsia="宋体"/>
                <w:sz w:val="16"/>
              </w:rPr>
              <w:t>在建国75周年之际慰问了异地居住的离休干部送去党的关怀，租赁新能源汽车1辆，保障单位公务出行，对老干部活动中心消防设施等零星工程进行了维修，正常交纳综治视联网和监控联网、机关事务内网本年度的通信费等费用，保证内网正常使用，聘请1名法律顾问，有效提升老干部服务管理信息化精准化规范化水平，保证机关正常运行。</w:t>
            </w:r>
          </w:p>
        </w:tc>
      </w:tr>
      <w:tr w14:paraId="0C087A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BA5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F0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B0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62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7B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43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CD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03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0B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97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CA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D5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93473">
            <w:pPr>
              <w:jc w:val="center"/>
            </w:pPr>
            <w:r>
              <w:rPr>
                <w:rFonts w:ascii="宋体" w:hAnsi="宋体" w:eastAsia="宋体"/>
                <w:sz w:val="16"/>
              </w:rPr>
              <w:t>偏差原因分析及改进措施</w:t>
            </w:r>
          </w:p>
        </w:tc>
      </w:tr>
      <w:tr w14:paraId="7489B9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2AF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A04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C27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49E8">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547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6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60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33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03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35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B5F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16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277A">
            <w:pPr>
              <w:jc w:val="center"/>
            </w:pPr>
          </w:p>
        </w:tc>
      </w:tr>
      <w:tr w14:paraId="145F6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EA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B3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AC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BA8E">
            <w:pPr>
              <w:jc w:val="center"/>
            </w:pPr>
            <w:r>
              <w:rPr>
                <w:rFonts w:ascii="宋体" w:hAnsi="宋体" w:eastAsia="宋体"/>
                <w:sz w:val="16"/>
              </w:rPr>
              <w:t>租赁新能源汽车数量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0469">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8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CE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B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52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E5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6ABE">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B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F5B8">
            <w:pPr>
              <w:jc w:val="center"/>
            </w:pPr>
          </w:p>
        </w:tc>
      </w:tr>
      <w:tr w14:paraId="4CE13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B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A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86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AB14">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0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88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FF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B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84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05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A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CF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FEB2">
            <w:pPr>
              <w:jc w:val="center"/>
            </w:pPr>
          </w:p>
        </w:tc>
      </w:tr>
      <w:tr w14:paraId="77B3D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3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3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BB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E3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76F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7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76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D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9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BE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2B6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6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D25C">
            <w:pPr>
              <w:jc w:val="center"/>
            </w:pPr>
          </w:p>
        </w:tc>
      </w:tr>
      <w:tr w14:paraId="245FA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50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FA0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A64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08F9">
            <w:pPr>
              <w:jc w:val="center"/>
            </w:pPr>
            <w:r>
              <w:rPr>
                <w:rFonts w:ascii="宋体" w:hAnsi="宋体" w:eastAsia="宋体"/>
                <w:sz w:val="16"/>
              </w:rPr>
              <w:t>委托业务费成本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453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C0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F5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5F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D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BA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1A3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460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CB98">
            <w:pPr>
              <w:jc w:val="center"/>
            </w:pPr>
          </w:p>
        </w:tc>
      </w:tr>
      <w:tr w14:paraId="26C87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6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4B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04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4FE2">
            <w:pPr>
              <w:jc w:val="center"/>
            </w:pPr>
            <w:r>
              <w:rPr>
                <w:rFonts w:ascii="宋体" w:hAnsi="宋体" w:eastAsia="宋体"/>
                <w:sz w:val="16"/>
              </w:rPr>
              <w:t>开展各类慰问调研学习等成本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A5D6">
            <w:pPr>
              <w:jc w:val="center"/>
            </w:pPr>
            <w:r>
              <w:rPr>
                <w:rFonts w:ascii="宋体" w:hAnsi="宋体" w:eastAsia="宋体"/>
                <w:sz w:val="16"/>
              </w:rPr>
              <w:t>&lt;=13.10万元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9F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34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F6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A0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06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3974">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E4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660B">
            <w:pPr>
              <w:jc w:val="center"/>
            </w:pPr>
            <w:r>
              <w:rPr>
                <w:rFonts w:ascii="宋体" w:hAnsi="宋体" w:eastAsia="宋体"/>
                <w:sz w:val="16"/>
              </w:rPr>
              <w:t>偏差原因：离休人员去世，慰问费用有结余。整改措施：合理统筹慰问对象的慰问支出资金，做到更加精准。</w:t>
            </w:r>
          </w:p>
        </w:tc>
      </w:tr>
      <w:tr w14:paraId="1CCA7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39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56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D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4E8C">
            <w:pPr>
              <w:jc w:val="center"/>
            </w:pPr>
            <w:r>
              <w:rPr>
                <w:rFonts w:ascii="宋体" w:hAnsi="宋体" w:eastAsia="宋体"/>
                <w:sz w:val="16"/>
              </w:rPr>
              <w:t>邮电费成本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5BC2">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B0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E6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A9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FB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B6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16C0">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D39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D8E6A">
            <w:pPr>
              <w:jc w:val="center"/>
            </w:pPr>
          </w:p>
        </w:tc>
      </w:tr>
      <w:tr w14:paraId="3C857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4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40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B86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D512">
            <w:pPr>
              <w:jc w:val="center"/>
            </w:pPr>
            <w:r>
              <w:rPr>
                <w:rFonts w:ascii="宋体" w:hAnsi="宋体" w:eastAsia="宋体"/>
                <w:sz w:val="16"/>
              </w:rPr>
              <w:t>维修费成本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B579">
            <w:pPr>
              <w:jc w:val="center"/>
            </w:pPr>
            <w:r>
              <w:rPr>
                <w:rFonts w:ascii="宋体" w:hAnsi="宋体" w:eastAsia="宋体"/>
                <w:sz w:val="16"/>
              </w:rPr>
              <w:t>&lt;=6.8万元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46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C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53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3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0E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0D89">
            <w:pPr>
              <w:jc w:val="center"/>
            </w:pPr>
            <w:r>
              <w:rPr>
                <w:rFonts w:ascii="宋体" w:hAnsi="宋体" w:eastAsia="宋体"/>
                <w:sz w:val="16"/>
              </w:rPr>
              <w:t>=6.47万元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31DA">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A1C63">
            <w:pPr>
              <w:jc w:val="center"/>
            </w:pPr>
            <w:r>
              <w:rPr>
                <w:rFonts w:ascii="宋体" w:hAnsi="宋体" w:eastAsia="宋体"/>
                <w:sz w:val="16"/>
              </w:rPr>
              <w:t>偏差原因：维修工程审计后产生结余。整改措施：根据实际情况精心谋划经费使用。</w:t>
            </w:r>
          </w:p>
        </w:tc>
      </w:tr>
      <w:tr w14:paraId="64449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D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3C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FA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5606">
            <w:pPr>
              <w:jc w:val="center"/>
            </w:pPr>
            <w:r>
              <w:rPr>
                <w:rFonts w:ascii="宋体" w:hAnsi="宋体" w:eastAsia="宋体"/>
                <w:sz w:val="16"/>
              </w:rPr>
              <w:t>其他交通费成本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7453">
            <w:pPr>
              <w:jc w:val="center"/>
            </w:pPr>
            <w:r>
              <w:rPr>
                <w:rFonts w:ascii="宋体" w:hAnsi="宋体" w:eastAsia="宋体"/>
                <w:sz w:val="16"/>
              </w:rPr>
              <w:t>&lt;=6.64万元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09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0C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10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8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BB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EA24">
            <w:pPr>
              <w:jc w:val="center"/>
            </w:pPr>
            <w:r>
              <w:rPr>
                <w:rFonts w:ascii="宋体" w:hAnsi="宋体" w:eastAsia="宋体"/>
                <w:sz w:val="16"/>
              </w:rPr>
              <w:t>=6.64万元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1A0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05006">
            <w:pPr>
              <w:jc w:val="center"/>
            </w:pPr>
          </w:p>
        </w:tc>
      </w:tr>
      <w:tr w14:paraId="5A7DF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38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8D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06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E004">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C1EE">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23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A2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60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7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A6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137F">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240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BE75">
            <w:pPr>
              <w:jc w:val="center"/>
            </w:pPr>
          </w:p>
        </w:tc>
      </w:tr>
      <w:tr w14:paraId="26B96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EB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21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D3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38C6">
            <w:pPr>
              <w:jc w:val="center"/>
            </w:pPr>
            <w:r>
              <w:rPr>
                <w:rFonts w:ascii="宋体" w:hAnsi="宋体" w:eastAsia="宋体"/>
                <w:sz w:val="16"/>
              </w:rPr>
              <w:t>有效保障机关工作正常运转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10B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8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14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35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44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5B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FE4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CA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9FFCA">
            <w:pPr>
              <w:jc w:val="center"/>
            </w:pPr>
          </w:p>
        </w:tc>
      </w:tr>
      <w:tr w14:paraId="40284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A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92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F7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49BE">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0A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F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7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51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BE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4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B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A8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7D63">
            <w:pPr>
              <w:jc w:val="center"/>
            </w:pPr>
          </w:p>
        </w:tc>
      </w:tr>
      <w:tr w14:paraId="761344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BF8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5B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487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812ED">
            <w:pPr>
              <w:jc w:val="center"/>
            </w:pPr>
            <w:r>
              <w:rPr>
                <w:rFonts w:ascii="宋体" w:hAnsi="宋体" w:eastAsia="宋体"/>
                <w:sz w:val="16"/>
              </w:rPr>
              <w:t>91.83分</w:t>
            </w:r>
          </w:p>
        </w:tc>
      </w:tr>
    </w:tbl>
    <w:p w14:paraId="486460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E2B3400">
        <w:tblPrEx>
          <w:tblCellMar>
            <w:top w:w="0" w:type="dxa"/>
            <w:left w:w="108" w:type="dxa"/>
            <w:bottom w:w="0" w:type="dxa"/>
            <w:right w:w="108" w:type="dxa"/>
          </w:tblCellMar>
        </w:tblPrEx>
        <w:tc>
          <w:tcPr>
            <w:tcW w:w="8848" w:type="dxa"/>
            <w:gridSpan w:val="14"/>
            <w:vAlign w:val="center"/>
          </w:tcPr>
          <w:p w14:paraId="0284C87D">
            <w:pPr>
              <w:jc w:val="center"/>
            </w:pPr>
            <w:r>
              <w:rPr>
                <w:rFonts w:ascii="宋体" w:hAnsi="宋体" w:eastAsia="宋体"/>
                <w:sz w:val="24"/>
              </w:rPr>
              <w:t>项目支出绩效自评表</w:t>
            </w:r>
          </w:p>
        </w:tc>
      </w:tr>
      <w:tr w14:paraId="6B36E710">
        <w:tblPrEx>
          <w:tblCellMar>
            <w:top w:w="0" w:type="dxa"/>
            <w:left w:w="108" w:type="dxa"/>
            <w:bottom w:w="0" w:type="dxa"/>
            <w:right w:w="108" w:type="dxa"/>
          </w:tblCellMar>
        </w:tblPrEx>
        <w:tc>
          <w:tcPr>
            <w:tcW w:w="8848" w:type="dxa"/>
            <w:gridSpan w:val="14"/>
            <w:vAlign w:val="center"/>
          </w:tcPr>
          <w:p w14:paraId="7E96563E">
            <w:pPr>
              <w:jc w:val="center"/>
            </w:pPr>
            <w:r>
              <w:rPr>
                <w:rFonts w:ascii="宋体" w:hAnsi="宋体" w:eastAsia="宋体"/>
                <w:sz w:val="24"/>
              </w:rPr>
              <w:t>(2024年度)</w:t>
            </w:r>
          </w:p>
        </w:tc>
      </w:tr>
      <w:tr w14:paraId="3AC3A6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3E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C7A2DA">
            <w:pPr>
              <w:jc w:val="center"/>
            </w:pPr>
            <w:r>
              <w:rPr>
                <w:rFonts w:ascii="宋体" w:hAnsi="宋体" w:eastAsia="宋体"/>
                <w:sz w:val="16"/>
              </w:rPr>
              <w:t>老干部参观活动项目</w:t>
            </w:r>
          </w:p>
        </w:tc>
      </w:tr>
      <w:tr w14:paraId="106D6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E0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8E70E">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79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E85297">
            <w:pPr>
              <w:jc w:val="center"/>
            </w:pPr>
            <w:r>
              <w:rPr>
                <w:rFonts w:ascii="宋体" w:hAnsi="宋体" w:eastAsia="宋体"/>
                <w:sz w:val="16"/>
              </w:rPr>
              <w:t>中共喀什地委老干部局</w:t>
            </w:r>
          </w:p>
        </w:tc>
      </w:tr>
      <w:tr w14:paraId="522C03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C0F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5FA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090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85D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A19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D9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F40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8325">
            <w:pPr>
              <w:jc w:val="center"/>
            </w:pPr>
            <w:r>
              <w:rPr>
                <w:rFonts w:ascii="宋体" w:hAnsi="宋体" w:eastAsia="宋体"/>
                <w:sz w:val="16"/>
              </w:rPr>
              <w:t>得分</w:t>
            </w:r>
          </w:p>
        </w:tc>
      </w:tr>
      <w:tr w14:paraId="75813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2A9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ED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AA88">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0969">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0F66">
            <w:pPr>
              <w:jc w:val="center"/>
            </w:pPr>
            <w:r>
              <w:rPr>
                <w:rFonts w:ascii="宋体" w:hAnsi="宋体" w:eastAsia="宋体"/>
                <w:sz w:val="16"/>
              </w:rPr>
              <w:t>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5C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9E48B">
            <w:pPr>
              <w:jc w:val="center"/>
            </w:pPr>
            <w:r>
              <w:rPr>
                <w:rFonts w:ascii="宋体" w:hAnsi="宋体" w:eastAsia="宋体"/>
                <w:sz w:val="16"/>
              </w:rPr>
              <w:t>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D680">
            <w:pPr>
              <w:jc w:val="center"/>
            </w:pPr>
            <w:r>
              <w:rPr>
                <w:rFonts w:ascii="宋体" w:hAnsi="宋体" w:eastAsia="宋体"/>
                <w:sz w:val="16"/>
              </w:rPr>
              <w:t>5.59分</w:t>
            </w:r>
          </w:p>
        </w:tc>
      </w:tr>
      <w:tr w14:paraId="15579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CE2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03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8361">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AA94">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5441">
            <w:pPr>
              <w:jc w:val="center"/>
            </w:pPr>
            <w:r>
              <w:rPr>
                <w:rFonts w:ascii="宋体" w:hAnsi="宋体" w:eastAsia="宋体"/>
                <w:sz w:val="16"/>
              </w:rPr>
              <w:t>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500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552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6028">
            <w:pPr>
              <w:jc w:val="center"/>
            </w:pPr>
            <w:r>
              <w:rPr>
                <w:rFonts w:ascii="宋体" w:hAnsi="宋体" w:eastAsia="宋体"/>
                <w:sz w:val="16"/>
              </w:rPr>
              <w:t>—</w:t>
            </w:r>
          </w:p>
        </w:tc>
      </w:tr>
      <w:tr w14:paraId="5A36E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DE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CE3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93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26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268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AB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07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6510">
            <w:pPr>
              <w:jc w:val="center"/>
            </w:pPr>
            <w:r>
              <w:rPr>
                <w:rFonts w:ascii="宋体" w:hAnsi="宋体" w:eastAsia="宋体"/>
                <w:sz w:val="16"/>
              </w:rPr>
              <w:t>—</w:t>
            </w:r>
          </w:p>
        </w:tc>
      </w:tr>
      <w:tr w14:paraId="03AFD8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2BE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022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F60A5">
            <w:pPr>
              <w:jc w:val="center"/>
            </w:pPr>
            <w:r>
              <w:rPr>
                <w:rFonts w:ascii="宋体" w:hAnsi="宋体" w:eastAsia="宋体"/>
                <w:sz w:val="16"/>
              </w:rPr>
              <w:t>实际完成情况</w:t>
            </w:r>
          </w:p>
        </w:tc>
      </w:tr>
      <w:tr w14:paraId="18D36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263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5580A">
            <w:pPr>
              <w:jc w:val="both"/>
            </w:pPr>
            <w:r>
              <w:rPr>
                <w:rFonts w:ascii="宋体" w:hAnsi="宋体" w:eastAsia="宋体"/>
                <w:sz w:val="16"/>
              </w:rPr>
              <w:t>为充分体现对老干部政治上的尊重和思想上的关怀，组织喀什地区老干部赴县市或疆内其他地州开展参观学习活动2次，项目总投资7.36万元，有效提升老干部体验新时代科技发展带来的便利感。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562B97">
            <w:pPr>
              <w:jc w:val="both"/>
            </w:pPr>
            <w:r>
              <w:rPr>
                <w:rFonts w:ascii="宋体" w:hAnsi="宋体" w:eastAsia="宋体"/>
                <w:sz w:val="16"/>
              </w:rPr>
              <w:t>组织地区老干部赴巴州和阿克苏地区开展参观学习活动1次，有效提升了老干部体验喀什地区在新时代科技发展下带来的便利化，持续促进了党对老干部的关怀。</w:t>
            </w:r>
          </w:p>
        </w:tc>
      </w:tr>
      <w:tr w14:paraId="27DE45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1D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DD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1D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EC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0E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3C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8C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A9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1B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51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D9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84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19C47">
            <w:pPr>
              <w:jc w:val="center"/>
            </w:pPr>
            <w:r>
              <w:rPr>
                <w:rFonts w:ascii="宋体" w:hAnsi="宋体" w:eastAsia="宋体"/>
                <w:sz w:val="16"/>
              </w:rPr>
              <w:t>偏差原因分析及改进措施</w:t>
            </w:r>
          </w:p>
        </w:tc>
      </w:tr>
      <w:tr w14:paraId="438DE7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8D2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8B32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FD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CFC3">
            <w:pPr>
              <w:jc w:val="center"/>
            </w:pPr>
            <w:r>
              <w:rPr>
                <w:rFonts w:ascii="宋体" w:hAnsi="宋体" w:eastAsia="宋体"/>
                <w:sz w:val="16"/>
              </w:rPr>
              <w:t>开展参观活动次数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C42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C1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F17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A3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C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41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75D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37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47B6">
            <w:pPr>
              <w:jc w:val="center"/>
            </w:pPr>
            <w:r>
              <w:rPr>
                <w:rFonts w:ascii="宋体" w:hAnsi="宋体" w:eastAsia="宋体"/>
                <w:sz w:val="16"/>
              </w:rPr>
              <w:t>偏差原因：根据在喀老干部人员情况，实施参观活动1次。整改措施：吸取经验，根据资金情况做好活动方案。</w:t>
            </w:r>
          </w:p>
        </w:tc>
      </w:tr>
      <w:tr w14:paraId="0377D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BA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C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09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DFBA">
            <w:pPr>
              <w:jc w:val="center"/>
            </w:pPr>
            <w:r>
              <w:rPr>
                <w:rFonts w:ascii="宋体" w:hAnsi="宋体" w:eastAsia="宋体"/>
                <w:sz w:val="16"/>
              </w:rPr>
              <w:t>参观活动人员出勤率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7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4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1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D5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86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9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D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7C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F8D4">
            <w:pPr>
              <w:jc w:val="center"/>
            </w:pPr>
          </w:p>
        </w:tc>
      </w:tr>
      <w:tr w14:paraId="2E0DE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65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70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3A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F3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E83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3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D4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4E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D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1E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3E0B">
            <w:pPr>
              <w:jc w:val="center"/>
            </w:pPr>
            <w:r>
              <w:rPr>
                <w:rFonts w:ascii="宋体" w:hAnsi="宋体" w:eastAsia="宋体"/>
                <w:sz w:val="16"/>
              </w:rPr>
              <w:t>=2024年11月8日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5C2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A271">
            <w:pPr>
              <w:jc w:val="center"/>
            </w:pPr>
          </w:p>
        </w:tc>
      </w:tr>
      <w:tr w14:paraId="144EB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DD7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35B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D20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F605">
            <w:pPr>
              <w:jc w:val="center"/>
            </w:pPr>
            <w:r>
              <w:rPr>
                <w:rFonts w:ascii="宋体" w:hAnsi="宋体" w:eastAsia="宋体"/>
                <w:sz w:val="16"/>
              </w:rPr>
              <w:t>参观活动差旅费成本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90F4">
            <w:pPr>
              <w:jc w:val="center"/>
            </w:pPr>
            <w:r>
              <w:rPr>
                <w:rFonts w:ascii="宋体" w:hAnsi="宋体" w:eastAsia="宋体"/>
                <w:sz w:val="16"/>
              </w:rPr>
              <w:t>&lt;=56400元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7C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7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9E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7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64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8E2B">
            <w:pPr>
              <w:jc w:val="center"/>
            </w:pPr>
            <w:r>
              <w:rPr>
                <w:rFonts w:ascii="宋体" w:hAnsi="宋体" w:eastAsia="宋体"/>
                <w:sz w:val="16"/>
              </w:rPr>
              <w:t>=56400元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EE8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886C9">
            <w:pPr>
              <w:jc w:val="center"/>
            </w:pPr>
          </w:p>
        </w:tc>
      </w:tr>
      <w:tr w14:paraId="30886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B4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1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DD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A7B1">
            <w:pPr>
              <w:jc w:val="center"/>
            </w:pPr>
            <w:r>
              <w:rPr>
                <w:rFonts w:ascii="宋体" w:hAnsi="宋体" w:eastAsia="宋体"/>
                <w:sz w:val="16"/>
              </w:rPr>
              <w:t>参观活动租车成本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1F5B">
            <w:pPr>
              <w:jc w:val="center"/>
            </w:pPr>
            <w:r>
              <w:rPr>
                <w:rFonts w:ascii="宋体" w:hAnsi="宋体" w:eastAsia="宋体"/>
                <w:sz w:val="16"/>
              </w:rPr>
              <w:t>&lt;=17200元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4B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20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63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8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FE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E7AE">
            <w:pPr>
              <w:jc w:val="center"/>
            </w:pPr>
            <w:r>
              <w:rPr>
                <w:rFonts w:ascii="宋体" w:hAnsi="宋体" w:eastAsia="宋体"/>
                <w:sz w:val="16"/>
              </w:rPr>
              <w:t>=4200元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E4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F99F">
            <w:pPr>
              <w:jc w:val="center"/>
            </w:pPr>
            <w:r>
              <w:rPr>
                <w:rFonts w:ascii="宋体" w:hAnsi="宋体" w:eastAsia="宋体"/>
                <w:sz w:val="16"/>
              </w:rPr>
              <w:t>偏差原因：因参观阿克苏地区时，相关单位提供了车辆保障，租赁车辆费用产生结余。整改措施：加强资金统筹合理安排各项资金的支出。</w:t>
            </w:r>
          </w:p>
        </w:tc>
      </w:tr>
      <w:tr w14:paraId="683CA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6F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2B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3B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7B38">
            <w:pPr>
              <w:jc w:val="center"/>
            </w:pPr>
            <w:r>
              <w:rPr>
                <w:rFonts w:ascii="宋体" w:hAnsi="宋体" w:eastAsia="宋体"/>
                <w:sz w:val="16"/>
              </w:rPr>
              <w:t>提高老干部体验新时代科技发展带来的便利感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680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D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9E1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26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D4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6A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93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3B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77B0">
            <w:pPr>
              <w:jc w:val="center"/>
            </w:pPr>
          </w:p>
        </w:tc>
      </w:tr>
      <w:tr w14:paraId="723D8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89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8D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A9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591F">
            <w:pPr>
              <w:jc w:val="center"/>
            </w:pPr>
            <w:r>
              <w:rPr>
                <w:rFonts w:ascii="宋体" w:hAnsi="宋体" w:eastAsia="宋体"/>
                <w:sz w:val="16"/>
              </w:rPr>
              <w:t>参观活动人员满意度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4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D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1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9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55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E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5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89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EF232">
            <w:pPr>
              <w:jc w:val="center"/>
            </w:pPr>
          </w:p>
        </w:tc>
      </w:tr>
      <w:tr w14:paraId="05B84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709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9A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ADC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837FF">
            <w:pPr>
              <w:jc w:val="center"/>
            </w:pPr>
            <w:r>
              <w:rPr>
                <w:rFonts w:ascii="宋体" w:hAnsi="宋体" w:eastAsia="宋体"/>
                <w:sz w:val="16"/>
              </w:rPr>
              <w:t>85.59分</w:t>
            </w:r>
          </w:p>
        </w:tc>
      </w:tr>
    </w:tbl>
    <w:p w14:paraId="08AB4114">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856"/>
        <w:gridCol w:w="601"/>
        <w:gridCol w:w="621"/>
        <w:gridCol w:w="601"/>
        <w:gridCol w:w="601"/>
        <w:gridCol w:w="601"/>
        <w:gridCol w:w="936"/>
        <w:gridCol w:w="628"/>
        <w:gridCol w:w="560"/>
        <w:gridCol w:w="631"/>
      </w:tblGrid>
      <w:tr w14:paraId="1C50F97C">
        <w:tblPrEx>
          <w:tblCellMar>
            <w:top w:w="0" w:type="dxa"/>
            <w:left w:w="108" w:type="dxa"/>
            <w:bottom w:w="0" w:type="dxa"/>
            <w:right w:w="108" w:type="dxa"/>
          </w:tblCellMar>
        </w:tblPrEx>
        <w:tc>
          <w:tcPr>
            <w:tcW w:w="8848" w:type="dxa"/>
            <w:gridSpan w:val="14"/>
            <w:vAlign w:val="center"/>
          </w:tcPr>
          <w:p w14:paraId="7FD3A817">
            <w:pPr>
              <w:jc w:val="center"/>
            </w:pPr>
            <w:r>
              <w:rPr>
                <w:rFonts w:ascii="宋体" w:hAnsi="宋体" w:eastAsia="宋体"/>
                <w:sz w:val="24"/>
              </w:rPr>
              <w:t>项目支出绩效自评表</w:t>
            </w:r>
          </w:p>
        </w:tc>
      </w:tr>
      <w:tr w14:paraId="6EF37F40">
        <w:tblPrEx>
          <w:tblCellMar>
            <w:top w:w="0" w:type="dxa"/>
            <w:left w:w="108" w:type="dxa"/>
            <w:bottom w:w="0" w:type="dxa"/>
            <w:right w:w="108" w:type="dxa"/>
          </w:tblCellMar>
        </w:tblPrEx>
        <w:tc>
          <w:tcPr>
            <w:tcW w:w="8848" w:type="dxa"/>
            <w:gridSpan w:val="14"/>
            <w:vAlign w:val="center"/>
          </w:tcPr>
          <w:p w14:paraId="145AD072">
            <w:pPr>
              <w:jc w:val="center"/>
            </w:pPr>
            <w:r>
              <w:rPr>
                <w:rFonts w:ascii="宋体" w:hAnsi="宋体" w:eastAsia="宋体"/>
                <w:sz w:val="24"/>
              </w:rPr>
              <w:t>(2024年度)</w:t>
            </w:r>
          </w:p>
        </w:tc>
      </w:tr>
      <w:tr w14:paraId="63B032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1A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0804CC">
            <w:pPr>
              <w:jc w:val="center"/>
            </w:pPr>
            <w:r>
              <w:rPr>
                <w:rFonts w:ascii="宋体" w:hAnsi="宋体" w:eastAsia="宋体"/>
                <w:sz w:val="16"/>
              </w:rPr>
              <w:t>老干部活动中心运转项目</w:t>
            </w:r>
          </w:p>
        </w:tc>
      </w:tr>
      <w:tr w14:paraId="2599E4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AE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9E053">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3B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624FE">
            <w:pPr>
              <w:jc w:val="center"/>
            </w:pPr>
            <w:r>
              <w:rPr>
                <w:rFonts w:ascii="宋体" w:hAnsi="宋体" w:eastAsia="宋体"/>
                <w:sz w:val="16"/>
              </w:rPr>
              <w:t>中共喀什地委老干部局</w:t>
            </w:r>
          </w:p>
        </w:tc>
      </w:tr>
      <w:tr w14:paraId="2F025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091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30E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63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C6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99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512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51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F198">
            <w:pPr>
              <w:jc w:val="center"/>
            </w:pPr>
            <w:r>
              <w:rPr>
                <w:rFonts w:ascii="宋体" w:hAnsi="宋体" w:eastAsia="宋体"/>
                <w:sz w:val="16"/>
              </w:rPr>
              <w:t>得分</w:t>
            </w:r>
          </w:p>
        </w:tc>
      </w:tr>
      <w:tr w14:paraId="728D2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A33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B5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FF15C">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B32A">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03A44">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FC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A89AE">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C650">
            <w:pPr>
              <w:jc w:val="center"/>
            </w:pPr>
            <w:r>
              <w:rPr>
                <w:rFonts w:ascii="宋体" w:hAnsi="宋体" w:eastAsia="宋体"/>
                <w:sz w:val="16"/>
              </w:rPr>
              <w:t>10.00分</w:t>
            </w:r>
          </w:p>
        </w:tc>
      </w:tr>
      <w:tr w14:paraId="60125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16B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06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5811">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09E6">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B16B4">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E0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8B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9B63">
            <w:pPr>
              <w:jc w:val="center"/>
            </w:pPr>
            <w:r>
              <w:rPr>
                <w:rFonts w:ascii="宋体" w:hAnsi="宋体" w:eastAsia="宋体"/>
                <w:sz w:val="16"/>
              </w:rPr>
              <w:t>—</w:t>
            </w:r>
          </w:p>
        </w:tc>
      </w:tr>
      <w:tr w14:paraId="54B41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0AB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E0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07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34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40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08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CE0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C9D0">
            <w:pPr>
              <w:jc w:val="center"/>
            </w:pPr>
            <w:r>
              <w:rPr>
                <w:rFonts w:ascii="宋体" w:hAnsi="宋体" w:eastAsia="宋体"/>
                <w:sz w:val="16"/>
              </w:rPr>
              <w:t>—</w:t>
            </w:r>
          </w:p>
        </w:tc>
      </w:tr>
      <w:tr w14:paraId="4D9CD8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10A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5A9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CBAB9F">
            <w:pPr>
              <w:jc w:val="center"/>
            </w:pPr>
            <w:r>
              <w:rPr>
                <w:rFonts w:ascii="宋体" w:hAnsi="宋体" w:eastAsia="宋体"/>
                <w:sz w:val="16"/>
              </w:rPr>
              <w:t>实际完成情况</w:t>
            </w:r>
          </w:p>
        </w:tc>
      </w:tr>
      <w:tr w14:paraId="4771F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5F6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D7D48">
            <w:pPr>
              <w:jc w:val="both"/>
            </w:pPr>
            <w:r>
              <w:rPr>
                <w:rFonts w:ascii="宋体" w:hAnsi="宋体" w:eastAsia="宋体"/>
                <w:sz w:val="16"/>
              </w:rPr>
              <w:t>根据《调整离退休干部活动费标准的通知》（喀党组通字〔2014〕15号）等相关文件和老干部工作安排，项目总投资15.55万元，在三八妇女节、七一或重阳节等节日，举办文艺表演或小型活动次数6次，项目建设促进老干部身心健康，保障活动中心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F0EA46">
            <w:pPr>
              <w:jc w:val="both"/>
            </w:pPr>
            <w:r>
              <w:rPr>
                <w:rFonts w:hint="eastAsia" w:ascii="宋体" w:hAnsi="宋体"/>
                <w:sz w:val="16"/>
                <w:lang w:eastAsia="zh-CN"/>
              </w:rPr>
              <w:t>本单位</w:t>
            </w:r>
            <w:r>
              <w:rPr>
                <w:rFonts w:ascii="宋体" w:hAnsi="宋体" w:eastAsia="宋体"/>
                <w:sz w:val="16"/>
              </w:rPr>
              <w:t>在三八妇女节、七一和建国75周年等节日组织开展文艺汇演活动，举办了七一系列乒乓球和羽毛球比赛和喜迎国庆气排球等小型活动比赛和健康知识讲座，正常缴纳活动中心水电费等，保障了中心正常的运转，提升了老干部的身心健康。</w:t>
            </w:r>
          </w:p>
        </w:tc>
      </w:tr>
      <w:tr w14:paraId="794C0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5DB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BB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6C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48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C2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7A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5F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AB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16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A0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0C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61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3473E">
            <w:pPr>
              <w:jc w:val="center"/>
            </w:pPr>
            <w:r>
              <w:rPr>
                <w:rFonts w:ascii="宋体" w:hAnsi="宋体" w:eastAsia="宋体"/>
                <w:sz w:val="16"/>
              </w:rPr>
              <w:t>偏差原因分析及改进措施</w:t>
            </w:r>
          </w:p>
        </w:tc>
      </w:tr>
      <w:tr w14:paraId="1869FB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36A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6934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4C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04AD">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A157">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7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75E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AF8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0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D9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F2ED">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A408">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2905">
            <w:pPr>
              <w:jc w:val="center"/>
            </w:pPr>
            <w:r>
              <w:rPr>
                <w:rFonts w:ascii="宋体" w:hAnsi="宋体" w:eastAsia="宋体"/>
                <w:sz w:val="16"/>
              </w:rPr>
              <w:t>偏差原因：为丰富老同志娱乐生活，节日开展活动次数多。整改措施：精准谋划开展好各类活动</w:t>
            </w:r>
          </w:p>
        </w:tc>
      </w:tr>
      <w:tr w14:paraId="618D2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B7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71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73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2401">
            <w:pPr>
              <w:jc w:val="center"/>
            </w:pPr>
            <w:r>
              <w:rPr>
                <w:rFonts w:ascii="宋体" w:hAnsi="宋体" w:eastAsia="宋体"/>
                <w:sz w:val="16"/>
              </w:rPr>
              <w:t>购置物资验收合格率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9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20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9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87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DF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AE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2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DFD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D5D72">
            <w:pPr>
              <w:jc w:val="center"/>
            </w:pPr>
          </w:p>
        </w:tc>
      </w:tr>
      <w:tr w14:paraId="76254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3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1A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3B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0B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69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E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C7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1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9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21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AE93">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B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7A010">
            <w:pPr>
              <w:jc w:val="center"/>
            </w:pPr>
          </w:p>
        </w:tc>
      </w:tr>
      <w:tr w14:paraId="41D68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0EC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6E5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35E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65AA">
            <w:pPr>
              <w:jc w:val="center"/>
            </w:pPr>
            <w:r>
              <w:rPr>
                <w:rFonts w:ascii="宋体" w:hAnsi="宋体" w:eastAsia="宋体"/>
                <w:sz w:val="16"/>
              </w:rPr>
              <w:t>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03063">
            <w:pPr>
              <w:jc w:val="center"/>
            </w:pPr>
            <w:r>
              <w:rPr>
                <w:rFonts w:ascii="宋体" w:hAnsi="宋体" w:eastAsia="宋体"/>
                <w:sz w:val="16"/>
              </w:rPr>
              <w:t>&lt;=109842元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8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A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16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9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19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B655">
            <w:pPr>
              <w:jc w:val="center"/>
            </w:pPr>
            <w:r>
              <w:rPr>
                <w:rFonts w:ascii="宋体" w:hAnsi="宋体" w:eastAsia="宋体"/>
                <w:sz w:val="16"/>
              </w:rPr>
              <w:t>=107697.8元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2351">
            <w:pPr>
              <w:jc w:val="center"/>
            </w:pPr>
            <w:r>
              <w:rPr>
                <w:rFonts w:ascii="宋体" w:hAnsi="宋体" w:eastAsia="宋体"/>
                <w:sz w:val="16"/>
              </w:rPr>
              <w:t>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2367D">
            <w:pPr>
              <w:jc w:val="center"/>
            </w:pPr>
            <w:r>
              <w:rPr>
                <w:rFonts w:ascii="宋体" w:hAnsi="宋体" w:eastAsia="宋体"/>
                <w:sz w:val="16"/>
              </w:rPr>
              <w:t>偏差原因：采取了有效的节水措施，水费有结余。整改措施：加强资金支出计划，精准分配资金。</w:t>
            </w:r>
          </w:p>
        </w:tc>
      </w:tr>
      <w:tr w14:paraId="2E6E2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B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1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D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BCB9">
            <w:pPr>
              <w:jc w:val="center"/>
            </w:pPr>
            <w:r>
              <w:rPr>
                <w:rFonts w:ascii="宋体" w:hAnsi="宋体" w:eastAsia="宋体"/>
                <w:sz w:val="16"/>
              </w:rPr>
              <w:t>采购物资成本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9228">
            <w:pPr>
              <w:jc w:val="center"/>
            </w:pPr>
            <w:r>
              <w:rPr>
                <w:rFonts w:ascii="宋体" w:hAnsi="宋体" w:eastAsia="宋体"/>
                <w:sz w:val="16"/>
              </w:rPr>
              <w:t>&lt;=45658元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5F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5B96">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B4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E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D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2709">
            <w:pPr>
              <w:jc w:val="center"/>
            </w:pPr>
            <w:r>
              <w:rPr>
                <w:rFonts w:ascii="宋体" w:hAnsi="宋体" w:eastAsia="宋体"/>
                <w:sz w:val="16"/>
              </w:rPr>
              <w:t>=45621元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1C38">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8A72A">
            <w:pPr>
              <w:jc w:val="center"/>
            </w:pPr>
            <w:r>
              <w:rPr>
                <w:rFonts w:ascii="宋体" w:hAnsi="宋体" w:eastAsia="宋体"/>
                <w:sz w:val="16"/>
              </w:rPr>
              <w:t>偏差原因：根据开展活动实际发放人数</w:t>
            </w:r>
            <w:r>
              <w:rPr>
                <w:rFonts w:hint="eastAsia" w:ascii="宋体" w:hAnsi="宋体"/>
                <w:sz w:val="16"/>
                <w:lang w:eastAsia="zh-CN"/>
              </w:rPr>
              <w:t>购买</w:t>
            </w:r>
            <w:r>
              <w:rPr>
                <w:rFonts w:ascii="宋体" w:hAnsi="宋体" w:eastAsia="宋体"/>
                <w:sz w:val="16"/>
              </w:rPr>
              <w:t>相关物品。整改措施：加强资金支出计划，精准分配资金。</w:t>
            </w:r>
          </w:p>
        </w:tc>
      </w:tr>
      <w:tr w14:paraId="36808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EB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8F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EE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7D20">
            <w:pPr>
              <w:jc w:val="center"/>
            </w:pPr>
            <w:r>
              <w:rPr>
                <w:rFonts w:ascii="宋体" w:hAnsi="宋体" w:eastAsia="宋体"/>
                <w:sz w:val="16"/>
              </w:rPr>
              <w:t>提高老干部身心健康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88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7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B80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8A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FF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2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40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F8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83A85">
            <w:pPr>
              <w:jc w:val="center"/>
            </w:pPr>
          </w:p>
        </w:tc>
      </w:tr>
      <w:tr w14:paraId="6A736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98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89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3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9C55">
            <w:pPr>
              <w:jc w:val="center"/>
            </w:pPr>
            <w:r>
              <w:rPr>
                <w:rFonts w:ascii="宋体" w:hAnsi="宋体" w:eastAsia="宋体"/>
                <w:sz w:val="16"/>
              </w:rPr>
              <w:t>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7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B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32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F1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B0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14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0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55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E7E2">
            <w:pPr>
              <w:jc w:val="center"/>
            </w:pPr>
          </w:p>
        </w:tc>
      </w:tr>
      <w:tr w14:paraId="5A978B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D0F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96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7C2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DEF948">
            <w:pPr>
              <w:jc w:val="center"/>
            </w:pPr>
            <w:r>
              <w:rPr>
                <w:rFonts w:ascii="宋体" w:hAnsi="宋体" w:eastAsia="宋体"/>
                <w:sz w:val="16"/>
              </w:rPr>
              <w:t>97.09分</w:t>
            </w:r>
          </w:p>
        </w:tc>
      </w:tr>
    </w:tbl>
    <w:p w14:paraId="1839CE92">
      <w:r>
        <w:br w:type="page"/>
      </w:r>
    </w:p>
    <w:p w14:paraId="40A03EBA">
      <w:pPr>
        <w:spacing w:line="640" w:lineRule="exact"/>
        <w:ind w:firstLine="640"/>
        <w:jc w:val="both"/>
        <w:outlineLvl w:val="2"/>
      </w:pPr>
      <w:r>
        <w:rPr>
          <w:rFonts w:ascii="黑体" w:hAnsi="黑体" w:eastAsia="黑体"/>
          <w:sz w:val="32"/>
        </w:rPr>
        <w:t>十二、其他需说明的事项</w:t>
      </w:r>
    </w:p>
    <w:p w14:paraId="3AE73305">
      <w:pPr>
        <w:spacing w:line="580" w:lineRule="exact"/>
        <w:ind w:firstLine="640"/>
        <w:jc w:val="both"/>
      </w:pPr>
      <w:r>
        <w:rPr>
          <w:rFonts w:ascii="仿宋_GB2312" w:hAnsi="仿宋_GB2312" w:eastAsia="仿宋_GB2312"/>
          <w:b w:val="0"/>
          <w:sz w:val="32"/>
        </w:rPr>
        <w:t>本单位无其他需说明的事项。</w:t>
      </w:r>
    </w:p>
    <w:p w14:paraId="44A21D60">
      <w:r>
        <w:br w:type="page"/>
      </w:r>
    </w:p>
    <w:p w14:paraId="7ADB2315">
      <w:pPr>
        <w:spacing w:line="240" w:lineRule="auto"/>
        <w:jc w:val="center"/>
        <w:outlineLvl w:val="1"/>
      </w:pPr>
      <w:r>
        <w:rPr>
          <w:rFonts w:ascii="黑体" w:hAnsi="黑体" w:eastAsia="黑体"/>
          <w:sz w:val="32"/>
        </w:rPr>
        <w:t>第三部分 专业名词解释</w:t>
      </w:r>
    </w:p>
    <w:p w14:paraId="1F44BB1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F34D5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8562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4029D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311C4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D1309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81FF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9676E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75DB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AAF4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5580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FD1B9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5600CE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2D56B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2241E3">
      <w:r>
        <w:br w:type="page"/>
      </w:r>
    </w:p>
    <w:p w14:paraId="1FFBF55C">
      <w:pPr>
        <w:spacing w:line="240" w:lineRule="auto"/>
        <w:jc w:val="center"/>
        <w:outlineLvl w:val="1"/>
      </w:pPr>
      <w:r>
        <w:rPr>
          <w:rFonts w:ascii="黑体" w:hAnsi="黑体" w:eastAsia="黑体"/>
          <w:sz w:val="32"/>
        </w:rPr>
        <w:t>第四部分 部门决算报表（见附表）</w:t>
      </w:r>
    </w:p>
    <w:p w14:paraId="5FA3598E">
      <w:pPr>
        <w:spacing w:line="240" w:lineRule="auto"/>
        <w:ind w:firstLine="640"/>
        <w:jc w:val="both"/>
      </w:pPr>
      <w:r>
        <w:rPr>
          <w:rFonts w:ascii="仿宋_GB2312" w:hAnsi="仿宋_GB2312" w:eastAsia="仿宋_GB2312"/>
          <w:b w:val="0"/>
          <w:sz w:val="32"/>
        </w:rPr>
        <w:t>一、《收入支出决算总表》</w:t>
      </w:r>
    </w:p>
    <w:p w14:paraId="263BA98E">
      <w:pPr>
        <w:spacing w:line="240" w:lineRule="auto"/>
        <w:ind w:firstLine="640"/>
        <w:jc w:val="both"/>
      </w:pPr>
      <w:r>
        <w:rPr>
          <w:rFonts w:ascii="仿宋_GB2312" w:hAnsi="仿宋_GB2312" w:eastAsia="仿宋_GB2312"/>
          <w:b w:val="0"/>
          <w:sz w:val="32"/>
        </w:rPr>
        <w:t>二、《收入决算表》</w:t>
      </w:r>
    </w:p>
    <w:p w14:paraId="297E311C">
      <w:pPr>
        <w:spacing w:line="240" w:lineRule="auto"/>
        <w:ind w:firstLine="640"/>
        <w:jc w:val="both"/>
      </w:pPr>
      <w:r>
        <w:rPr>
          <w:rFonts w:ascii="仿宋_GB2312" w:hAnsi="仿宋_GB2312" w:eastAsia="仿宋_GB2312"/>
          <w:b w:val="0"/>
          <w:sz w:val="32"/>
        </w:rPr>
        <w:t>三、《支出决算表》</w:t>
      </w:r>
    </w:p>
    <w:p w14:paraId="19BC659B">
      <w:pPr>
        <w:spacing w:line="240" w:lineRule="auto"/>
        <w:ind w:firstLine="640"/>
        <w:jc w:val="both"/>
      </w:pPr>
      <w:r>
        <w:rPr>
          <w:rFonts w:ascii="仿宋_GB2312" w:hAnsi="仿宋_GB2312" w:eastAsia="仿宋_GB2312"/>
          <w:b w:val="0"/>
          <w:sz w:val="32"/>
        </w:rPr>
        <w:t>四、《财政拨款收入支出决算总表》</w:t>
      </w:r>
    </w:p>
    <w:p w14:paraId="08E9DF9E">
      <w:pPr>
        <w:spacing w:line="240" w:lineRule="auto"/>
        <w:ind w:firstLine="640"/>
        <w:jc w:val="both"/>
      </w:pPr>
      <w:r>
        <w:rPr>
          <w:rFonts w:ascii="仿宋_GB2312" w:hAnsi="仿宋_GB2312" w:eastAsia="仿宋_GB2312"/>
          <w:b w:val="0"/>
          <w:sz w:val="32"/>
        </w:rPr>
        <w:t>五、《一般公共预算财政拨款支出决算表》</w:t>
      </w:r>
    </w:p>
    <w:p w14:paraId="3E3D125C">
      <w:pPr>
        <w:spacing w:line="240" w:lineRule="auto"/>
        <w:ind w:firstLine="640"/>
        <w:jc w:val="both"/>
      </w:pPr>
      <w:r>
        <w:rPr>
          <w:rFonts w:ascii="仿宋_GB2312" w:hAnsi="仿宋_GB2312" w:eastAsia="仿宋_GB2312"/>
          <w:b w:val="0"/>
          <w:sz w:val="32"/>
        </w:rPr>
        <w:t>六、《一般公共预算财政拨款基本支出决算表》</w:t>
      </w:r>
    </w:p>
    <w:p w14:paraId="383B74AB">
      <w:pPr>
        <w:spacing w:line="240" w:lineRule="auto"/>
        <w:ind w:firstLine="640"/>
        <w:jc w:val="both"/>
      </w:pPr>
      <w:r>
        <w:rPr>
          <w:rFonts w:ascii="仿宋_GB2312" w:hAnsi="仿宋_GB2312" w:eastAsia="仿宋_GB2312"/>
          <w:b w:val="0"/>
          <w:sz w:val="32"/>
        </w:rPr>
        <w:t>七、《政府性基金预算财政拨款收入支出决算表》</w:t>
      </w:r>
    </w:p>
    <w:p w14:paraId="29D777E5">
      <w:pPr>
        <w:spacing w:line="240" w:lineRule="auto"/>
        <w:ind w:firstLine="640"/>
        <w:jc w:val="both"/>
      </w:pPr>
      <w:r>
        <w:rPr>
          <w:rFonts w:ascii="仿宋_GB2312" w:hAnsi="仿宋_GB2312" w:eastAsia="仿宋_GB2312"/>
          <w:b w:val="0"/>
          <w:sz w:val="32"/>
        </w:rPr>
        <w:t>八、《国有资本经营预算财政拨款收入支出决算表》</w:t>
      </w:r>
    </w:p>
    <w:p w14:paraId="4F56F0A8">
      <w:pPr>
        <w:spacing w:line="240" w:lineRule="auto"/>
        <w:ind w:firstLine="640"/>
        <w:jc w:val="both"/>
      </w:pPr>
      <w:r>
        <w:rPr>
          <w:rFonts w:ascii="仿宋_GB2312" w:hAnsi="仿宋_GB2312" w:eastAsia="仿宋_GB2312"/>
          <w:b w:val="0"/>
          <w:sz w:val="32"/>
        </w:rPr>
        <w:t>九、《财政拨款“三公”经费支出决算表》</w:t>
      </w:r>
    </w:p>
    <w:p w14:paraId="25D27576">
      <w:pPr>
        <w:spacing w:line="240" w:lineRule="auto"/>
        <w:ind w:firstLine="640"/>
        <w:jc w:val="both"/>
      </w:pPr>
    </w:p>
    <w:p w14:paraId="413AAEF8">
      <w:pPr>
        <w:spacing w:line="240" w:lineRule="auto"/>
        <w:ind w:firstLine="640"/>
        <w:jc w:val="both"/>
      </w:pPr>
    </w:p>
    <w:p w14:paraId="17AAD3FB">
      <w:pPr>
        <w:spacing w:line="240" w:lineRule="auto"/>
        <w:ind w:firstLine="640"/>
        <w:jc w:val="both"/>
      </w:pPr>
    </w:p>
    <w:p w14:paraId="2D35D76D">
      <w:pPr>
        <w:spacing w:line="240" w:lineRule="auto"/>
        <w:ind w:firstLine="640"/>
        <w:jc w:val="both"/>
      </w:pPr>
    </w:p>
    <w:p w14:paraId="2857A0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28ED0B-9249-43A7-859A-6E36CE5D70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8EB1866-CEA4-4C0E-B02D-83AD048DB3F7}"/>
  </w:font>
  <w:font w:name="方正小标宋_GBK">
    <w:panose1 w:val="02000000000000000000"/>
    <w:charset w:val="86"/>
    <w:family w:val="script"/>
    <w:pitch w:val="default"/>
    <w:sig w:usb0="A00002BF" w:usb1="38CF7CFA" w:usb2="00082016" w:usb3="00000000" w:csb0="00040001" w:csb1="00000000"/>
    <w:embedRegular r:id="rId3" w:fontKey="{85B10437-A681-40FD-9AAA-2334D1BE99C5}"/>
  </w:font>
  <w:font w:name="楷体_GB2312">
    <w:altName w:val="楷体"/>
    <w:panose1 w:val="02010609030101010101"/>
    <w:charset w:val="86"/>
    <w:family w:val="auto"/>
    <w:pitch w:val="default"/>
    <w:sig w:usb0="00000000" w:usb1="00000000" w:usb2="00000000" w:usb3="00000000" w:csb0="00040000" w:csb1="00000000"/>
    <w:embedRegular r:id="rId4" w:fontKey="{829C8F81-941B-4ECC-95EB-EF48A96F8FA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4676F4"/>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37721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A61B1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5701</Words>
  <Characters>6504</Characters>
  <Lines>0</Lines>
  <Paragraphs>0</Paragraphs>
  <TotalTime>2</TotalTime>
  <ScaleCrop>false</ScaleCrop>
  <LinksUpToDate>false</LinksUpToDate>
  <CharactersWithSpaces>6512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