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伽师县人民法院2024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FC70EB2">
      <w:r>
        <w:br w:type="page"/>
      </w:r>
    </w:p>
    <w:p w14:paraId="00261C19">
      <w:pPr>
        <w:spacing w:line="640" w:lineRule="exact"/>
        <w:jc w:val="center"/>
        <w:outlineLvl w:val="1"/>
      </w:pPr>
      <w:r>
        <w:rPr>
          <w:rFonts w:ascii="黑体" w:hAnsi="黑体" w:eastAsia="黑体"/>
          <w:sz w:val="32"/>
        </w:rPr>
        <w:t>第一部分 部门概况</w:t>
      </w:r>
    </w:p>
    <w:p w14:paraId="17BE13FC">
      <w:pPr>
        <w:spacing w:line="640" w:lineRule="exact"/>
        <w:ind w:firstLine="640"/>
        <w:jc w:val="both"/>
        <w:outlineLvl w:val="2"/>
      </w:pPr>
      <w:r>
        <w:rPr>
          <w:rFonts w:ascii="黑体" w:hAnsi="黑体" w:eastAsia="黑体"/>
          <w:sz w:val="32"/>
        </w:rPr>
        <w:t>一、主要职能</w:t>
      </w:r>
    </w:p>
    <w:p w14:paraId="0CCE46BB">
      <w:pPr>
        <w:spacing w:line="580" w:lineRule="exact"/>
        <w:ind w:firstLine="640"/>
        <w:jc w:val="both"/>
      </w:pPr>
      <w:r>
        <w:rPr>
          <w:rFonts w:ascii="仿宋_GB2312" w:hAnsi="仿宋_GB2312" w:eastAsia="仿宋_GB2312"/>
          <w:sz w:val="32"/>
        </w:rPr>
        <w:t>（1）依据宪法独立行使审判权，依法履行审判职能。</w:t>
      </w:r>
    </w:p>
    <w:p w14:paraId="4D61F7F5">
      <w:pPr>
        <w:spacing w:line="580" w:lineRule="exact"/>
        <w:ind w:firstLine="640"/>
        <w:jc w:val="both"/>
      </w:pPr>
      <w:r>
        <w:rPr>
          <w:rFonts w:ascii="仿宋_GB2312" w:hAnsi="仿宋_GB2312" w:eastAsia="仿宋_GB2312"/>
          <w:sz w:val="32"/>
        </w:rPr>
        <w:t>（2）依法审理各类一审刑事案件，惩办一切犯罪分子，维护社会安定。</w:t>
      </w:r>
    </w:p>
    <w:p w14:paraId="1F1A6130">
      <w:pPr>
        <w:spacing w:line="580" w:lineRule="exact"/>
        <w:ind w:firstLine="640"/>
        <w:jc w:val="both"/>
      </w:pPr>
      <w:r>
        <w:rPr>
          <w:rFonts w:ascii="仿宋_GB2312" w:hAnsi="仿宋_GB2312" w:eastAsia="仿宋_GB2312"/>
          <w:sz w:val="32"/>
        </w:rPr>
        <w:t>（3）依法审理各类一审民事案件，解决民事纠纷，保护公民法人的合法权益。</w:t>
      </w:r>
    </w:p>
    <w:p w14:paraId="45CF1A36">
      <w:pPr>
        <w:spacing w:line="580" w:lineRule="exact"/>
        <w:ind w:firstLine="640"/>
        <w:jc w:val="both"/>
      </w:pPr>
      <w:r>
        <w:rPr>
          <w:rFonts w:ascii="仿宋_GB2312" w:hAnsi="仿宋_GB2312" w:eastAsia="仿宋_GB2312"/>
          <w:sz w:val="32"/>
        </w:rPr>
        <w:t>（4）依法审理各类一审经济纠纷案件，调节经济关系，维护社会经济秩序，保障我县经济健康发展。</w:t>
      </w:r>
    </w:p>
    <w:p w14:paraId="130CDF0B">
      <w:pPr>
        <w:spacing w:line="580" w:lineRule="exact"/>
        <w:ind w:firstLine="640"/>
        <w:jc w:val="both"/>
      </w:pPr>
      <w:r>
        <w:rPr>
          <w:rFonts w:ascii="仿宋_GB2312" w:hAnsi="仿宋_GB2312" w:eastAsia="仿宋_GB2312"/>
          <w:sz w:val="32"/>
        </w:rPr>
        <w:t>（5）依法审理各类一审诉讼案件，保护公民、法人和其他组织的合法权益</w:t>
      </w:r>
      <w:r>
        <w:rPr>
          <w:rFonts w:hint="eastAsia" w:ascii="仿宋_GB2312" w:hAnsi="仿宋_GB2312" w:eastAsia="仿宋_GB2312"/>
          <w:sz w:val="32"/>
          <w:lang w:eastAsia="zh-CN"/>
        </w:rPr>
        <w:t>，</w:t>
      </w:r>
      <w:r>
        <w:rPr>
          <w:rFonts w:ascii="仿宋_GB2312" w:hAnsi="仿宋_GB2312" w:eastAsia="仿宋_GB2312"/>
          <w:sz w:val="32"/>
        </w:rPr>
        <w:t>监督和支持行政机关依法行使职权。</w:t>
      </w:r>
    </w:p>
    <w:p w14:paraId="6491F39B">
      <w:pPr>
        <w:spacing w:line="580" w:lineRule="exact"/>
        <w:ind w:firstLine="640"/>
        <w:jc w:val="both"/>
      </w:pPr>
      <w:r>
        <w:rPr>
          <w:rFonts w:ascii="仿宋_GB2312" w:hAnsi="仿宋_GB2312" w:eastAsia="仿宋_GB2312"/>
          <w:sz w:val="32"/>
        </w:rPr>
        <w:t>（6）审理各类依照法律应当由基层人民法院按照再审程序审理的案件。</w:t>
      </w:r>
    </w:p>
    <w:p w14:paraId="2353366A">
      <w:pPr>
        <w:spacing w:line="580" w:lineRule="exact"/>
        <w:ind w:firstLine="640"/>
        <w:jc w:val="both"/>
      </w:pPr>
      <w:r>
        <w:rPr>
          <w:rFonts w:ascii="仿宋_GB2312" w:hAnsi="仿宋_GB2312" w:eastAsia="仿宋_GB2312"/>
          <w:sz w:val="32"/>
        </w:rPr>
        <w:t>（7）依法审理中级人民法院批准或指定的由我院审判的刑事、民事、经济、行政等案件。</w:t>
      </w:r>
    </w:p>
    <w:p w14:paraId="1B1057A8">
      <w:pPr>
        <w:spacing w:line="580" w:lineRule="exact"/>
        <w:ind w:firstLine="640"/>
        <w:jc w:val="both"/>
      </w:pPr>
      <w:r>
        <w:rPr>
          <w:rFonts w:ascii="仿宋_GB2312" w:hAnsi="仿宋_GB2312" w:eastAsia="仿宋_GB2312"/>
          <w:sz w:val="32"/>
        </w:rPr>
        <w:t>（8）负责指导农村人民调解委员会的工作。</w:t>
      </w:r>
    </w:p>
    <w:p w14:paraId="0370FFA0">
      <w:pPr>
        <w:spacing w:line="580" w:lineRule="exact"/>
        <w:ind w:firstLine="640"/>
        <w:jc w:val="both"/>
      </w:pPr>
      <w:r>
        <w:rPr>
          <w:rFonts w:ascii="仿宋_GB2312" w:hAnsi="仿宋_GB2312" w:eastAsia="仿宋_GB2312"/>
          <w:sz w:val="32"/>
        </w:rPr>
        <w:t>（9）主动接受上级人民法院的领导，在上级人民法院的统一领导下，开展审判业务工作。</w:t>
      </w:r>
    </w:p>
    <w:p w14:paraId="118530BF">
      <w:pPr>
        <w:spacing w:line="580" w:lineRule="exact"/>
        <w:ind w:firstLine="640"/>
        <w:jc w:val="both"/>
      </w:pPr>
      <w:r>
        <w:rPr>
          <w:rFonts w:ascii="仿宋_GB2312" w:hAnsi="仿宋_GB2312" w:eastAsia="仿宋_GB2312"/>
          <w:sz w:val="32"/>
        </w:rPr>
        <w:t>（10）主动接受党委的领导，依法接受伽师县人民代表大会及其常务委员会的监督，向伽师县人民代表大会及其常务委员会负责并报告工作；依法向伽师县人民代表大会及其常务委员会提出方案，接受同级人大常委会的质询。</w:t>
      </w:r>
    </w:p>
    <w:p w14:paraId="65403BDC">
      <w:pPr>
        <w:spacing w:line="580" w:lineRule="exact"/>
        <w:ind w:firstLine="640"/>
        <w:jc w:val="both"/>
      </w:pPr>
      <w:r>
        <w:rPr>
          <w:rFonts w:ascii="仿宋_GB2312" w:hAnsi="仿宋_GB2312" w:eastAsia="仿宋_GB2312"/>
          <w:sz w:val="32"/>
        </w:rPr>
        <w:t>（11）指导各基层人民法庭的审判业务、思想政治、教育培训工作，按照权限管理法官、书记员、司法警察及司法行政人员。</w:t>
      </w:r>
    </w:p>
    <w:p w14:paraId="6F5020FF">
      <w:pPr>
        <w:spacing w:line="580" w:lineRule="exact"/>
        <w:ind w:firstLine="640"/>
        <w:jc w:val="both"/>
      </w:pPr>
      <w:r>
        <w:rPr>
          <w:rFonts w:ascii="仿宋_GB2312" w:hAnsi="仿宋_GB2312" w:eastAsia="仿宋_GB2312"/>
          <w:sz w:val="32"/>
        </w:rPr>
        <w:t>（12）利用审判活动，积极开展法治宣传教育，提高公民法律意识和守法观念。</w:t>
      </w:r>
    </w:p>
    <w:p w14:paraId="02AE4341">
      <w:pPr>
        <w:spacing w:line="580" w:lineRule="exact"/>
        <w:ind w:firstLine="640"/>
        <w:jc w:val="both"/>
      </w:pPr>
      <w:r>
        <w:rPr>
          <w:rFonts w:ascii="仿宋_GB2312" w:hAnsi="仿宋_GB2312" w:eastAsia="仿宋_GB2312"/>
          <w:sz w:val="32"/>
        </w:rPr>
        <w:t>（13）开展审判工作研究，积极总结和探索基层人民法院审判工作以及改革、建设的经验。</w:t>
      </w:r>
    </w:p>
    <w:p w14:paraId="07CAE5CC">
      <w:pPr>
        <w:spacing w:line="580" w:lineRule="exact"/>
        <w:ind w:firstLine="640"/>
        <w:jc w:val="both"/>
      </w:pPr>
      <w:r>
        <w:rPr>
          <w:rFonts w:ascii="仿宋_GB2312" w:hAnsi="仿宋_GB2312" w:eastAsia="仿宋_GB2312"/>
          <w:sz w:val="32"/>
        </w:rPr>
        <w:t>（14）在县党委领导下开展党风廉政建设、社会治安综合治理、精神文明创建等各项工作。</w:t>
      </w:r>
    </w:p>
    <w:p w14:paraId="3D201D3F">
      <w:pPr>
        <w:spacing w:line="580" w:lineRule="exact"/>
        <w:ind w:firstLine="640"/>
        <w:jc w:val="both"/>
      </w:pPr>
      <w:r>
        <w:rPr>
          <w:rFonts w:ascii="仿宋_GB2312" w:hAnsi="仿宋_GB2312" w:eastAsia="仿宋_GB2312"/>
          <w:sz w:val="32"/>
        </w:rPr>
        <w:t>（15）依照规定，向伽师县人民代表大会常务委员会提请任免本院的副院长、审判委员会委员、审判员，协同</w:t>
      </w:r>
      <w:r>
        <w:rPr>
          <w:rFonts w:hint="eastAsia" w:ascii="仿宋_GB2312" w:hAnsi="仿宋_GB2312" w:eastAsia="仿宋_GB2312"/>
          <w:sz w:val="32"/>
          <w:lang w:eastAsia="zh-CN"/>
        </w:rPr>
        <w:t>县委、县政府</w:t>
      </w:r>
      <w:r>
        <w:rPr>
          <w:rFonts w:ascii="仿宋_GB2312" w:hAnsi="仿宋_GB2312" w:eastAsia="仿宋_GB2312"/>
          <w:sz w:val="32"/>
        </w:rPr>
        <w:t>主管部门和人大考核本院的院长、副院长、审判委员会委员、审判员。</w:t>
      </w:r>
    </w:p>
    <w:p w14:paraId="093A0701">
      <w:pPr>
        <w:spacing w:line="640" w:lineRule="exact"/>
        <w:ind w:firstLine="640"/>
        <w:jc w:val="both"/>
        <w:outlineLvl w:val="2"/>
      </w:pPr>
      <w:r>
        <w:rPr>
          <w:rFonts w:ascii="黑体" w:hAnsi="黑体" w:eastAsia="黑体"/>
          <w:sz w:val="32"/>
        </w:rPr>
        <w:t>二、机构设置及人员情况</w:t>
      </w:r>
    </w:p>
    <w:p w14:paraId="2E3CE66F">
      <w:pPr>
        <w:spacing w:line="580" w:lineRule="exact"/>
        <w:ind w:firstLine="640"/>
        <w:jc w:val="both"/>
      </w:pPr>
      <w:r>
        <w:rPr>
          <w:rFonts w:ascii="仿宋_GB2312" w:hAnsi="仿宋_GB2312" w:eastAsia="仿宋_GB2312"/>
          <w:sz w:val="32"/>
        </w:rPr>
        <w:t>伽师县人民法院2024年度，实有人数117人，其中：在职人员78人，增加5人；离休人员0人，增加0人；退休人员39人,增加0人。</w:t>
      </w:r>
    </w:p>
    <w:p w14:paraId="27286BBD">
      <w:pPr>
        <w:spacing w:line="580" w:lineRule="exact"/>
        <w:ind w:firstLine="640"/>
        <w:jc w:val="both"/>
      </w:pPr>
      <w:r>
        <w:rPr>
          <w:rFonts w:ascii="仿宋_GB2312" w:hAnsi="仿宋_GB2312" w:eastAsia="仿宋_GB2312"/>
          <w:sz w:val="32"/>
        </w:rPr>
        <w:t>伽师县人民法院无下属预算单位，下设14个科室，分别是：政治部、综合办公室、刑事审判庭、民事审判庭、执行局、立案庭(诉讼服务中心)、审判管理办公室、行政审判庭、克孜勒苏人民法庭、克孜勒布依人民法庭、和夏瓦提人民法庭、卧里托格拉克人民法庭、古勒鲁克人民法庭、玉代克力克人民法庭。</w:t>
      </w:r>
    </w:p>
    <w:p w14:paraId="7946D45E">
      <w:r>
        <w:br w:type="page"/>
      </w:r>
    </w:p>
    <w:p w14:paraId="336BE65E">
      <w:pPr>
        <w:spacing w:line="240" w:lineRule="auto"/>
        <w:jc w:val="center"/>
        <w:outlineLvl w:val="1"/>
      </w:pPr>
      <w:r>
        <w:rPr>
          <w:rFonts w:ascii="黑体" w:hAnsi="黑体" w:eastAsia="黑体"/>
          <w:sz w:val="32"/>
        </w:rPr>
        <w:t>第二部分 部门决算情况说明</w:t>
      </w:r>
    </w:p>
    <w:p w14:paraId="247E9E07">
      <w:pPr>
        <w:spacing w:line="640" w:lineRule="exact"/>
        <w:ind w:firstLine="640"/>
        <w:jc w:val="both"/>
        <w:outlineLvl w:val="2"/>
      </w:pPr>
      <w:r>
        <w:rPr>
          <w:rFonts w:ascii="黑体" w:hAnsi="黑体" w:eastAsia="黑体"/>
          <w:sz w:val="32"/>
        </w:rPr>
        <w:t>一、收入支出决算总体情况说明</w:t>
      </w:r>
    </w:p>
    <w:p w14:paraId="7A565241">
      <w:pPr>
        <w:spacing w:line="580" w:lineRule="exact"/>
        <w:ind w:firstLine="640"/>
        <w:jc w:val="both"/>
      </w:pPr>
      <w:r>
        <w:rPr>
          <w:rFonts w:ascii="仿宋_GB2312" w:hAnsi="仿宋_GB2312" w:eastAsia="仿宋_GB2312"/>
          <w:b/>
          <w:sz w:val="32"/>
        </w:rPr>
        <w:t>2024年度收入总计2,507.11万元，</w:t>
      </w:r>
      <w:r>
        <w:rPr>
          <w:rFonts w:ascii="仿宋_GB2312" w:hAnsi="仿宋_GB2312" w:eastAsia="仿宋_GB2312"/>
          <w:b w:val="0"/>
          <w:sz w:val="32"/>
        </w:rPr>
        <w:t>其中：本年收入合计2,502.88万元，使用非财政拨款结余（含专用结余）0.00万元，年初结转和结余4.22万元。</w:t>
      </w:r>
    </w:p>
    <w:p w14:paraId="40E82338">
      <w:pPr>
        <w:spacing w:line="580" w:lineRule="exact"/>
        <w:ind w:firstLine="640"/>
        <w:jc w:val="both"/>
      </w:pPr>
      <w:r>
        <w:rPr>
          <w:rFonts w:ascii="仿宋_GB2312" w:hAnsi="仿宋_GB2312" w:eastAsia="仿宋_GB2312"/>
          <w:b/>
          <w:sz w:val="32"/>
        </w:rPr>
        <w:t>2024年度支出总计2,507.11万元，</w:t>
      </w:r>
      <w:r>
        <w:rPr>
          <w:rFonts w:ascii="仿宋_GB2312" w:hAnsi="仿宋_GB2312" w:eastAsia="仿宋_GB2312"/>
          <w:b w:val="0"/>
          <w:sz w:val="32"/>
        </w:rPr>
        <w:t>其中：本年支出合计2,494.67万元，结余分配0.00万元，年末结转和结余12.44万元。</w:t>
      </w:r>
    </w:p>
    <w:p w14:paraId="0AC32519">
      <w:pPr>
        <w:spacing w:line="580" w:lineRule="exact"/>
        <w:ind w:firstLine="640"/>
        <w:jc w:val="both"/>
      </w:pPr>
      <w:r>
        <w:rPr>
          <w:rFonts w:ascii="仿宋_GB2312" w:hAnsi="仿宋_GB2312" w:eastAsia="仿宋_GB2312"/>
          <w:b w:val="0"/>
          <w:sz w:val="32"/>
        </w:rPr>
        <w:t>收入支出总体与上年相比，增加81.96万元，增长3.38%，主要原因是：本年在职人员增加，在职人员工资调增、社保、公积金基数调增，人员经费增加；本年援疆资金项目资金结转和结余较上年增加。</w:t>
      </w:r>
    </w:p>
    <w:p w14:paraId="74A7597F">
      <w:pPr>
        <w:spacing w:line="640" w:lineRule="exact"/>
        <w:ind w:firstLine="640"/>
        <w:jc w:val="both"/>
        <w:outlineLvl w:val="2"/>
      </w:pPr>
      <w:r>
        <w:rPr>
          <w:rFonts w:ascii="黑体" w:hAnsi="黑体" w:eastAsia="黑体"/>
          <w:sz w:val="32"/>
        </w:rPr>
        <w:t>二、收入决算情况说明</w:t>
      </w:r>
    </w:p>
    <w:p w14:paraId="664266E5">
      <w:pPr>
        <w:spacing w:line="580" w:lineRule="exact"/>
        <w:ind w:firstLine="640"/>
        <w:jc w:val="both"/>
      </w:pPr>
      <w:r>
        <w:rPr>
          <w:rFonts w:ascii="仿宋_GB2312" w:hAnsi="仿宋_GB2312" w:eastAsia="仿宋_GB2312"/>
          <w:b/>
          <w:sz w:val="32"/>
        </w:rPr>
        <w:t>本年收入2,502.88万元，</w:t>
      </w:r>
      <w:r>
        <w:rPr>
          <w:rFonts w:ascii="仿宋_GB2312" w:hAnsi="仿宋_GB2312" w:eastAsia="仿宋_GB2312"/>
          <w:b w:val="0"/>
          <w:sz w:val="32"/>
        </w:rPr>
        <w:t>其中：财政拨款收入2,422.88万元，占96.80%；上级补助收入0.00万元，占0.00%；事业收入0.00万元，占0.00%；经营收入0.00万元，占0.00%；附属单位上缴收入0.00万元，占0.00%；其他收入80.00万元，占3.20%。</w:t>
      </w:r>
    </w:p>
    <w:p w14:paraId="532C48B9">
      <w:pPr>
        <w:spacing w:line="640" w:lineRule="exact"/>
        <w:ind w:firstLine="640"/>
        <w:jc w:val="both"/>
        <w:outlineLvl w:val="2"/>
      </w:pPr>
      <w:r>
        <w:rPr>
          <w:rFonts w:ascii="黑体" w:hAnsi="黑体" w:eastAsia="黑体"/>
          <w:sz w:val="32"/>
        </w:rPr>
        <w:t>三、支出决算情况说明</w:t>
      </w:r>
    </w:p>
    <w:p w14:paraId="20FC8F33">
      <w:pPr>
        <w:spacing w:line="580" w:lineRule="exact"/>
        <w:ind w:firstLine="640"/>
        <w:jc w:val="both"/>
      </w:pPr>
      <w:r>
        <w:rPr>
          <w:rFonts w:ascii="仿宋_GB2312" w:hAnsi="仿宋_GB2312" w:eastAsia="仿宋_GB2312"/>
          <w:b/>
          <w:sz w:val="32"/>
        </w:rPr>
        <w:t>本年支出2,494.67万元，</w:t>
      </w:r>
      <w:r>
        <w:rPr>
          <w:rFonts w:ascii="仿宋_GB2312" w:hAnsi="仿宋_GB2312" w:eastAsia="仿宋_GB2312"/>
          <w:b w:val="0"/>
          <w:sz w:val="32"/>
        </w:rPr>
        <w:t>其中：基本支出1,804.62万元，占72.34%；项目支出690.04万元，占27.66%；上缴上级支出0.00万元，占0.00%；经营支出0.00万元，占0.00%；对附属单位补助支出0.00万元，占0.00%。</w:t>
      </w:r>
    </w:p>
    <w:p w14:paraId="03ADCADF">
      <w:pPr>
        <w:spacing w:line="640" w:lineRule="exact"/>
        <w:ind w:firstLine="640"/>
        <w:jc w:val="both"/>
        <w:outlineLvl w:val="2"/>
      </w:pPr>
      <w:r>
        <w:rPr>
          <w:rFonts w:ascii="黑体" w:hAnsi="黑体" w:eastAsia="黑体"/>
          <w:sz w:val="32"/>
        </w:rPr>
        <w:t>四、财政拨款收入支出决算总体情况说明</w:t>
      </w:r>
    </w:p>
    <w:p w14:paraId="3340817A">
      <w:pPr>
        <w:spacing w:line="580" w:lineRule="exact"/>
        <w:ind w:firstLine="640"/>
        <w:jc w:val="both"/>
      </w:pPr>
      <w:r>
        <w:rPr>
          <w:rFonts w:ascii="仿宋_GB2312" w:hAnsi="仿宋_GB2312" w:eastAsia="仿宋_GB2312"/>
          <w:b/>
          <w:sz w:val="32"/>
        </w:rPr>
        <w:t>2024年度财政拨款收入总计2,422.88万元，</w:t>
      </w:r>
      <w:r>
        <w:rPr>
          <w:rFonts w:ascii="仿宋_GB2312" w:hAnsi="仿宋_GB2312" w:eastAsia="仿宋_GB2312"/>
          <w:b w:val="0"/>
          <w:sz w:val="32"/>
        </w:rPr>
        <w:t>其中：年初财政拨款结转和结余0.00万元，本年财政拨款收入2,422.88万元。</w:t>
      </w:r>
      <w:r>
        <w:rPr>
          <w:rFonts w:ascii="仿宋_GB2312" w:hAnsi="仿宋_GB2312" w:eastAsia="仿宋_GB2312"/>
          <w:b/>
          <w:sz w:val="32"/>
        </w:rPr>
        <w:t>财政拨款支出总计2,422.88万元，</w:t>
      </w:r>
      <w:r>
        <w:rPr>
          <w:rFonts w:ascii="仿宋_GB2312" w:hAnsi="仿宋_GB2312" w:eastAsia="仿宋_GB2312"/>
          <w:b w:val="0"/>
          <w:sz w:val="32"/>
        </w:rPr>
        <w:t>其中：年末财政拨款结转和结余0.00万元，本年财政拨款支出2,422.88万元。</w:t>
      </w:r>
    </w:p>
    <w:p w14:paraId="45FD811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增加57.73万元，增长2.44%，主要原因是：本年在职人员增加，在职人员工资调增、社保、公积金基数调增，人员经费增加。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2,380.85万元，决算数2,422.88万元，预决算差异率1.77%，主要原因是：本年在职人员增加，年中追加人员经费及人员工资、社保、公积金基数调增部分资金，年中追加上级专项资金项目，导致预决算存在差异。</w:t>
      </w:r>
    </w:p>
    <w:p w14:paraId="6486A265">
      <w:pPr>
        <w:spacing w:line="640" w:lineRule="exact"/>
        <w:ind w:firstLine="640"/>
        <w:jc w:val="both"/>
        <w:outlineLvl w:val="2"/>
      </w:pPr>
      <w:r>
        <w:rPr>
          <w:rFonts w:ascii="黑体" w:hAnsi="黑体" w:eastAsia="黑体"/>
          <w:sz w:val="32"/>
        </w:rPr>
        <w:t>五、一般公共预算财政拨款支出决算情况说明</w:t>
      </w:r>
    </w:p>
    <w:p w14:paraId="54ABC6A1">
      <w:pPr>
        <w:spacing w:line="640" w:lineRule="exact"/>
        <w:ind w:firstLine="640"/>
        <w:jc w:val="both"/>
        <w:outlineLvl w:val="3"/>
      </w:pPr>
      <w:r>
        <w:rPr>
          <w:rFonts w:ascii="楷体_GB2312" w:hAnsi="楷体_GB2312" w:eastAsia="楷体_GB2312"/>
          <w:b/>
          <w:sz w:val="32"/>
        </w:rPr>
        <w:t>（一）一般公共预算财政拨款支出决算总体情况</w:t>
      </w:r>
    </w:p>
    <w:p w14:paraId="5826D122">
      <w:pPr>
        <w:spacing w:line="580" w:lineRule="exact"/>
        <w:ind w:firstLine="640"/>
        <w:jc w:val="both"/>
      </w:pPr>
      <w:r>
        <w:rPr>
          <w:rFonts w:ascii="仿宋_GB2312" w:hAnsi="仿宋_GB2312" w:eastAsia="仿宋_GB2312"/>
          <w:b/>
          <w:sz w:val="32"/>
        </w:rPr>
        <w:t>2024年度一般公共预算财政拨款支出2,422.88万元，</w:t>
      </w:r>
      <w:r>
        <w:rPr>
          <w:rFonts w:ascii="仿宋_GB2312" w:hAnsi="仿宋_GB2312" w:eastAsia="仿宋_GB2312"/>
          <w:b w:val="0"/>
          <w:sz w:val="32"/>
        </w:rPr>
        <w:t>占本年支出合计的97.12%。</w:t>
      </w:r>
      <w:r>
        <w:rPr>
          <w:rFonts w:ascii="仿宋_GB2312" w:hAnsi="仿宋_GB2312" w:eastAsia="仿宋_GB2312"/>
          <w:b/>
          <w:sz w:val="32"/>
        </w:rPr>
        <w:t>与上年相比，</w:t>
      </w:r>
      <w:r>
        <w:rPr>
          <w:rFonts w:ascii="仿宋_GB2312" w:hAnsi="仿宋_GB2312" w:eastAsia="仿宋_GB2312"/>
          <w:b w:val="0"/>
          <w:sz w:val="32"/>
        </w:rPr>
        <w:t>增加57.73万元，增长2.44%，主要原因是：本年在职人员增加，在职人员工资调增、社保、公积金基数调增，人员经费增加，本年增加上级专项资金项目，导致经费较上年增加。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2,380.85万元，决算数2,422.88万元，预决算差异率1.77%，主要原因是：本年在职人员增加，年中追加人员经费及人员工资、社保、公积金基数调增部分资金，年中追加上级专项项目资金，导致预决算存在差异。</w:t>
      </w:r>
    </w:p>
    <w:p w14:paraId="19D402DC">
      <w:pPr>
        <w:spacing w:line="640" w:lineRule="exact"/>
        <w:ind w:firstLine="640"/>
        <w:jc w:val="both"/>
        <w:outlineLvl w:val="3"/>
      </w:pPr>
      <w:r>
        <w:rPr>
          <w:rFonts w:ascii="楷体_GB2312" w:hAnsi="楷体_GB2312" w:eastAsia="楷体_GB2312"/>
          <w:b/>
          <w:sz w:val="32"/>
        </w:rPr>
        <w:t>（二）一般公共预算财政拨款支出决算结构情况</w:t>
      </w:r>
    </w:p>
    <w:p w14:paraId="7C8DC63E">
      <w:pPr>
        <w:spacing w:line="580" w:lineRule="exact"/>
        <w:ind w:firstLine="640"/>
        <w:jc w:val="both"/>
      </w:pPr>
      <w:r>
        <w:rPr>
          <w:rFonts w:ascii="仿宋_GB2312" w:hAnsi="仿宋_GB2312" w:eastAsia="仿宋_GB2312"/>
          <w:b w:val="0"/>
          <w:sz w:val="32"/>
        </w:rPr>
        <w:t>1.公共安全支出(类)2,025.24万元,占83.59%。</w:t>
      </w:r>
    </w:p>
    <w:p w14:paraId="18A9F148">
      <w:pPr>
        <w:spacing w:line="580" w:lineRule="exact"/>
        <w:ind w:firstLine="640"/>
        <w:jc w:val="both"/>
      </w:pPr>
      <w:r>
        <w:rPr>
          <w:rFonts w:ascii="仿宋_GB2312" w:hAnsi="仿宋_GB2312" w:eastAsia="仿宋_GB2312"/>
          <w:b w:val="0"/>
          <w:sz w:val="32"/>
        </w:rPr>
        <w:t>2.社会保障和就业支出(类)202.95万元,占8.38%。</w:t>
      </w:r>
    </w:p>
    <w:p w14:paraId="67972EE3">
      <w:pPr>
        <w:spacing w:line="580" w:lineRule="exact"/>
        <w:ind w:firstLine="640"/>
        <w:jc w:val="both"/>
      </w:pPr>
      <w:r>
        <w:rPr>
          <w:rFonts w:ascii="仿宋_GB2312" w:hAnsi="仿宋_GB2312" w:eastAsia="仿宋_GB2312"/>
          <w:b w:val="0"/>
          <w:sz w:val="32"/>
        </w:rPr>
        <w:t>3.卫生健康支出(类)77.01万元,占3.18%。</w:t>
      </w:r>
    </w:p>
    <w:p w14:paraId="2FDD6953">
      <w:pPr>
        <w:spacing w:line="580" w:lineRule="exact"/>
        <w:ind w:firstLine="640"/>
        <w:jc w:val="both"/>
      </w:pPr>
      <w:r>
        <w:rPr>
          <w:rFonts w:ascii="仿宋_GB2312" w:hAnsi="仿宋_GB2312" w:eastAsia="仿宋_GB2312"/>
          <w:b w:val="0"/>
          <w:sz w:val="32"/>
        </w:rPr>
        <w:t>4.住房保障支出(类)117.68万元,占4.86%。</w:t>
      </w:r>
    </w:p>
    <w:p w14:paraId="66E763C1">
      <w:pPr>
        <w:spacing w:line="640" w:lineRule="exact"/>
        <w:ind w:firstLine="640"/>
        <w:jc w:val="both"/>
        <w:outlineLvl w:val="3"/>
      </w:pPr>
      <w:r>
        <w:rPr>
          <w:rFonts w:ascii="楷体_GB2312" w:hAnsi="楷体_GB2312" w:eastAsia="楷体_GB2312"/>
          <w:b/>
          <w:sz w:val="32"/>
        </w:rPr>
        <w:t>（三）一般公共预算财政拨款支出决算具体情况</w:t>
      </w:r>
    </w:p>
    <w:p w14:paraId="689F3A94">
      <w:pPr>
        <w:spacing w:line="580" w:lineRule="exact"/>
        <w:ind w:firstLine="640"/>
        <w:jc w:val="both"/>
      </w:pPr>
      <w:r>
        <w:rPr>
          <w:rFonts w:ascii="仿宋_GB2312" w:hAnsi="仿宋_GB2312" w:eastAsia="仿宋_GB2312"/>
          <w:b w:val="0"/>
          <w:sz w:val="32"/>
        </w:rPr>
        <w:t>1.公共安全支出(类)法院(款)行政运行(项):支出决算数为1,406.98万元，比上年决算增加12.30万元，增长0.88%,主要原因是：本年新增在职人员，人员经费增加，导致经费较上年有所增加。</w:t>
      </w:r>
    </w:p>
    <w:p w14:paraId="7FAF36D5">
      <w:pPr>
        <w:spacing w:line="580" w:lineRule="exact"/>
        <w:ind w:firstLine="640"/>
        <w:jc w:val="both"/>
      </w:pPr>
      <w:r>
        <w:rPr>
          <w:rFonts w:ascii="仿宋_GB2312" w:hAnsi="仿宋_GB2312" w:eastAsia="仿宋_GB2312"/>
          <w:b w:val="0"/>
          <w:sz w:val="32"/>
        </w:rPr>
        <w:t>2.公共安全支出(类)法院(款)一般行政管理事务(项):支出决算数为126.37万元，比上年决算减少40.83万元，下降24.42%,主要原因是：本年司法绩效项目资金较上年减少、本级业务保障项目经费较上年减少，导致经费支出较上年减少。</w:t>
      </w:r>
    </w:p>
    <w:p w14:paraId="392F90F3">
      <w:pPr>
        <w:spacing w:line="580" w:lineRule="exact"/>
        <w:ind w:firstLine="640"/>
        <w:jc w:val="both"/>
      </w:pPr>
      <w:r>
        <w:rPr>
          <w:rFonts w:ascii="仿宋_GB2312" w:hAnsi="仿宋_GB2312" w:eastAsia="仿宋_GB2312"/>
          <w:b w:val="0"/>
          <w:sz w:val="32"/>
        </w:rPr>
        <w:t>3.公共安全支出(类)法院(款)其他法院支出(项):支出决算数为491.90万元，比上年决算增加67.96万元，增长16.03%,主要原因是：本年上级专项资金较上年增加，导致支出决算数增加。</w:t>
      </w:r>
    </w:p>
    <w:p w14:paraId="5BBE3CF0">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4.社会保障和就业支出(类)行政事业单位养老支出(款)行政单位离退休(项):支出决算数为54.18万元，比上年决算增加12.98万元，增长31.50%,主要原因是：本年增加退休人员基础绩效奖，退休费支出增加。</w:t>
      </w:r>
    </w:p>
    <w:p w14:paraId="0A60CAC9">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140.39万元，比上年决算增加12.98万元，增长10.19%,主要原因是：本年在职人员增加，养老保险缴费较上年增加。</w:t>
      </w:r>
    </w:p>
    <w:p w14:paraId="494AC4DF">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8.38万元，比上年决算减少2.63万元，下降23.89%,主要原因是：本年新增退休人员较上年减少，职业年金缴费较上年减少。</w:t>
      </w:r>
    </w:p>
    <w:p w14:paraId="274143E5">
      <w:pPr>
        <w:spacing w:line="580" w:lineRule="exact"/>
        <w:ind w:firstLine="640"/>
        <w:jc w:val="both"/>
      </w:pPr>
      <w:r>
        <w:rPr>
          <w:rFonts w:ascii="仿宋_GB2312" w:hAnsi="仿宋_GB2312" w:eastAsia="仿宋_GB2312"/>
          <w:b w:val="0"/>
          <w:sz w:val="32"/>
        </w:rPr>
        <w:t>7.社会保障和就业支出(类)抚恤(款)死亡抚恤(项):支出决算数为0.00万元，比上年决算减少22.01万元，下降100.00%,主要原因是：本年无新增死亡人员，死亡抚恤支出较上年减少。</w:t>
      </w:r>
    </w:p>
    <w:p w14:paraId="098BFBBB">
      <w:pPr>
        <w:spacing w:line="580" w:lineRule="exact"/>
        <w:ind w:firstLine="640"/>
        <w:jc w:val="both"/>
      </w:pPr>
      <w:r>
        <w:rPr>
          <w:rFonts w:ascii="仿宋_GB2312" w:hAnsi="仿宋_GB2312" w:eastAsia="仿宋_GB2312"/>
          <w:b w:val="0"/>
          <w:sz w:val="32"/>
        </w:rPr>
        <w:t>8.卫生健康支出(类)行政事业单位医疗(款)行政单位医疗(项):支出决算数为59.67万元，比上年决算增加5.30万元，增长9.75%,主要原因是：本年在职人员增加，行政单位医疗支出较上年增加。</w:t>
      </w:r>
    </w:p>
    <w:p w14:paraId="59503DAF">
      <w:pPr>
        <w:spacing w:line="580" w:lineRule="exact"/>
        <w:ind w:firstLine="640"/>
        <w:jc w:val="both"/>
      </w:pPr>
      <w:r>
        <w:rPr>
          <w:rFonts w:ascii="仿宋_GB2312" w:hAnsi="仿宋_GB2312" w:eastAsia="仿宋_GB2312"/>
          <w:b w:val="0"/>
          <w:sz w:val="32"/>
        </w:rPr>
        <w:t>9.卫生健康支出(类)行政事业单位医疗(款)公务员医疗补助(项):支出决算数为17.35万元，比上年决算增加1.55万元，增长9.81%,主要原因是：本年在职人员增加，公务员医疗补助较上年增加。</w:t>
      </w:r>
    </w:p>
    <w:p w14:paraId="42FE0F51">
      <w:pPr>
        <w:spacing w:line="580" w:lineRule="exact"/>
        <w:ind w:firstLine="640"/>
        <w:jc w:val="both"/>
      </w:pPr>
      <w:r>
        <w:rPr>
          <w:rFonts w:ascii="仿宋_GB2312" w:hAnsi="仿宋_GB2312" w:eastAsia="仿宋_GB2312"/>
          <w:b w:val="0"/>
          <w:sz w:val="32"/>
        </w:rPr>
        <w:t>10.住房保障支出(类)住房改革支出(款)住房公积金(项):支出决算数为117.68万元，比上年决算增加10.15万元，增长9.44%,主要原因是：本年在职人员增加，住房公积金支出较上年增加。</w:t>
      </w:r>
    </w:p>
    <w:p w14:paraId="115D6653">
      <w:pPr>
        <w:spacing w:line="640" w:lineRule="exact"/>
        <w:ind w:firstLine="640"/>
        <w:jc w:val="both"/>
        <w:outlineLvl w:val="2"/>
      </w:pPr>
      <w:r>
        <w:rPr>
          <w:rFonts w:ascii="黑体" w:hAnsi="黑体" w:eastAsia="黑体"/>
          <w:sz w:val="32"/>
        </w:rPr>
        <w:t>六、一般公共预算财政拨款基本支出决算情况说明</w:t>
      </w:r>
    </w:p>
    <w:p w14:paraId="4D56ABCD">
      <w:pPr>
        <w:spacing w:line="580" w:lineRule="exact"/>
        <w:ind w:firstLine="640"/>
        <w:jc w:val="both"/>
      </w:pPr>
      <w:r>
        <w:rPr>
          <w:rFonts w:ascii="仿宋_GB2312" w:hAnsi="仿宋_GB2312" w:eastAsia="仿宋_GB2312"/>
          <w:b w:val="0"/>
          <w:sz w:val="32"/>
        </w:rPr>
        <w:t>2024年度一般公共预算财政拨款基本支出1,804.62万元，其中：</w:t>
      </w:r>
      <w:r>
        <w:rPr>
          <w:rFonts w:ascii="仿宋_GB2312" w:hAnsi="仿宋_GB2312" w:eastAsia="仿宋_GB2312"/>
          <w:b/>
          <w:sz w:val="32"/>
        </w:rPr>
        <w:t>人员经费1,689.83万元，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w:t>
      </w:r>
    </w:p>
    <w:p w14:paraId="7F509415">
      <w:pPr>
        <w:spacing w:line="580" w:lineRule="exact"/>
        <w:ind w:firstLine="640"/>
        <w:jc w:val="both"/>
      </w:pPr>
      <w:r>
        <w:rPr>
          <w:rFonts w:ascii="仿宋_GB2312" w:hAnsi="仿宋_GB2312" w:eastAsia="仿宋_GB2312"/>
          <w:b/>
          <w:sz w:val="32"/>
        </w:rPr>
        <w:t>公用经费114.79万元，</w:t>
      </w:r>
      <w:r>
        <w:rPr>
          <w:rFonts w:ascii="仿宋_GB2312" w:hAnsi="仿宋_GB2312" w:eastAsia="仿宋_GB2312"/>
          <w:b w:val="0"/>
          <w:sz w:val="32"/>
        </w:rPr>
        <w:t>包括：手续费、水费、电费、取暖费、物业管理费、专用材料费、工会经费、公务用车运行维护费、其他商品和服务支出。</w:t>
      </w:r>
    </w:p>
    <w:p w14:paraId="62F868FE">
      <w:pPr>
        <w:spacing w:line="640" w:lineRule="exact"/>
        <w:ind w:firstLine="640"/>
        <w:jc w:val="both"/>
        <w:outlineLvl w:val="2"/>
      </w:pPr>
      <w:r>
        <w:rPr>
          <w:rFonts w:ascii="黑体" w:hAnsi="黑体" w:eastAsia="黑体"/>
          <w:sz w:val="32"/>
        </w:rPr>
        <w:t>七、政府性基金预算财政拨款收入支出决算情况说明</w:t>
      </w:r>
    </w:p>
    <w:p w14:paraId="55100AB7">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45BD7D92">
      <w:pPr>
        <w:spacing w:line="640" w:lineRule="exact"/>
        <w:ind w:firstLine="640"/>
        <w:jc w:val="both"/>
        <w:outlineLvl w:val="2"/>
      </w:pPr>
      <w:r>
        <w:rPr>
          <w:rFonts w:ascii="黑体" w:hAnsi="黑体" w:eastAsia="黑体"/>
          <w:sz w:val="32"/>
        </w:rPr>
        <w:t>八、国有资本经营预算财政拨款收入支出决算情况说明</w:t>
      </w:r>
    </w:p>
    <w:p w14:paraId="58CA550F">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408BFC2B">
      <w:pPr>
        <w:spacing w:line="640" w:lineRule="exact"/>
        <w:ind w:firstLine="640"/>
        <w:jc w:val="both"/>
        <w:outlineLvl w:val="2"/>
      </w:pPr>
      <w:r>
        <w:rPr>
          <w:rFonts w:ascii="黑体" w:hAnsi="黑体" w:eastAsia="黑体"/>
          <w:sz w:val="32"/>
        </w:rPr>
        <w:t>九、财政拨款“三公”经费支出决算情况说明</w:t>
      </w:r>
    </w:p>
    <w:p w14:paraId="144772A2">
      <w:pPr>
        <w:spacing w:line="580" w:lineRule="exact"/>
        <w:ind w:firstLine="640"/>
        <w:jc w:val="both"/>
      </w:pPr>
      <w:r>
        <w:rPr>
          <w:rFonts w:ascii="仿宋_GB2312" w:hAnsi="仿宋_GB2312" w:eastAsia="仿宋_GB2312"/>
          <w:b/>
          <w:sz w:val="32"/>
        </w:rPr>
        <w:t>2024年度财政拨款“三公”经费支出64.20万元，</w:t>
      </w:r>
      <w:r>
        <w:rPr>
          <w:rFonts w:ascii="仿宋_GB2312" w:hAnsi="仿宋_GB2312" w:eastAsia="仿宋_GB2312"/>
          <w:b w:val="0"/>
          <w:sz w:val="32"/>
        </w:rPr>
        <w:t>比上年增加30.09万元，增长88.21%，主要原因是：本年新购入公务用车，公务用车购置费较上年增加。其中：因公出国（境）费支出0.00万元，占0.00%，比上年增加0.00万元，增长0.00%，主要原因是：2023年与2024年均未安排因公出国（境）费支出。公务用车购置及运行维护费支出64.20万元，占100.00%，比上年增加30.09万元，增长88.21%，主要原因是：本年新购入公务用车，公务用车购置费较上年增加。公务接待费支出0.00万元，占0.00%，比上年增加0.00万元，增长0.00%，主要原因是：2023年与2024年均未安排公务接待费支出。</w:t>
      </w:r>
    </w:p>
    <w:p w14:paraId="1EE2F7B4">
      <w:pPr>
        <w:spacing w:line="580" w:lineRule="exact"/>
        <w:ind w:firstLine="640"/>
        <w:jc w:val="both"/>
      </w:pPr>
      <w:r>
        <w:rPr>
          <w:rFonts w:ascii="仿宋_GB2312" w:hAnsi="仿宋_GB2312" w:eastAsia="仿宋_GB2312"/>
          <w:b/>
          <w:sz w:val="32"/>
        </w:rPr>
        <w:t>具体情况如下：</w:t>
      </w:r>
    </w:p>
    <w:p w14:paraId="65A52FAA">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522A06C">
      <w:pPr>
        <w:spacing w:line="580" w:lineRule="exact"/>
        <w:ind w:firstLine="640"/>
        <w:jc w:val="both"/>
      </w:pPr>
      <w:r>
        <w:rPr>
          <w:rFonts w:ascii="仿宋_GB2312" w:hAnsi="仿宋_GB2312" w:eastAsia="仿宋_GB2312"/>
          <w:b w:val="0"/>
          <w:sz w:val="32"/>
        </w:rPr>
        <w:t>公务用车购置及运行维护费64.20万元，其中：公务用车购置费35.96万元，公务用车运行维护费28.24万元。公务用车运行维护费开支内容包括车辆加油费、维修费、保险费、审车费、过路费等。公务用车购置数2辆，公务用车保有量14辆。国有资产占用情况中固定资产车辆14辆，与公务用车保有量差异原因是：本部门固定资产车辆与公务用车保有量一致无差异。</w:t>
      </w:r>
    </w:p>
    <w:p w14:paraId="2B2D6261">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6F827AA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64.20万元，决算数64.20万元，预决算差异率0.00%，主要原因是：严格按照预算执行，预决算无差异。其中：因公出国（境）费全年预算数0.00万元，决算数0.00万元，预决算差异率0.00%，主要原因是：本部门无因公出国（境）费。公务用车购置费全年预算数35.96万元，决算数35.96万元，预决算差异率0.00%，主要原因是：严格按照预算执行，预决算无差异。公务用车运行维护费全年预算数28.24万元，决算数28.24万元，预决算差异率0.00%，主要原因是：严格按照预算执行，预决算无差异。公务接待费全年预算数0.00万元，决算数0.00万元，预决算差异率0.00%，主要原因是：本部门无公务接待费。</w:t>
      </w:r>
    </w:p>
    <w:p w14:paraId="24514BB7">
      <w:pPr>
        <w:spacing w:line="640" w:lineRule="exact"/>
        <w:ind w:firstLine="640"/>
        <w:jc w:val="both"/>
        <w:outlineLvl w:val="2"/>
      </w:pPr>
      <w:r>
        <w:rPr>
          <w:rFonts w:ascii="黑体" w:hAnsi="黑体" w:eastAsia="黑体"/>
          <w:sz w:val="32"/>
        </w:rPr>
        <w:t>十、其他重要事项的情况说明</w:t>
      </w:r>
    </w:p>
    <w:p w14:paraId="4FC0D564">
      <w:pPr>
        <w:spacing w:line="640" w:lineRule="exact"/>
        <w:ind w:firstLine="640"/>
        <w:jc w:val="both"/>
        <w:outlineLvl w:val="3"/>
      </w:pPr>
      <w:r>
        <w:rPr>
          <w:rFonts w:ascii="楷体_GB2312" w:hAnsi="楷体_GB2312" w:eastAsia="楷体_GB2312"/>
          <w:b/>
          <w:sz w:val="32"/>
        </w:rPr>
        <w:t>（一）机关运行经费及公用经费支出情况</w:t>
      </w:r>
    </w:p>
    <w:p w14:paraId="650F64E2">
      <w:pPr>
        <w:spacing w:line="580" w:lineRule="exact"/>
        <w:ind w:firstLine="640"/>
        <w:jc w:val="both"/>
      </w:pPr>
      <w:r>
        <w:rPr>
          <w:rFonts w:ascii="仿宋_GB2312" w:hAnsi="仿宋_GB2312" w:eastAsia="仿宋_GB2312"/>
          <w:b w:val="0"/>
          <w:sz w:val="32"/>
        </w:rPr>
        <w:t>2024年度伽师县人民法院（行政单位和参照公务员法管理事业单位）机关运行经费支出114.79万元，比上年增加4.87万元，增长4.43%，主要原因是：本年在职人员增加，办公费用增加。</w:t>
      </w:r>
    </w:p>
    <w:p w14:paraId="4437DC6C">
      <w:pPr>
        <w:spacing w:line="640" w:lineRule="exact"/>
        <w:ind w:firstLine="640"/>
        <w:jc w:val="both"/>
        <w:outlineLvl w:val="3"/>
      </w:pPr>
      <w:r>
        <w:rPr>
          <w:rFonts w:ascii="楷体_GB2312" w:hAnsi="楷体_GB2312" w:eastAsia="楷体_GB2312"/>
          <w:b/>
          <w:sz w:val="32"/>
        </w:rPr>
        <w:t>（二）政府采购情况</w:t>
      </w:r>
    </w:p>
    <w:p w14:paraId="7E78BC66">
      <w:pPr>
        <w:spacing w:line="580" w:lineRule="exact"/>
        <w:ind w:firstLine="640"/>
        <w:jc w:val="both"/>
      </w:pPr>
      <w:r>
        <w:rPr>
          <w:rFonts w:ascii="仿宋_GB2312" w:hAnsi="仿宋_GB2312" w:eastAsia="仿宋_GB2312"/>
          <w:b w:val="0"/>
          <w:sz w:val="32"/>
        </w:rPr>
        <w:t>2024年度政府采购支出总额497.30万元，其中：政府采购货物支出167.31万元、政府采购工程支出47.96万元、政府采购服务支出282.02万元。</w:t>
      </w:r>
    </w:p>
    <w:p w14:paraId="168A6D56">
      <w:pPr>
        <w:spacing w:line="580" w:lineRule="exact"/>
        <w:ind w:firstLine="640"/>
        <w:jc w:val="both"/>
      </w:pPr>
      <w:r>
        <w:rPr>
          <w:rFonts w:ascii="仿宋_GB2312" w:hAnsi="仿宋_GB2312" w:eastAsia="仿宋_GB2312"/>
          <w:b w:val="0"/>
          <w:sz w:val="32"/>
        </w:rPr>
        <w:t>授予中小企业合同金额428.21万元，占政府采购支出总额的86.11%，其中：授予小微企业合同金额402.61万元，占政府采购支出总额的80.96%。</w:t>
      </w:r>
    </w:p>
    <w:p w14:paraId="2C9D6038">
      <w:pPr>
        <w:spacing w:line="640" w:lineRule="exact"/>
        <w:ind w:firstLine="640"/>
        <w:jc w:val="both"/>
        <w:outlineLvl w:val="3"/>
      </w:pPr>
      <w:r>
        <w:rPr>
          <w:rFonts w:ascii="楷体_GB2312" w:hAnsi="楷体_GB2312" w:eastAsia="楷体_GB2312"/>
          <w:b/>
          <w:sz w:val="32"/>
        </w:rPr>
        <w:t>（三）国有资产占用情况说明</w:t>
      </w:r>
    </w:p>
    <w:p w14:paraId="29CD74C1">
      <w:pPr>
        <w:spacing w:line="580" w:lineRule="exact"/>
        <w:ind w:firstLine="640"/>
        <w:jc w:val="both"/>
      </w:pPr>
      <w:r>
        <w:rPr>
          <w:rFonts w:ascii="仿宋_GB2312" w:hAnsi="仿宋_GB2312" w:eastAsia="仿宋_GB2312"/>
          <w:b w:val="0"/>
          <w:sz w:val="32"/>
        </w:rPr>
        <w:t>截至2024年12月31日，房屋7,696.16平方米，价值1,410.68万元。车辆14辆，价值254.64万元，其中：副部（省）级及以上领导用车0辆、主要负责人用车0辆、机要通信用车0辆、应急保障用车0辆、执法执勤用车11辆、特种专业技术用车3辆、离退休干部服务用车0辆、其他用车0辆，其他用车主要是：本部门无其他用车。单价100万元（含）以上设备（不含车辆）0台（套）。</w:t>
      </w:r>
    </w:p>
    <w:p w14:paraId="5D916C51">
      <w:pPr>
        <w:spacing w:line="640" w:lineRule="exact"/>
        <w:ind w:firstLine="640"/>
        <w:jc w:val="both"/>
        <w:outlineLvl w:val="2"/>
      </w:pPr>
      <w:r>
        <w:rPr>
          <w:rFonts w:ascii="黑体" w:hAnsi="黑体" w:eastAsia="黑体"/>
          <w:sz w:val="32"/>
        </w:rPr>
        <w:t>十一、预算绩效的情况说明</w:t>
      </w:r>
    </w:p>
    <w:p w14:paraId="65FA318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pPr>
      <w:r>
        <w:rPr>
          <w:rFonts w:ascii="仿宋_GB2312" w:hAnsi="仿宋_GB2312" w:eastAsia="仿宋_GB2312"/>
          <w:b w:val="0"/>
          <w:sz w:val="32"/>
        </w:rPr>
        <w:t>根据预算绩效管理要求，本部门2024年度预算绩效管理形成整体支出绩效自评表1个，全年预算总额2,574.08万元，实际执行总额2,494.66万元；预算绩效评价项目1</w:t>
      </w:r>
      <w:r>
        <w:rPr>
          <w:rFonts w:hint="eastAsia" w:ascii="仿宋_GB2312" w:hAnsi="仿宋_GB2312" w:eastAsia="仿宋_GB2312"/>
          <w:b w:val="0"/>
          <w:sz w:val="32"/>
          <w:lang w:val="en-US" w:eastAsia="zh-CN"/>
        </w:rPr>
        <w:t>1</w:t>
      </w:r>
      <w:r>
        <w:rPr>
          <w:rFonts w:ascii="仿宋_GB2312" w:hAnsi="仿宋_GB2312" w:eastAsia="仿宋_GB2312"/>
          <w:b w:val="0"/>
          <w:sz w:val="32"/>
        </w:rPr>
        <w:t>个，全年预算数</w:t>
      </w:r>
      <w:r>
        <w:rPr>
          <w:rFonts w:hint="eastAsia" w:ascii="仿宋_GB2312" w:hAnsi="仿宋_GB2312" w:eastAsia="仿宋_GB2312"/>
          <w:b w:val="0"/>
          <w:sz w:val="32"/>
        </w:rPr>
        <w:t>708.08</w:t>
      </w:r>
      <w:r>
        <w:rPr>
          <w:rFonts w:ascii="仿宋_GB2312" w:hAnsi="仿宋_GB2312" w:eastAsia="仿宋_GB2312"/>
          <w:b w:val="0"/>
          <w:sz w:val="32"/>
        </w:rPr>
        <w:t>万元，全年执行数</w:t>
      </w:r>
      <w:r>
        <w:rPr>
          <w:rFonts w:hint="eastAsia" w:ascii="仿宋_GB2312" w:hAnsi="仿宋_GB2312" w:eastAsia="仿宋_GB2312"/>
          <w:b w:val="0"/>
          <w:sz w:val="32"/>
        </w:rPr>
        <w:t>646.92</w:t>
      </w:r>
      <w:r>
        <w:rPr>
          <w:rFonts w:ascii="仿宋_GB2312" w:hAnsi="仿宋_GB2312" w:eastAsia="仿宋_GB2312"/>
          <w:b w:val="0"/>
          <w:sz w:val="32"/>
        </w:rPr>
        <w:t>万元。预算绩效管理取得的成效：</w:t>
      </w:r>
      <w:r>
        <w:rPr>
          <w:rFonts w:hint="eastAsia" w:ascii="仿宋_GB2312" w:hAnsi="宋体" w:eastAsia="仿宋_GB2312" w:cs="宋体"/>
          <w:color w:val="auto"/>
          <w:kern w:val="0"/>
          <w:sz w:val="32"/>
          <w:szCs w:val="32"/>
          <w:lang w:val="en-US" w:eastAsia="zh-CN"/>
        </w:rPr>
        <w:t>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地理解和认识。通过实施预算绩效管理，树立了绩效优先的管理理念，也很好地避免了在经费使用上出现违规行为的概率，提升了部门管理水平和资金使用效益，为全面实施绩效管理打下了坚实的基础</w:t>
      </w:r>
      <w:r>
        <w:rPr>
          <w:rFonts w:ascii="仿宋_GB2312" w:hAnsi="仿宋_GB2312" w:eastAsia="仿宋_GB2312"/>
          <w:b w:val="0"/>
          <w:sz w:val="32"/>
        </w:rPr>
        <w:t>。发现的问题及原因：</w:t>
      </w:r>
      <w:r>
        <w:rPr>
          <w:rFonts w:hint="eastAsia" w:ascii="仿宋_GB2312" w:hAnsi="宋体" w:eastAsia="仿宋_GB2312" w:cs="宋体"/>
          <w:color w:val="auto"/>
          <w:kern w:val="0"/>
          <w:sz w:val="32"/>
          <w:szCs w:val="32"/>
          <w:lang w:val="en-US" w:eastAsia="zh-CN"/>
        </w:rPr>
        <w:t>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意识不强，对于指标的编制还不够完善。评价工作还存在自我审定的局限性，影响评价质量。</w:t>
      </w:r>
      <w:r>
        <w:rPr>
          <w:rFonts w:ascii="仿宋_GB2312" w:hAnsi="仿宋_GB2312" w:eastAsia="仿宋_GB2312"/>
          <w:b w:val="0"/>
          <w:sz w:val="32"/>
        </w:rPr>
        <w:t>下一步改进措施：</w:t>
      </w:r>
      <w:r>
        <w:rPr>
          <w:rFonts w:hint="eastAsia" w:ascii="仿宋_GB2312" w:hAnsi="仿宋_GB2312" w:eastAsia="仿宋_GB2312"/>
          <w:b w:val="0"/>
          <w:sz w:val="32"/>
          <w:lang w:val="en-US" w:eastAsia="zh-CN"/>
        </w:rPr>
        <w:t>一是</w:t>
      </w:r>
      <w:r>
        <w:rPr>
          <w:rFonts w:hint="eastAsia" w:ascii="仿宋_GB2312" w:hAnsi="宋体" w:eastAsia="仿宋_GB2312" w:cs="宋体"/>
          <w:color w:val="auto"/>
          <w:kern w:val="0"/>
          <w:sz w:val="32"/>
          <w:szCs w:val="32"/>
          <w:lang w:val="en-US" w:eastAsia="zh-CN"/>
        </w:rPr>
        <w:t>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w:t>
      </w:r>
      <w:r>
        <w:rPr>
          <w:rFonts w:ascii="仿宋_GB2312" w:hAnsi="仿宋_GB2312" w:eastAsia="仿宋_GB2312"/>
          <w:b w:val="0"/>
          <w:sz w:val="32"/>
        </w:rPr>
        <w:t>具体附部门整体支出绩效自评表，项目支出绩效自评表。</w:t>
      </w:r>
    </w:p>
    <w:p w14:paraId="23E8FEB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CC06ECB">
        <w:tblPrEx>
          <w:tblCellMar>
            <w:top w:w="0" w:type="dxa"/>
            <w:left w:w="108" w:type="dxa"/>
            <w:bottom w:w="0" w:type="dxa"/>
            <w:right w:w="108" w:type="dxa"/>
          </w:tblCellMar>
        </w:tblPrEx>
        <w:tc>
          <w:tcPr>
            <w:tcW w:w="8847" w:type="dxa"/>
            <w:gridSpan w:val="9"/>
            <w:vAlign w:val="center"/>
          </w:tcPr>
          <w:p w14:paraId="575E9FE1">
            <w:pPr>
              <w:jc w:val="center"/>
            </w:pPr>
            <w:r>
              <w:rPr>
                <w:rFonts w:ascii="宋体" w:hAnsi="宋体" w:eastAsia="宋体"/>
                <w:sz w:val="24"/>
              </w:rPr>
              <w:t>部门整体支出绩效自评表</w:t>
            </w:r>
          </w:p>
        </w:tc>
      </w:tr>
      <w:tr w14:paraId="0BD856A1">
        <w:tblPrEx>
          <w:tblCellMar>
            <w:top w:w="0" w:type="dxa"/>
            <w:left w:w="108" w:type="dxa"/>
            <w:bottom w:w="0" w:type="dxa"/>
            <w:right w:w="108" w:type="dxa"/>
          </w:tblCellMar>
        </w:tblPrEx>
        <w:tc>
          <w:tcPr>
            <w:tcW w:w="8847" w:type="dxa"/>
            <w:gridSpan w:val="9"/>
            <w:vAlign w:val="center"/>
          </w:tcPr>
          <w:p w14:paraId="73868E46">
            <w:pPr>
              <w:jc w:val="center"/>
            </w:pPr>
            <w:r>
              <w:rPr>
                <w:rFonts w:ascii="宋体" w:hAnsi="宋体" w:eastAsia="宋体"/>
                <w:sz w:val="24"/>
              </w:rPr>
              <w:t>（2024年度）</w:t>
            </w:r>
          </w:p>
        </w:tc>
      </w:tr>
      <w:tr w14:paraId="728B1CD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7F7AC">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AB20851">
            <w:pPr>
              <w:jc w:val="center"/>
            </w:pPr>
            <w:r>
              <w:rPr>
                <w:rFonts w:ascii="宋体" w:hAnsi="宋体" w:eastAsia="宋体"/>
                <w:sz w:val="16"/>
              </w:rPr>
              <w:t>伽师县人民法院</w:t>
            </w:r>
          </w:p>
        </w:tc>
      </w:tr>
      <w:tr w14:paraId="1C28F6A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5B1F3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B40A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7337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F30E1">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DBEA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016D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1432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0C5C0">
            <w:pPr>
              <w:jc w:val="center"/>
            </w:pPr>
            <w:r>
              <w:rPr>
                <w:rFonts w:ascii="宋体" w:hAnsi="宋体" w:eastAsia="宋体"/>
                <w:sz w:val="16"/>
              </w:rPr>
              <w:t>得分</w:t>
            </w:r>
          </w:p>
        </w:tc>
      </w:tr>
      <w:tr w14:paraId="64336C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74206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87F84">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C6E9D">
            <w:pPr>
              <w:jc w:val="center"/>
            </w:pPr>
            <w:r>
              <w:rPr>
                <w:rFonts w:ascii="宋体" w:hAnsi="宋体" w:eastAsia="宋体"/>
                <w:sz w:val="16"/>
              </w:rPr>
              <w:t>2,385.07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86D80">
            <w:pPr>
              <w:jc w:val="center"/>
            </w:pPr>
            <w:r>
              <w:rPr>
                <w:rFonts w:ascii="宋体" w:hAnsi="宋体" w:eastAsia="宋体"/>
                <w:sz w:val="16"/>
              </w:rPr>
              <w:t>2,574.08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B0878">
            <w:pPr>
              <w:jc w:val="center"/>
            </w:pPr>
            <w:r>
              <w:rPr>
                <w:rFonts w:ascii="宋体" w:hAnsi="宋体" w:eastAsia="宋体"/>
                <w:sz w:val="16"/>
              </w:rPr>
              <w:t>2,494.66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50A4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36FD9">
            <w:pPr>
              <w:jc w:val="center"/>
            </w:pPr>
            <w:r>
              <w:rPr>
                <w:rFonts w:ascii="宋体" w:hAnsi="宋体" w:eastAsia="宋体"/>
                <w:sz w:val="16"/>
              </w:rPr>
              <w:t>96.91%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243D3">
            <w:pPr>
              <w:jc w:val="center"/>
            </w:pPr>
            <w:r>
              <w:rPr>
                <w:rFonts w:ascii="宋体" w:hAnsi="宋体" w:eastAsia="宋体"/>
                <w:sz w:val="16"/>
              </w:rPr>
              <w:t>9.69</w:t>
            </w:r>
          </w:p>
        </w:tc>
      </w:tr>
      <w:tr w14:paraId="4A42AF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06AC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D0BF7">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D776D">
            <w:pPr>
              <w:jc w:val="center"/>
            </w:pPr>
            <w:r>
              <w:rPr>
                <w:rFonts w:ascii="宋体" w:hAnsi="宋体" w:eastAsia="宋体"/>
                <w:sz w:val="16"/>
              </w:rPr>
              <w:t>533.03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500C4">
            <w:pPr>
              <w:jc w:val="center"/>
            </w:pPr>
            <w:r>
              <w:rPr>
                <w:rFonts w:ascii="宋体" w:hAnsi="宋体" w:eastAsia="宋体"/>
                <w:sz w:val="16"/>
              </w:rPr>
              <w:t>649.72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899E3">
            <w:pPr>
              <w:jc w:val="center"/>
            </w:pPr>
            <w:r>
              <w:rPr>
                <w:rFonts w:ascii="宋体" w:hAnsi="宋体" w:eastAsia="宋体"/>
                <w:sz w:val="16"/>
              </w:rPr>
              <w:t>582.74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5A4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E940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6E804">
            <w:pPr>
              <w:jc w:val="center"/>
            </w:pPr>
            <w:r>
              <w:rPr>
                <w:rFonts w:ascii="宋体" w:hAnsi="宋体" w:eastAsia="宋体"/>
                <w:sz w:val="16"/>
              </w:rPr>
              <w:t>—</w:t>
            </w:r>
          </w:p>
        </w:tc>
      </w:tr>
      <w:tr w14:paraId="11EB84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612C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4AD9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9A918">
            <w:pPr>
              <w:jc w:val="center"/>
            </w:pPr>
            <w:r>
              <w:rPr>
                <w:rFonts w:ascii="宋体" w:hAnsi="宋体" w:eastAsia="宋体"/>
                <w:sz w:val="16"/>
              </w:rPr>
              <w:t>1,847.82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5BA2C">
            <w:pPr>
              <w:jc w:val="center"/>
            </w:pPr>
            <w:r>
              <w:rPr>
                <w:rFonts w:ascii="宋体" w:hAnsi="宋体" w:eastAsia="宋体"/>
                <w:sz w:val="16"/>
              </w:rPr>
              <w:t>1,840.14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69F51">
            <w:pPr>
              <w:jc w:val="center"/>
            </w:pPr>
            <w:r>
              <w:rPr>
                <w:rFonts w:ascii="宋体" w:hAnsi="宋体" w:eastAsia="宋体"/>
                <w:sz w:val="16"/>
              </w:rPr>
              <w:t>1,840.14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A93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C14B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E6E1B">
            <w:pPr>
              <w:jc w:val="center"/>
            </w:pPr>
            <w:r>
              <w:rPr>
                <w:rFonts w:ascii="宋体" w:hAnsi="宋体" w:eastAsia="宋体"/>
                <w:sz w:val="16"/>
              </w:rPr>
              <w:t>—</w:t>
            </w:r>
          </w:p>
        </w:tc>
      </w:tr>
      <w:tr w14:paraId="724EFD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2C5D5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723BE">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31B86">
            <w:pPr>
              <w:jc w:val="center"/>
            </w:pPr>
            <w:r>
              <w:rPr>
                <w:rFonts w:ascii="宋体" w:hAnsi="宋体" w:eastAsia="宋体"/>
                <w:sz w:val="16"/>
              </w:rPr>
              <w:t>4.22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142B8">
            <w:pPr>
              <w:jc w:val="center"/>
            </w:pPr>
            <w:r>
              <w:rPr>
                <w:rFonts w:ascii="宋体" w:hAnsi="宋体" w:eastAsia="宋体"/>
                <w:sz w:val="16"/>
              </w:rPr>
              <w:t>84.22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67DBE">
            <w:pPr>
              <w:jc w:val="center"/>
            </w:pPr>
            <w:r>
              <w:rPr>
                <w:rFonts w:ascii="宋体" w:hAnsi="宋体" w:eastAsia="宋体"/>
                <w:sz w:val="16"/>
              </w:rPr>
              <w:t>71.78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48C7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BE5D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64A45">
            <w:pPr>
              <w:jc w:val="center"/>
            </w:pPr>
            <w:r>
              <w:rPr>
                <w:rFonts w:ascii="宋体" w:hAnsi="宋体" w:eastAsia="宋体"/>
                <w:sz w:val="16"/>
              </w:rPr>
              <w:t>—</w:t>
            </w:r>
          </w:p>
        </w:tc>
      </w:tr>
      <w:tr w14:paraId="5AFBB18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570E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DFF4F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6FC100">
            <w:pPr>
              <w:jc w:val="center"/>
            </w:pPr>
            <w:r>
              <w:rPr>
                <w:rFonts w:ascii="宋体" w:hAnsi="宋体" w:eastAsia="宋体"/>
                <w:sz w:val="16"/>
              </w:rPr>
              <w:t>实际完成情况</w:t>
            </w:r>
          </w:p>
        </w:tc>
      </w:tr>
      <w:tr w14:paraId="220B50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8B5B3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20E4C0">
            <w:pPr>
              <w:jc w:val="both"/>
            </w:pPr>
            <w:r>
              <w:rPr>
                <w:rFonts w:ascii="宋体" w:hAnsi="宋体" w:eastAsia="宋体"/>
                <w:sz w:val="16"/>
              </w:rPr>
              <w:t>2024年将深入贯彻落实党的二十大精神，坚持党对司法工作的绝对领导，坚持司法为民、公正司法工作主线，坚持以人民为中心的发展理念，全面深化司法体制改革和智慧法院建设，深入推进“一站式”多元解纷和诉讼服务体系建设，确保我院各项工作有目标、有措施、有成效。坚持司法为民，公正司法，为伽师经济社会发展提供坚强司法服务和保障，保障依法受理案件结案率超过95%以及诉讼案件法定审限内结案率达到95%、审判流程公开率达100%，提升我院依法审理刑事、民商事、执行各类案件质量。提高人民满意度，保障司法审判的各项工作顺利进行。</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72E1F4">
            <w:pPr>
              <w:jc w:val="both"/>
            </w:pPr>
            <w:r>
              <w:rPr>
                <w:rFonts w:ascii="宋体" w:hAnsi="宋体" w:eastAsia="宋体"/>
                <w:sz w:val="16"/>
              </w:rPr>
              <w:t>我院2024年充分发挥审判执行工作职能，以坚持司法为民、公正司法为工作主线，不断深化司法体制改革和智慧法院建设，全面提升审判执行工作质效，全面保障我院审判执行工作的顺利开展。2024年，共依法审理案件数量7816件，依法审理案件结案数7450件，受理案件结案率为95.32%，审限内结案率及审判流程有效公开率均达到100%，办案质量及经费使用效益得到有效提高、工作人员的积极性增加，司法为民服务标准得到进一步提升，为伽师经济社会发展提供坚强司法服务和保障。</w:t>
            </w:r>
          </w:p>
        </w:tc>
      </w:tr>
      <w:tr w14:paraId="094D141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DF02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8CEA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449D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9ED3C">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881D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1723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10C3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B515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5805C">
            <w:pPr>
              <w:jc w:val="center"/>
            </w:pPr>
            <w:r>
              <w:rPr>
                <w:rFonts w:ascii="宋体" w:hAnsi="宋体" w:eastAsia="宋体"/>
                <w:sz w:val="16"/>
              </w:rPr>
              <w:t>得分</w:t>
            </w:r>
          </w:p>
        </w:tc>
      </w:tr>
      <w:tr w14:paraId="025C3E0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7DE87">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3450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8D058">
            <w:pPr>
              <w:jc w:val="center"/>
            </w:pPr>
            <w:r>
              <w:rPr>
                <w:rFonts w:ascii="宋体" w:hAnsi="宋体" w:eastAsia="宋体"/>
                <w:sz w:val="16"/>
              </w:rPr>
              <w:t>依法审理案件数量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F27A5">
            <w:pPr>
              <w:jc w:val="center"/>
            </w:pPr>
            <w:r>
              <w:rPr>
                <w:rFonts w:ascii="宋体" w:hAnsi="宋体" w:eastAsia="宋体"/>
                <w:sz w:val="16"/>
              </w:rPr>
              <w:t>&gt;=6100件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666EC">
            <w:pPr>
              <w:jc w:val="center"/>
            </w:pPr>
            <w:r>
              <w:rPr>
                <w:rFonts w:ascii="宋体" w:hAnsi="宋体" w:eastAsia="宋体"/>
                <w:sz w:val="16"/>
              </w:rPr>
              <w:t>伽师县人民法院工作报告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21C1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253C5">
            <w:pPr>
              <w:jc w:val="center"/>
            </w:pPr>
            <w:r>
              <w:rPr>
                <w:rFonts w:ascii="宋体" w:hAnsi="宋体" w:eastAsia="宋体"/>
                <w:sz w:val="16"/>
              </w:rPr>
              <w:t>7816件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F5E59">
            <w:pPr>
              <w:jc w:val="center"/>
            </w:pPr>
            <w:r>
              <w:rPr>
                <w:rFonts w:ascii="宋体" w:hAnsi="宋体" w:eastAsia="宋体"/>
                <w:sz w:val="16"/>
              </w:rPr>
              <w:t>128.13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910D0">
            <w:pPr>
              <w:jc w:val="center"/>
            </w:pPr>
            <w:r>
              <w:rPr>
                <w:rFonts w:ascii="宋体" w:hAnsi="宋体" w:eastAsia="宋体"/>
                <w:sz w:val="16"/>
              </w:rPr>
              <w:t>20</w:t>
            </w:r>
          </w:p>
        </w:tc>
      </w:tr>
      <w:tr w14:paraId="1329A1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1538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5B6F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1B8C8">
            <w:pPr>
              <w:jc w:val="center"/>
            </w:pPr>
            <w:r>
              <w:rPr>
                <w:rFonts w:ascii="宋体" w:hAnsi="宋体" w:eastAsia="宋体"/>
                <w:sz w:val="16"/>
              </w:rPr>
              <w:t>依法审理案件结案数量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D0675">
            <w:pPr>
              <w:jc w:val="center"/>
            </w:pPr>
            <w:r>
              <w:rPr>
                <w:rFonts w:ascii="宋体" w:hAnsi="宋体" w:eastAsia="宋体"/>
                <w:sz w:val="16"/>
              </w:rPr>
              <w:t>&gt;=6000件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B6E8C">
            <w:pPr>
              <w:jc w:val="center"/>
            </w:pPr>
            <w:r>
              <w:rPr>
                <w:rFonts w:ascii="宋体" w:hAnsi="宋体" w:eastAsia="宋体"/>
                <w:sz w:val="16"/>
              </w:rPr>
              <w:t>伽师县人民法院工作报告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4FEB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0BD0B">
            <w:pPr>
              <w:jc w:val="center"/>
            </w:pPr>
            <w:r>
              <w:rPr>
                <w:rFonts w:ascii="宋体" w:hAnsi="宋体" w:eastAsia="宋体"/>
                <w:sz w:val="16"/>
              </w:rPr>
              <w:t>7450件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E6453">
            <w:pPr>
              <w:jc w:val="center"/>
            </w:pPr>
            <w:r>
              <w:rPr>
                <w:rFonts w:ascii="宋体" w:hAnsi="宋体" w:eastAsia="宋体"/>
                <w:sz w:val="16"/>
              </w:rPr>
              <w:t>124.17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B376E">
            <w:pPr>
              <w:jc w:val="center"/>
            </w:pPr>
            <w:r>
              <w:rPr>
                <w:rFonts w:ascii="宋体" w:hAnsi="宋体" w:eastAsia="宋体"/>
                <w:sz w:val="16"/>
              </w:rPr>
              <w:t>20</w:t>
            </w:r>
          </w:p>
        </w:tc>
      </w:tr>
      <w:tr w14:paraId="722DF6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8EE44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7FE4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CBC26">
            <w:pPr>
              <w:jc w:val="center"/>
            </w:pPr>
            <w:r>
              <w:rPr>
                <w:rFonts w:ascii="宋体" w:hAnsi="宋体" w:eastAsia="宋体"/>
                <w:sz w:val="16"/>
              </w:rPr>
              <w:t>依法受理案件结案率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DC2B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22FBF">
            <w:pPr>
              <w:jc w:val="center"/>
            </w:pPr>
            <w:r>
              <w:rPr>
                <w:rFonts w:ascii="宋体" w:hAnsi="宋体" w:eastAsia="宋体"/>
                <w:sz w:val="16"/>
              </w:rPr>
              <w:t>伽师县人民法院工作报告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5B46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F0D45">
            <w:pPr>
              <w:jc w:val="center"/>
            </w:pPr>
            <w:r>
              <w:rPr>
                <w:rFonts w:ascii="宋体" w:hAnsi="宋体" w:eastAsia="宋体"/>
                <w:sz w:val="16"/>
              </w:rPr>
              <w:t>95.32%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9185D">
            <w:pPr>
              <w:jc w:val="center"/>
            </w:pPr>
            <w:r>
              <w:rPr>
                <w:rFonts w:ascii="宋体" w:hAnsi="宋体" w:eastAsia="宋体"/>
                <w:sz w:val="16"/>
              </w:rPr>
              <w:t>100.34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3B205">
            <w:pPr>
              <w:jc w:val="center"/>
            </w:pPr>
            <w:r>
              <w:rPr>
                <w:rFonts w:ascii="宋体" w:hAnsi="宋体" w:eastAsia="宋体"/>
                <w:sz w:val="16"/>
              </w:rPr>
              <w:t>20</w:t>
            </w:r>
          </w:p>
        </w:tc>
      </w:tr>
      <w:tr w14:paraId="4B49ED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21D8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10DE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8C08C">
            <w:pPr>
              <w:jc w:val="center"/>
            </w:pPr>
            <w:r>
              <w:rPr>
                <w:rFonts w:ascii="宋体" w:hAnsi="宋体" w:eastAsia="宋体"/>
                <w:sz w:val="16"/>
              </w:rPr>
              <w:t>诉讼案件法定（正常）审限内结案率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1D4B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C324F">
            <w:pPr>
              <w:jc w:val="center"/>
            </w:pPr>
            <w:r>
              <w:rPr>
                <w:rFonts w:ascii="宋体" w:hAnsi="宋体" w:eastAsia="宋体"/>
                <w:sz w:val="16"/>
              </w:rPr>
              <w:t>伽师县人民法院工作报告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24B1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5DF9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978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EC87F">
            <w:pPr>
              <w:jc w:val="center"/>
            </w:pPr>
            <w:r>
              <w:rPr>
                <w:rFonts w:ascii="宋体" w:hAnsi="宋体" w:eastAsia="宋体"/>
                <w:sz w:val="16"/>
              </w:rPr>
              <w:t>15</w:t>
            </w:r>
          </w:p>
        </w:tc>
      </w:tr>
      <w:tr w14:paraId="79CDB2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72CF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4FD9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8E69C">
            <w:pPr>
              <w:jc w:val="center"/>
            </w:pPr>
            <w:r>
              <w:rPr>
                <w:rFonts w:ascii="宋体" w:hAnsi="宋体" w:eastAsia="宋体"/>
                <w:sz w:val="16"/>
              </w:rPr>
              <w:t>审判流程有效公开率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0B9A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F1F0D">
            <w:pPr>
              <w:jc w:val="center"/>
            </w:pPr>
            <w:r>
              <w:rPr>
                <w:rFonts w:ascii="宋体" w:hAnsi="宋体" w:eastAsia="宋体"/>
                <w:sz w:val="16"/>
              </w:rPr>
              <w:t>伽师县人民法院工作报告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DEAA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9B20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D6D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F67F8">
            <w:pPr>
              <w:jc w:val="center"/>
            </w:pPr>
            <w:r>
              <w:rPr>
                <w:rFonts w:ascii="宋体" w:hAnsi="宋体" w:eastAsia="宋体"/>
                <w:sz w:val="16"/>
              </w:rPr>
              <w:t>15</w:t>
            </w:r>
          </w:p>
        </w:tc>
      </w:tr>
    </w:tbl>
    <w:p w14:paraId="66FEEC1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C9AD963">
        <w:tblPrEx>
          <w:tblCellMar>
            <w:top w:w="0" w:type="dxa"/>
            <w:left w:w="108" w:type="dxa"/>
            <w:bottom w:w="0" w:type="dxa"/>
            <w:right w:w="108" w:type="dxa"/>
          </w:tblCellMar>
        </w:tblPrEx>
        <w:tc>
          <w:tcPr>
            <w:tcW w:w="8848" w:type="dxa"/>
            <w:gridSpan w:val="14"/>
            <w:vAlign w:val="center"/>
          </w:tcPr>
          <w:p w14:paraId="7E088AAB">
            <w:pPr>
              <w:jc w:val="center"/>
            </w:pPr>
            <w:r>
              <w:rPr>
                <w:rFonts w:ascii="宋体" w:hAnsi="宋体" w:eastAsia="宋体"/>
                <w:sz w:val="24"/>
              </w:rPr>
              <w:t>项目支出绩效自评表</w:t>
            </w:r>
          </w:p>
        </w:tc>
      </w:tr>
      <w:tr w14:paraId="68B5692B">
        <w:tblPrEx>
          <w:tblCellMar>
            <w:top w:w="0" w:type="dxa"/>
            <w:left w:w="108" w:type="dxa"/>
            <w:bottom w:w="0" w:type="dxa"/>
            <w:right w:w="108" w:type="dxa"/>
          </w:tblCellMar>
        </w:tblPrEx>
        <w:tc>
          <w:tcPr>
            <w:tcW w:w="8848" w:type="dxa"/>
            <w:gridSpan w:val="14"/>
            <w:vAlign w:val="center"/>
          </w:tcPr>
          <w:p w14:paraId="1F027D57">
            <w:pPr>
              <w:jc w:val="center"/>
            </w:pPr>
            <w:r>
              <w:rPr>
                <w:rFonts w:ascii="宋体" w:hAnsi="宋体" w:eastAsia="宋体"/>
                <w:sz w:val="24"/>
              </w:rPr>
              <w:t>(2024年度)</w:t>
            </w:r>
          </w:p>
        </w:tc>
      </w:tr>
      <w:tr w14:paraId="6A131B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D02B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21C586">
            <w:pPr>
              <w:jc w:val="center"/>
            </w:pPr>
            <w:r>
              <w:rPr>
                <w:rFonts w:ascii="宋体" w:hAnsi="宋体" w:eastAsia="宋体"/>
                <w:sz w:val="16"/>
              </w:rPr>
              <w:t>综合保障业务项目</w:t>
            </w:r>
          </w:p>
        </w:tc>
      </w:tr>
      <w:tr w14:paraId="354F50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7E4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F57AC9">
            <w:pPr>
              <w:jc w:val="center"/>
            </w:pPr>
            <w:r>
              <w:rPr>
                <w:rFonts w:ascii="宋体" w:hAnsi="宋体" w:eastAsia="宋体"/>
                <w:sz w:val="16"/>
              </w:rPr>
              <w:t>伽师县人民法院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084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EBF9C8">
            <w:pPr>
              <w:jc w:val="center"/>
            </w:pPr>
            <w:r>
              <w:rPr>
                <w:rFonts w:ascii="宋体" w:hAnsi="宋体" w:eastAsia="宋体"/>
                <w:sz w:val="16"/>
              </w:rPr>
              <w:t>伽师县人民法院</w:t>
            </w:r>
          </w:p>
        </w:tc>
      </w:tr>
      <w:tr w14:paraId="3C0CF3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8419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D45E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DE03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61C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73AE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1AB8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D3F8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AF4AA">
            <w:pPr>
              <w:jc w:val="center"/>
            </w:pPr>
            <w:r>
              <w:rPr>
                <w:rFonts w:ascii="宋体" w:hAnsi="宋体" w:eastAsia="宋体"/>
                <w:sz w:val="16"/>
              </w:rPr>
              <w:t>得分</w:t>
            </w:r>
          </w:p>
        </w:tc>
      </w:tr>
      <w:tr w14:paraId="6973B5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BD9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8265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099E8">
            <w:pPr>
              <w:jc w:val="center"/>
            </w:pPr>
            <w:r>
              <w:rPr>
                <w:rFonts w:ascii="宋体" w:hAnsi="宋体" w:eastAsia="宋体"/>
                <w:sz w:val="16"/>
              </w:rPr>
              <w:t>47.65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21AC8">
            <w:pPr>
              <w:jc w:val="center"/>
            </w:pPr>
            <w:r>
              <w:rPr>
                <w:rFonts w:ascii="宋体" w:hAnsi="宋体" w:eastAsia="宋体"/>
                <w:sz w:val="16"/>
              </w:rPr>
              <w:t>47.65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9BE39">
            <w:pPr>
              <w:jc w:val="center"/>
            </w:pPr>
            <w:r>
              <w:rPr>
                <w:rFonts w:ascii="宋体" w:hAnsi="宋体" w:eastAsia="宋体"/>
                <w:sz w:val="16"/>
              </w:rPr>
              <w:t>47.55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4AD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B6144">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3953B">
            <w:pPr>
              <w:jc w:val="center"/>
            </w:pPr>
            <w:r>
              <w:rPr>
                <w:rFonts w:ascii="宋体" w:hAnsi="宋体" w:eastAsia="宋体"/>
                <w:sz w:val="16"/>
              </w:rPr>
              <w:t>9.95分</w:t>
            </w:r>
          </w:p>
        </w:tc>
      </w:tr>
      <w:tr w14:paraId="699788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A35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4E24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3CCA9">
            <w:pPr>
              <w:jc w:val="center"/>
            </w:pPr>
            <w:r>
              <w:rPr>
                <w:rFonts w:ascii="宋体" w:hAnsi="宋体" w:eastAsia="宋体"/>
                <w:sz w:val="16"/>
              </w:rPr>
              <w:t>47.65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3338A">
            <w:pPr>
              <w:jc w:val="center"/>
            </w:pPr>
            <w:r>
              <w:rPr>
                <w:rFonts w:ascii="宋体" w:hAnsi="宋体" w:eastAsia="宋体"/>
                <w:sz w:val="16"/>
              </w:rPr>
              <w:t>47.65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DBD24">
            <w:pPr>
              <w:jc w:val="center"/>
            </w:pPr>
            <w:r>
              <w:rPr>
                <w:rFonts w:ascii="宋体" w:hAnsi="宋体" w:eastAsia="宋体"/>
                <w:sz w:val="16"/>
              </w:rPr>
              <w:t>47.55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D19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9BC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C177">
            <w:pPr>
              <w:jc w:val="center"/>
            </w:pPr>
            <w:r>
              <w:rPr>
                <w:rFonts w:ascii="宋体" w:hAnsi="宋体" w:eastAsia="宋体"/>
                <w:sz w:val="16"/>
              </w:rPr>
              <w:t>—</w:t>
            </w:r>
          </w:p>
        </w:tc>
      </w:tr>
      <w:tr w14:paraId="0ACED0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837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F21B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CEA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760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611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1BE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E1A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A805E">
            <w:pPr>
              <w:jc w:val="center"/>
            </w:pPr>
            <w:r>
              <w:rPr>
                <w:rFonts w:ascii="宋体" w:hAnsi="宋体" w:eastAsia="宋体"/>
                <w:sz w:val="16"/>
              </w:rPr>
              <w:t>—</w:t>
            </w:r>
          </w:p>
        </w:tc>
      </w:tr>
      <w:tr w14:paraId="7364E0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C4633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BBF44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6EED0A">
            <w:pPr>
              <w:jc w:val="center"/>
            </w:pPr>
            <w:r>
              <w:rPr>
                <w:rFonts w:ascii="宋体" w:hAnsi="宋体" w:eastAsia="宋体"/>
                <w:sz w:val="16"/>
              </w:rPr>
              <w:t>实际完成情况</w:t>
            </w:r>
          </w:p>
        </w:tc>
      </w:tr>
      <w:tr w14:paraId="6F0C62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9CD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A30AC6">
            <w:pPr>
              <w:jc w:val="both"/>
            </w:pPr>
            <w:r>
              <w:rPr>
                <w:rFonts w:ascii="宋体" w:hAnsi="宋体" w:eastAsia="宋体"/>
                <w:sz w:val="16"/>
              </w:rPr>
              <w:t>该项目依据年初预算批复下达本级项目资金47.65万元，其中劳务费项目44.55万元，团体意外险项目3.10万元；旨在保障基层法院业务正常运转，提升办案业务质量，全面推进各项审判执行工作业务，充分发挥基层法院职能作用，有效促进司法为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93170E">
            <w:pPr>
              <w:jc w:val="both"/>
            </w:pPr>
            <w:r>
              <w:rPr>
                <w:rFonts w:ascii="宋体" w:hAnsi="宋体" w:eastAsia="宋体"/>
                <w:sz w:val="16"/>
              </w:rPr>
              <w:t>该项目已全部完成，主要用于劳务费、其他商品和服务支出等。项目实施后，改善了我院办公条件，有效推进院内各项审判业务工作开展，提高了工作人员工作积极性。</w:t>
            </w:r>
          </w:p>
        </w:tc>
      </w:tr>
      <w:tr w14:paraId="4BE7AD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920E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22EA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9BC5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B02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B468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8A38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A4E0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4E2C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358B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2574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980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075D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1CEE1">
            <w:pPr>
              <w:jc w:val="center"/>
            </w:pPr>
            <w:r>
              <w:rPr>
                <w:rFonts w:ascii="宋体" w:hAnsi="宋体" w:eastAsia="宋体"/>
                <w:sz w:val="16"/>
              </w:rPr>
              <w:t>偏差原因分析及改进措施</w:t>
            </w:r>
          </w:p>
        </w:tc>
      </w:tr>
      <w:tr w14:paraId="59B893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03899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3368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F43E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7A882">
            <w:pPr>
              <w:jc w:val="center"/>
            </w:pPr>
            <w:r>
              <w:rPr>
                <w:rFonts w:ascii="宋体" w:hAnsi="宋体" w:eastAsia="宋体"/>
                <w:sz w:val="16"/>
              </w:rPr>
              <w:t>保障人民法庭数量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A575E">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00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FB53E">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2020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D5A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F474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62762">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9A94C">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C4B65">
            <w:pPr>
              <w:jc w:val="center"/>
            </w:pPr>
          </w:p>
        </w:tc>
      </w:tr>
      <w:tr w14:paraId="7962C0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872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B3E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71B2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B4BD5">
            <w:pPr>
              <w:jc w:val="center"/>
            </w:pPr>
            <w:r>
              <w:rPr>
                <w:rFonts w:ascii="宋体" w:hAnsi="宋体" w:eastAsia="宋体"/>
                <w:sz w:val="16"/>
              </w:rPr>
              <w:t>支出程序合规率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AF6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D5D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2A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18FC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9DB0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22B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42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B192D">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C4454">
            <w:pPr>
              <w:jc w:val="center"/>
            </w:pPr>
          </w:p>
        </w:tc>
      </w:tr>
      <w:tr w14:paraId="4DC047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2E8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845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6E87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D61C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746F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5B5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F33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3D056">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6D3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F942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6D284">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ED31F">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774EE">
            <w:pPr>
              <w:jc w:val="center"/>
            </w:pPr>
          </w:p>
        </w:tc>
      </w:tr>
      <w:tr w14:paraId="748D93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985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486D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C80A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BDFF2">
            <w:pPr>
              <w:jc w:val="center"/>
            </w:pPr>
            <w:r>
              <w:rPr>
                <w:rFonts w:ascii="宋体" w:hAnsi="宋体" w:eastAsia="宋体"/>
                <w:sz w:val="16"/>
              </w:rPr>
              <w:t>劳务费发放成本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F803F">
            <w:pPr>
              <w:jc w:val="center"/>
            </w:pPr>
            <w:r>
              <w:rPr>
                <w:rFonts w:ascii="宋体" w:hAnsi="宋体" w:eastAsia="宋体"/>
                <w:sz w:val="16"/>
              </w:rPr>
              <w:t>&lt;=44.55万元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480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ED1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2E3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82A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9BE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50ED2">
            <w:pPr>
              <w:jc w:val="center"/>
            </w:pPr>
            <w:r>
              <w:rPr>
                <w:rFonts w:ascii="宋体" w:hAnsi="宋体" w:eastAsia="宋体"/>
                <w:sz w:val="16"/>
              </w:rPr>
              <w:t>=44.55万元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030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B6244">
            <w:pPr>
              <w:jc w:val="center"/>
            </w:pPr>
          </w:p>
        </w:tc>
      </w:tr>
      <w:tr w14:paraId="4A5946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BDE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8B6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1AD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533B0">
            <w:pPr>
              <w:jc w:val="center"/>
            </w:pPr>
            <w:r>
              <w:rPr>
                <w:rFonts w:ascii="宋体" w:hAnsi="宋体" w:eastAsia="宋体"/>
                <w:sz w:val="16"/>
              </w:rPr>
              <w:t>团体意外险成本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ED654">
            <w:pPr>
              <w:jc w:val="center"/>
            </w:pPr>
            <w:r>
              <w:rPr>
                <w:rFonts w:ascii="宋体" w:hAnsi="宋体" w:eastAsia="宋体"/>
                <w:sz w:val="16"/>
              </w:rPr>
              <w:t>&lt;=3.10万元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047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93642">
            <w:pPr>
              <w:jc w:val="center"/>
            </w:pPr>
            <w:r>
              <w:rPr>
                <w:rFonts w:ascii="宋体" w:hAnsi="宋体" w:eastAsia="宋体"/>
                <w:sz w:val="16"/>
              </w:rPr>
              <w:t>3.10万元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319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4F9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9BC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5722B">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604C6">
            <w:pPr>
              <w:jc w:val="center"/>
            </w:pPr>
            <w:r>
              <w:rPr>
                <w:rFonts w:ascii="宋体" w:hAnsi="宋体" w:eastAsia="宋体"/>
                <w:sz w:val="16"/>
              </w:rPr>
              <w:t>9.27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2E6B5">
            <w:pPr>
              <w:jc w:val="center"/>
            </w:pPr>
            <w:r>
              <w:rPr>
                <w:rFonts w:ascii="宋体" w:hAnsi="宋体" w:eastAsia="宋体"/>
                <w:sz w:val="16"/>
              </w:rPr>
              <w:t>偏差原因：因人员增减变化，团体意外险成本实际完成值低于预期指标值导致完成率</w:t>
            </w:r>
            <w:r>
              <w:rPr>
                <w:rFonts w:hint="eastAsia" w:ascii="宋体" w:hAnsi="宋体"/>
                <w:sz w:val="16"/>
                <w:lang w:eastAsia="zh-CN"/>
              </w:rPr>
              <w:t>偏低</w:t>
            </w:r>
            <w:r>
              <w:rPr>
                <w:rFonts w:ascii="宋体" w:hAnsi="宋体" w:eastAsia="宋体"/>
                <w:sz w:val="16"/>
              </w:rPr>
              <w:t>。改进措施：以后设置年度目标值时做到更精准，且更好</w:t>
            </w:r>
            <w:r>
              <w:rPr>
                <w:rFonts w:hint="eastAsia" w:ascii="宋体" w:hAnsi="宋体"/>
                <w:sz w:val="16"/>
                <w:lang w:eastAsia="zh-CN"/>
              </w:rPr>
              <w:t>地</w:t>
            </w:r>
            <w:r>
              <w:rPr>
                <w:rFonts w:ascii="宋体" w:hAnsi="宋体" w:eastAsia="宋体"/>
                <w:sz w:val="16"/>
              </w:rPr>
              <w:t>做好测算，让指标达到预期。</w:t>
            </w:r>
          </w:p>
        </w:tc>
      </w:tr>
      <w:tr w14:paraId="2AFBD4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7C2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002B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774A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2A5B5">
            <w:pPr>
              <w:jc w:val="center"/>
            </w:pPr>
            <w:r>
              <w:rPr>
                <w:rFonts w:ascii="宋体" w:hAnsi="宋体" w:eastAsia="宋体"/>
                <w:sz w:val="16"/>
              </w:rPr>
              <w:t>保障工作需要情况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5BE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BF3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04B4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CE31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ADF5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958E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34E8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8304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1A19B">
            <w:pPr>
              <w:jc w:val="center"/>
            </w:pPr>
          </w:p>
        </w:tc>
      </w:tr>
      <w:tr w14:paraId="0C5CBA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6C9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7A4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02F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15469">
            <w:pPr>
              <w:jc w:val="center"/>
            </w:pPr>
            <w:r>
              <w:rPr>
                <w:rFonts w:ascii="宋体" w:hAnsi="宋体" w:eastAsia="宋体"/>
                <w:sz w:val="16"/>
              </w:rPr>
              <w:t>干警满意度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1495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572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3B58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D5C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3039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2BF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8662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A1D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92A21">
            <w:pPr>
              <w:jc w:val="center"/>
            </w:pPr>
          </w:p>
        </w:tc>
      </w:tr>
      <w:tr w14:paraId="1D8CE6A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F726B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738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F9F8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5ABD">
            <w:pPr>
              <w:jc w:val="center"/>
            </w:pPr>
            <w:r>
              <w:rPr>
                <w:rFonts w:ascii="宋体" w:hAnsi="宋体" w:eastAsia="宋体"/>
                <w:sz w:val="16"/>
              </w:rPr>
              <w:t>99.22分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81395B"/>
        </w:tc>
      </w:tr>
    </w:tbl>
    <w:p w14:paraId="775E9F6E">
      <w:r>
        <w:br w:type="page"/>
      </w:r>
    </w:p>
    <w:p w14:paraId="496E3B41">
      <w:pPr>
        <w:spacing w:line="640" w:lineRule="exact"/>
        <w:ind w:firstLine="640"/>
        <w:jc w:val="both"/>
        <w:outlineLvl w:val="2"/>
      </w:pPr>
      <w:r>
        <w:rPr>
          <w:rFonts w:ascii="黑体" w:hAnsi="黑体" w:eastAsia="黑体"/>
          <w:sz w:val="32"/>
        </w:rPr>
        <w:t>十二、其他需说明的事项</w:t>
      </w:r>
    </w:p>
    <w:p w14:paraId="0DB2D749">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项目10个，全年预算数660.43万元，全年执行数599.37万元。</w:t>
      </w:r>
      <w:bookmarkStart w:id="0" w:name="_GoBack"/>
      <w:bookmarkEnd w:id="0"/>
    </w:p>
    <w:p w14:paraId="6D3C1893">
      <w:r>
        <w:br w:type="page"/>
      </w:r>
    </w:p>
    <w:p w14:paraId="379B81BD">
      <w:pPr>
        <w:spacing w:line="240" w:lineRule="auto"/>
        <w:jc w:val="center"/>
        <w:outlineLvl w:val="1"/>
      </w:pPr>
      <w:r>
        <w:rPr>
          <w:rFonts w:ascii="黑体" w:hAnsi="黑体" w:eastAsia="黑体"/>
          <w:sz w:val="32"/>
        </w:rPr>
        <w:t>第三部分 专业名词解释</w:t>
      </w:r>
    </w:p>
    <w:p w14:paraId="110C7EF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8C3B38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E7AD96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4E0DD0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C4DDB5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D06418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A28203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E6E22C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0D70BA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17C70D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9E02E3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6D9821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7F0FF8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834C4B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98539B6">
      <w:r>
        <w:br w:type="page"/>
      </w:r>
    </w:p>
    <w:p w14:paraId="53564546">
      <w:pPr>
        <w:spacing w:line="240" w:lineRule="auto"/>
        <w:jc w:val="center"/>
        <w:outlineLvl w:val="1"/>
      </w:pPr>
      <w:r>
        <w:rPr>
          <w:rFonts w:ascii="黑体" w:hAnsi="黑体" w:eastAsia="黑体"/>
          <w:sz w:val="32"/>
        </w:rPr>
        <w:t>第四部分 部门决算报表（见附表）</w:t>
      </w:r>
    </w:p>
    <w:p w14:paraId="30E85F44">
      <w:pPr>
        <w:spacing w:line="240" w:lineRule="auto"/>
        <w:ind w:firstLine="640"/>
        <w:jc w:val="both"/>
      </w:pPr>
      <w:r>
        <w:rPr>
          <w:rFonts w:ascii="仿宋_GB2312" w:hAnsi="仿宋_GB2312" w:eastAsia="仿宋_GB2312"/>
          <w:b w:val="0"/>
          <w:sz w:val="32"/>
        </w:rPr>
        <w:t>一、《收入支出决算总表》</w:t>
      </w:r>
    </w:p>
    <w:p w14:paraId="71A224DA">
      <w:pPr>
        <w:spacing w:line="240" w:lineRule="auto"/>
        <w:ind w:firstLine="640"/>
        <w:jc w:val="both"/>
      </w:pPr>
      <w:r>
        <w:rPr>
          <w:rFonts w:ascii="仿宋_GB2312" w:hAnsi="仿宋_GB2312" w:eastAsia="仿宋_GB2312"/>
          <w:b w:val="0"/>
          <w:sz w:val="32"/>
        </w:rPr>
        <w:t>二、《收入决算表》</w:t>
      </w:r>
    </w:p>
    <w:p w14:paraId="1CE656AC">
      <w:pPr>
        <w:spacing w:line="240" w:lineRule="auto"/>
        <w:ind w:firstLine="640"/>
        <w:jc w:val="both"/>
      </w:pPr>
      <w:r>
        <w:rPr>
          <w:rFonts w:ascii="仿宋_GB2312" w:hAnsi="仿宋_GB2312" w:eastAsia="仿宋_GB2312"/>
          <w:b w:val="0"/>
          <w:sz w:val="32"/>
        </w:rPr>
        <w:t>三、《支出决算表》</w:t>
      </w:r>
    </w:p>
    <w:p w14:paraId="7209A146">
      <w:pPr>
        <w:spacing w:line="240" w:lineRule="auto"/>
        <w:ind w:firstLine="640"/>
        <w:jc w:val="both"/>
      </w:pPr>
      <w:r>
        <w:rPr>
          <w:rFonts w:ascii="仿宋_GB2312" w:hAnsi="仿宋_GB2312" w:eastAsia="仿宋_GB2312"/>
          <w:b w:val="0"/>
          <w:sz w:val="32"/>
        </w:rPr>
        <w:t>四、《财政拨款收入支出决算总表》</w:t>
      </w:r>
    </w:p>
    <w:p w14:paraId="4973D179">
      <w:pPr>
        <w:spacing w:line="240" w:lineRule="auto"/>
        <w:ind w:firstLine="640"/>
        <w:jc w:val="both"/>
      </w:pPr>
      <w:r>
        <w:rPr>
          <w:rFonts w:ascii="仿宋_GB2312" w:hAnsi="仿宋_GB2312" w:eastAsia="仿宋_GB2312"/>
          <w:b w:val="0"/>
          <w:sz w:val="32"/>
        </w:rPr>
        <w:t>五、《一般公共预算财政拨款支出决算表》</w:t>
      </w:r>
    </w:p>
    <w:p w14:paraId="59006691">
      <w:pPr>
        <w:spacing w:line="240" w:lineRule="auto"/>
        <w:ind w:firstLine="640"/>
        <w:jc w:val="both"/>
      </w:pPr>
      <w:r>
        <w:rPr>
          <w:rFonts w:ascii="仿宋_GB2312" w:hAnsi="仿宋_GB2312" w:eastAsia="仿宋_GB2312"/>
          <w:b w:val="0"/>
          <w:sz w:val="32"/>
        </w:rPr>
        <w:t>六、《一般公共预算财政拨款基本支出决算表》</w:t>
      </w:r>
    </w:p>
    <w:p w14:paraId="028479F0">
      <w:pPr>
        <w:spacing w:line="240" w:lineRule="auto"/>
        <w:ind w:firstLine="640"/>
        <w:jc w:val="both"/>
      </w:pPr>
      <w:r>
        <w:rPr>
          <w:rFonts w:ascii="仿宋_GB2312" w:hAnsi="仿宋_GB2312" w:eastAsia="仿宋_GB2312"/>
          <w:b w:val="0"/>
          <w:sz w:val="32"/>
        </w:rPr>
        <w:t>七、《政府性基金预算财政拨款收入支出决算表》</w:t>
      </w:r>
    </w:p>
    <w:p w14:paraId="4A14DBF6">
      <w:pPr>
        <w:spacing w:line="240" w:lineRule="auto"/>
        <w:ind w:firstLine="640"/>
        <w:jc w:val="both"/>
      </w:pPr>
      <w:r>
        <w:rPr>
          <w:rFonts w:ascii="仿宋_GB2312" w:hAnsi="仿宋_GB2312" w:eastAsia="仿宋_GB2312"/>
          <w:b w:val="0"/>
          <w:sz w:val="32"/>
        </w:rPr>
        <w:t>八、《国有资本经营预算财政拨款收入支出决算表》</w:t>
      </w:r>
    </w:p>
    <w:p w14:paraId="158A5786">
      <w:pPr>
        <w:spacing w:line="240" w:lineRule="auto"/>
        <w:ind w:firstLine="640"/>
        <w:jc w:val="both"/>
      </w:pPr>
      <w:r>
        <w:rPr>
          <w:rFonts w:ascii="仿宋_GB2312" w:hAnsi="仿宋_GB2312" w:eastAsia="仿宋_GB2312"/>
          <w:b w:val="0"/>
          <w:sz w:val="32"/>
        </w:rPr>
        <w:t>九、《财政拨款“三公”经费支出决算表》</w:t>
      </w:r>
    </w:p>
    <w:p w14:paraId="640613CA">
      <w:pPr>
        <w:spacing w:line="240" w:lineRule="auto"/>
        <w:ind w:firstLine="640"/>
        <w:jc w:val="both"/>
      </w:pPr>
    </w:p>
    <w:p w14:paraId="1E78C438">
      <w:pPr>
        <w:spacing w:line="240" w:lineRule="auto"/>
        <w:ind w:firstLine="640"/>
        <w:jc w:val="both"/>
      </w:pPr>
    </w:p>
    <w:p w14:paraId="395DC498">
      <w:pPr>
        <w:spacing w:line="240" w:lineRule="auto"/>
        <w:ind w:firstLine="640"/>
        <w:jc w:val="both"/>
      </w:pPr>
    </w:p>
    <w:p w14:paraId="6FFC74D9">
      <w:pPr>
        <w:spacing w:line="240" w:lineRule="auto"/>
        <w:ind w:firstLine="640"/>
        <w:jc w:val="both"/>
      </w:pPr>
    </w:p>
    <w:p w14:paraId="6CE4CF0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C8AF46B-3F90-4EEA-AB15-65F405E7854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B30431B-E072-4B0B-9E20-65FA5F113AA1}"/>
  </w:font>
  <w:font w:name="方正小标宋_GBK">
    <w:panose1 w:val="02000000000000000000"/>
    <w:charset w:val="86"/>
    <w:family w:val="script"/>
    <w:pitch w:val="default"/>
    <w:sig w:usb0="A00002BF" w:usb1="38CF7CFA" w:usb2="00082016" w:usb3="00000000" w:csb0="00040001" w:csb1="00000000"/>
    <w:embedRegular r:id="rId3" w:fontKey="{F83E1ED4-5DAE-4D29-8479-814BA4B0795D}"/>
  </w:font>
  <w:font w:name="楷体_GB2312">
    <w:altName w:val="楷体"/>
    <w:panose1 w:val="00000000000000000000"/>
    <w:charset w:val="00"/>
    <w:family w:val="auto"/>
    <w:pitch w:val="default"/>
    <w:sig w:usb0="00000000" w:usb1="00000000" w:usb2="00000000" w:usb3="00000000" w:csb0="00000000" w:csb1="00000000"/>
    <w:embedRegular r:id="rId4" w:fontKey="{AF4F389E-6C9D-45D4-A25A-867C671E13EA}"/>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003108"/>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7CA5F1A"/>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41DAE"/>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6327</Words>
  <Characters>7281</Characters>
  <Lines>0</Lines>
  <Paragraphs>0</Paragraphs>
  <TotalTime>10</TotalTime>
  <ScaleCrop>false</ScaleCrop>
  <LinksUpToDate>false</LinksUpToDate>
  <CharactersWithSpaces>7289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2025-09-29T04:27:15Z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